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2: Creating a New Pay Run</w:t>
      </w:r>
    </w:p>
    <w:p>
      <w:pPr>
        <w:spacing w:after="480" w:before="160"/>
      </w:pPr>
      <w:r>
        <w:rPr>
          <w:color w:val="595959"/>
          <w:sz w:val="22"/>
          <w:szCs w:val="22"/>
        </w:rPr>
        <w:t xml:space="preserve">Corporate Technology Services  ·  Employment Hero Payroll  ·  Fortnightly cycle</w:t>
      </w:r>
    </w:p>
    <w:p>
      <w:pPr>
        <w:pStyle w:val="Heading1"/>
        <w:spacing w:after="160" w:before="360"/>
      </w:pPr>
      <w:r>
        <w:rPr>
          <w:b/>
          <w:bCs/>
          <w:color w:val="1F4E79"/>
          <w:sz w:val="28"/>
          <w:szCs w:val="28"/>
        </w:rPr>
        <w:t xml:space="preserve">About this guide</w:t>
      </w:r>
    </w:p>
    <w:p>
      <w:pPr>
        <w:spacing w:after="120"/>
      </w:pPr>
      <w:r>
        <w:rPr>
          <w:sz w:val="22"/>
          <w:szCs w:val="22"/>
        </w:rPr>
        <w:t xml:space="preserve">This guide covers creating the fortnightly pay run in Employment Hero. It is the second of a six-part series and picks up directly where Part 1 (Payroll Prep) left off.</w:t>
      </w:r>
    </w:p>
    <w:p>
      <w:pPr>
        <w:spacing w:after="120"/>
      </w:pPr>
      <w:r>
        <w:rPr>
          <w:sz w:val="22"/>
          <w:szCs w:val="22"/>
        </w:rPr>
        <w:t xml:space="preserve">Do not start here. Part 1 must be complete first; in particular, every timesheet must be approved. Creating a pay run over unapproved timesheets means deleting it and starting again.</w:t>
      </w:r>
    </w:p>
    <w:p>
      <w:pPr>
        <w:pStyle w:val="Heading1"/>
        <w:spacing w:after="160" w:before="360"/>
      </w:pPr>
      <w:r>
        <w:rPr>
          <w:b/>
          <w:bCs/>
          <w:color w:val="1F4E79"/>
          <w:sz w:val="28"/>
          <w:szCs w:val="28"/>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Lookup tab, listing the pay periods for the financial year.</w:t>
      </w:r>
    </w:p>
    <w:p>
      <w:pPr>
        <w:pStyle w:val="Heading1"/>
        <w:spacing w:after="160" w:before="360"/>
      </w:pPr>
      <w:r>
        <w:rPr>
          <w:b/>
          <w:bCs/>
          <w:color w:val="1F4E79"/>
          <w:sz w:val="28"/>
          <w:szCs w:val="28"/>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1"/>
        <w:spacing w:after="160" w:before="360"/>
      </w:pPr>
      <w:r>
        <w:rPr>
          <w:b/>
          <w:bCs/>
          <w:color w:val="1F4E79"/>
          <w:sz w:val="28"/>
          <w:szCs w:val="28"/>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the wait is normal and scales with the size of the pay run.</w:t>
      </w:r>
    </w:p>
    <w:p>
      <w:pPr>
        <w:pStyle w:val="Heading1"/>
        <w:spacing w:after="160" w:before="360"/>
      </w:pPr>
      <w:r>
        <w:rPr>
          <w:b/>
          <w:bCs/>
          <w:color w:val="1F4E79"/>
          <w:sz w:val="28"/>
          <w:szCs w:val="28"/>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A created pay run. Employee names and all pay figures are blurred in this guide.</w:t>
      </w:r>
    </w:p>
    <w:p>
      <w:pPr>
        <w:spacing w:after="120"/>
      </w:pPr>
      <w:r>
        <w:rPr>
          <w:sz w:val="22"/>
          <w:szCs w:val="22"/>
        </w:rPr>
        <w:t xml:space="preserve">Check the payee count at the top left before going further;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3a: Reconciling Casual Timesheets, the first of three guides covering reconciliation. Parts 3b and 3c cover salaried staff and the cases needing manual handling.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2: Creating a New Pay Run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943c86fd7ca25fac7cef5cd858106502979c0f.png"/><Relationship Id="rId10" Type="http://schemas.openxmlformats.org/officeDocument/2006/relationships/image" Target="media/3d42adc717f802aae9df99eaecca706aae0982d5.png"/><Relationship Id="rId11" Type="http://schemas.openxmlformats.org/officeDocument/2006/relationships/image" Target="media/e9fabe3566c4ad4b3b1736cc077a8c2655784abc.png"/><Relationship Id="rId12" Type="http://schemas.openxmlformats.org/officeDocument/2006/relationships/image" Target="media/f55e6a062e506b2402218a7c56c5582b07c5f38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2: Creating a New Pay Run</dc:title>
  <dc:creator>Corporate Technology Services</dc:creator>
  <dc:description>Corporate Technology Services  ·  Employment Hero Payroll  ·  Fortnightly cycle</dc:description>
  <cp:lastModifiedBy>Un-named</cp:lastModifiedBy>
  <cp:revision>1</cp:revision>
  <dcterms:created xsi:type="dcterms:W3CDTF">2026-09-03T06:23:18.377Z</dcterms:created>
  <dcterms:modified xsi:type="dcterms:W3CDTF">2026-09-03T06:23:18.377Z</dcterms:modified>
</cp:coreProperties>
</file>

<file path=docProps/custom.xml><?xml version="1.0" encoding="utf-8"?>
<Properties xmlns="http://schemas.openxmlformats.org/officeDocument/2006/custom-properties" xmlns:vt="http://schemas.openxmlformats.org/officeDocument/2006/docPropsVTypes"/>
</file>