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4 — Reconciling Timesheets (continued)</w:t>
      </w:r>
    </w:p>
    <w:p>
      <w:pPr>
        <w:spacing w:after="480" w:before="160"/>
      </w:pPr>
      <w:r>
        <w:rPr>
          <w:color w:val="595959"/>
          <w:sz w:val="22"/>
          <w:szCs w:val="22"/>
        </w:rPr>
        <w:t xml:space="preserve">Corporate Technology Services  ·  Employment Hero Payroll  ·  Salaried employee scenario</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continues the reconciliation work begun in Part 3. Part 3 covers the standard scenarios you meet on most fortnights — casual, part-time and full-time employees. This guide works through one that falls outside those: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 losing the notes when you change a category — applies to every correction you make in a pay run.</w:t>
      </w:r>
    </w:p>
    <w:p>
      <w:pPr>
        <w:pStyle w:val="Heading1"/>
        <w:spacing w:after="160" w:before="360"/>
      </w:pPr>
      <w:r>
        <w:rPr>
          <w:b/>
          <w:bCs/>
          <w:color w:val="1F4E79"/>
          <w:sz w:val="28"/>
          <w:szCs w:val="28"/>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 it is not a blanket rule for everyone the break condition flags.</w:t>
      </w:r>
    </w:p>
    <w:p>
      <w:pPr>
        <w:pStyle w:val="Heading1"/>
        <w:spacing w:after="160" w:before="360"/>
      </w:pPr>
      <w:r>
        <w:rPr>
          <w:b/>
          <w:bCs/>
          <w:color w:val="1F4E79"/>
          <w:sz w:val="28"/>
          <w:szCs w:val="28"/>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1"/>
        <w:spacing w:after="160" w:before="360"/>
      </w:pPr>
      <w:r>
        <w:rPr>
          <w:b/>
          <w:bCs/>
          <w:color w:val="1F4E79"/>
          <w:sz w:val="28"/>
          <w:szCs w:val="28"/>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 80 for a full-time employee. If you cannot reconcile to that figure, stop and investigate rather than adjusting a number to make it balance.</w:t>
            </w:r>
          </w:p>
        </w:tc>
      </w:tr>
    </w:tbl>
    <w:p>
      <w:pPr>
        <w:spacing w:after="200"/>
      </w:pPr>
    </w:p>
    <w:p>
      <w:pPr>
        <w:pStyle w:val="Heading1"/>
        <w:spacing w:after="160" w:before="360"/>
      </w:pPr>
      <w:r>
        <w:rPr>
          <w:b/>
          <w:bCs/>
          <w:color w:val="1F4E79"/>
          <w:sz w:val="28"/>
          <w:szCs w:val="28"/>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1"/>
        <w:spacing w:after="160" w:before="360"/>
      </w:pPr>
      <w:r>
        <w:rPr>
          <w:b/>
          <w:bCs/>
          <w:color w:val="1F4E79"/>
          <w:sz w:val="28"/>
          <w:szCs w:val="28"/>
        </w:rPr>
        <w:t xml:space="preserve">Step 5  Check pay run inclusions</w:t>
      </w:r>
    </w:p>
    <w:p>
      <w:pPr>
        <w:spacing w:after="120"/>
      </w:pPr>
      <w:r>
        <w:rPr>
          <w:sz w:val="22"/>
          <w:szCs w:val="22"/>
        </w:rPr>
        <w:t xml:space="preserve">Finally, check the employee's pay run inclusion settings for any standing arrangements —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5 — Reconciling &amp; Balancing the Pay Run.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4: Reconciling Timesheets (continued)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facde66dfa8ac681558633a08ad7b84465713a.png"/><Relationship Id="rId10" Type="http://schemas.openxmlformats.org/officeDocument/2006/relationships/image" Target="media/fe060fc571166180fcf9de73c3c28ee28e2d36bd.png"/><Relationship Id="rId11" Type="http://schemas.openxmlformats.org/officeDocument/2006/relationships/image" Target="media/c774905dd5d49e64a0e50627a5f7c84049bbd17a.png"/><Relationship Id="rId12" Type="http://schemas.openxmlformats.org/officeDocument/2006/relationships/image" Target="media/01d191fd49636cd85c89d8e36630fe1b9d45a95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4 — Reconciling Timesheets (continued)</dc:title>
  <dc:creator>Corporate Technology Services</dc:creator>
  <dc:description>Corporate Technology Services  ·  Employment Hero Payroll  ·  Salaried employee scenario</dc:description>
  <cp:lastModifiedBy>Un-named</cp:lastModifiedBy>
  <cp:revision>1</cp:revision>
  <dcterms:created xsi:type="dcterms:W3CDTF">2026-08-26T10:58:23.945Z</dcterms:created>
  <dcterms:modified xsi:type="dcterms:W3CDTF">2026-08-26T10:58:23.945Z</dcterms:modified>
</cp:coreProperties>
</file>

<file path=docProps/custom.xml><?xml version="1.0" encoding="utf-8"?>
<Properties xmlns="http://schemas.openxmlformats.org/officeDocument/2006/custom-properties" xmlns:vt="http://schemas.openxmlformats.org/officeDocument/2006/docPropsVTypes"/>
</file>