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3b: Reconciling Salaried &amp; Full-Time Timesheets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3b: Reconciling Salaried &amp; Full-Time Timesheets</w:t>
      </w:r>
    </w:p>
    <w:p>
      <w:pPr>
        <w:spacing w:after="480" w:before="160"/>
      </w:pPr>
      <w:r>
        <w:rPr>
          <w:color w:val="595959"/>
          <w:sz w:val="22"/>
          <w:szCs w:val="22"/>
        </w:rPr>
        <w:t xml:space="preserve">Corporate Technology Services  ·  Employment Hero Payroll  ·  CTS Overtime Matrix</w:t>
      </w:r>
    </w:p>
    <w:p>
      <w:pPr>
        <w:pStyle w:val="Heading1"/>
        <w:spacing w:after="160" w:before="360"/>
      </w:pPr>
      <w:r>
        <w:rPr>
          <w:b/>
          <w:bCs/>
          <w:color w:val="1F4E79"/>
          <w:sz w:val="28"/>
          <w:szCs w:val="28"/>
        </w:rPr>
        <w:t xml:space="preserve">About Part 3b</w:t>
      </w:r>
    </w:p>
    <w:p>
      <w:pPr>
        <w:spacing w:after="120"/>
      </w:pPr>
      <w:r>
        <w:rPr>
          <w:sz w:val="22"/>
          <w:szCs w:val="22"/>
        </w:rPr>
        <w:t xml:space="preserve">This guide covers salaried and full-time employees. It is the second of the three reconciliation guides: Part 3a covers casuals, and Part 3c covers employees who need manual handling. It ends with a worked example of a correction you will meet often.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1"/>
        <w:spacing w:after="160" w:before="360"/>
      </w:pPr>
      <w:r>
        <w:rPr>
          <w:b/>
          <w:bCs/>
          <w:color w:val="1F4E79"/>
          <w:sz w:val="28"/>
          <w:szCs w:val="28"/>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and it is usually the rounding rule below rather than a genuine shortfall.</w:t>
      </w:r>
    </w:p>
    <w:p>
      <w:pPr>
        <w:pStyle w:val="Heading1"/>
        <w:spacing w:after="160" w:before="360"/>
      </w:pPr>
      <w:r>
        <w:rPr>
          <w:b/>
          <w:bCs/>
          <w:color w:val="1F4E79"/>
          <w:sz w:val="28"/>
          <w:szCs w:val="28"/>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1"/>
        <w:spacing w:after="160" w:before="360"/>
      </w:pPr>
      <w:r>
        <w:rPr>
          <w:b/>
          <w:bCs/>
          <w:color w:val="1F4E79"/>
          <w:sz w:val="28"/>
          <w:szCs w:val="28"/>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CTS Overtime Matrix for full-time staff, with its legend.</w:t>
      </w:r>
    </w:p>
    <w:p>
      <w:pPr>
        <w:spacing w:after="120"/>
      </w:pPr>
      <w:r>
        <w:rPr>
          <w:sz w:val="22"/>
          <w:szCs w:val="22"/>
        </w:rPr>
        <w:t xml:space="preserve">Reading the matrix takes two pieces of information: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1"/>
        <w:spacing w:after="160" w:before="360"/>
      </w:pPr>
      <w:r>
        <w:rPr>
          <w:b/>
          <w:bCs/>
          <w:color w:val="1F4E79"/>
          <w:sz w:val="28"/>
          <w:szCs w:val="28"/>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1"/>
        <w:spacing w:after="160" w:before="360"/>
      </w:pPr>
      <w:r>
        <w:rPr>
          <w:b/>
          <w:bCs/>
          <w:color w:val="1F4E79"/>
          <w:sz w:val="28"/>
          <w:szCs w:val="28"/>
        </w:rPr>
        <w:t xml:space="preserve">Step 5  Check pay run inclusions</w:t>
      </w:r>
    </w:p>
    <w:p>
      <w:pPr>
        <w:spacing w:after="120"/>
      </w:pPr>
      <w:r>
        <w:rPr>
          <w:sz w:val="22"/>
          <w:szCs w:val="22"/>
        </w:rPr>
        <w:t xml:space="preserve">Salaried employees often carry standing arrangements set up in their employee profile under pay run inclusions,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1"/>
        <w:spacing w:after="160" w:before="360"/>
      </w:pPr>
      <w:r>
        <w:rPr>
          <w:b/>
          <w:bCs/>
          <w:color w:val="1F4E79"/>
          <w:sz w:val="28"/>
          <w:szCs w:val="28"/>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1"/>
        <w:spacing w:after="160" w:before="360"/>
      </w:pPr>
      <w:r>
        <w:rPr>
          <w:b/>
          <w:bCs/>
          <w:color w:val="1F4E79"/>
          <w:sz w:val="28"/>
          <w:szCs w:val="28"/>
        </w:rPr>
        <w:t xml:space="preserve">Worked example: an overtime category triggered in error</w:t>
      </w:r>
    </w:p>
    <w:p>
      <w:pPr>
        <w:spacing w:after="120"/>
      </w:pPr>
      <w:r>
        <w:rPr>
          <w:sz w:val="22"/>
          <w:szCs w:val="22"/>
        </w:rPr>
        <w:t xml:space="preserve">The rest of this guide is a worked example taken from a real fortnight. It covers a salaried employee whose overtime category was applied automatically when it should not have been.</w:t>
      </w:r>
    </w:p>
    <w:p>
      <w:pPr>
        <w:spacing w:after="120"/>
      </w:pPr>
      <w:r>
        <w:rPr>
          <w:sz w:val="22"/>
          <w:szCs w:val="22"/>
        </w:rPr>
        <w:t xml:space="preserve">It is worth reading even if nothing like it is on your current pay run, because the trap at the centre of it, losing the notes when you change a category, applies to every correction you make in a pay run.</w:t>
      </w:r>
    </w:p>
    <w:p>
      <w:pPr>
        <w:pStyle w:val="Heading2"/>
        <w:spacing w:after="160" w:before="360"/>
      </w:pPr>
      <w:r>
        <w:rPr>
          <w:b/>
          <w:bCs/>
          <w:color w:val="1F4E79"/>
          <w:sz w:val="24"/>
          <w:szCs w:val="24"/>
        </w:rPr>
        <w:t xml:space="preserve">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it is not a blanket rule for everyone the break condition flags.</w:t>
      </w:r>
    </w:p>
    <w:p>
      <w:pPr>
        <w:pStyle w:val="Heading2"/>
        <w:spacing w:after="160" w:before="360"/>
      </w:pPr>
      <w:r>
        <w:rPr>
          <w:b/>
          <w:bCs/>
          <w:color w:val="1F4E79"/>
          <w:sz w:val="24"/>
          <w:szCs w:val="24"/>
        </w:rPr>
        <w:t xml:space="preserve">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2"/>
        <w:spacing w:after="160" w:before="360"/>
      </w:pPr>
      <w:r>
        <w:rPr>
          <w:b/>
          <w:bCs/>
          <w:color w:val="1F4E79"/>
          <w:sz w:val="24"/>
          <w:szCs w:val="24"/>
        </w:rPr>
        <w:t xml:space="preserve">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6: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80 for a full-time employee. If you cannot reconcile to that figure, stop and investigate rather than adjusting a number to make it balance.</w:t>
            </w:r>
          </w:p>
        </w:tc>
      </w:tr>
    </w:tbl>
    <w:p>
      <w:pPr>
        <w:spacing w:after="200"/>
      </w:pPr>
    </w:p>
    <w:p>
      <w:pPr>
        <w:pStyle w:val="Heading2"/>
        <w:spacing w:after="160" w:before="360"/>
      </w:pPr>
      <w:r>
        <w:rPr>
          <w:b/>
          <w:bCs/>
          <w:color w:val="1F4E79"/>
          <w:sz w:val="24"/>
          <w:szCs w:val="24"/>
        </w:rPr>
        <w:t xml:space="preserve">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7: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2"/>
        <w:spacing w:after="160" w:before="360"/>
      </w:pPr>
      <w:r>
        <w:rPr>
          <w:b/>
          <w:bCs/>
          <w:color w:val="1F4E79"/>
          <w:sz w:val="24"/>
          <w:szCs w:val="24"/>
        </w:rPr>
        <w:t xml:space="preserve">Check pay run inclusions</w:t>
      </w:r>
    </w:p>
    <w:p>
      <w:pPr>
        <w:spacing w:after="120"/>
      </w:pPr>
      <w:r>
        <w:rPr>
          <w:sz w:val="22"/>
          <w:szCs w:val="22"/>
        </w:rPr>
        <w:t xml:space="preserve">Finally, check the employee's pay run inclusion settings for any standing arrangements,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Any incorrectly triggered overtime category has been returned to Permanent Ordinary Hours</w:t>
      </w:r>
    </w:p>
    <w:p>
      <w:pPr>
        <w:pStyle w:val="ListParagraph"/>
        <w:numPr>
          <w:ilvl w:val="0"/>
          <w:numId w:val="2"/>
        </w:numPr>
        <w:spacing w:after="80"/>
      </w:pPr>
      <w:r>
        <w:rPr>
          <w:sz w:val="22"/>
          <w:szCs w:val="22"/>
        </w:rPr>
        <w:t xml:space="preserve">Any leave taken during the period has been populated in the spreadsheet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3c: Employees Needing Manual Handling.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3b: Reconciling Salaried &amp; Full-Time Timesheets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85ca6f8904c7e37c3c43b24201bf656369cdb4.png"/><Relationship Id="rId10" Type="http://schemas.openxmlformats.org/officeDocument/2006/relationships/image" Target="media/237b9adb6fc44447d7e396e66c8ecce3893eab34.png"/><Relationship Id="rId11" Type="http://schemas.openxmlformats.org/officeDocument/2006/relationships/image" Target="media/d8a3a9c759e35a9e96c42f233ea5295a37670572.png"/><Relationship Id="rId12" Type="http://schemas.openxmlformats.org/officeDocument/2006/relationships/image" Target="media/1afacde66dfa8ac681558633a08ad7b84465713a.png"/><Relationship Id="rId13" Type="http://schemas.openxmlformats.org/officeDocument/2006/relationships/image" Target="media/fe060fc571166180fcf9de73c3c28ee28e2d36bd.png"/><Relationship Id="rId14" Type="http://schemas.openxmlformats.org/officeDocument/2006/relationships/image" Target="media/c774905dd5d49e64a0e50627a5f7c84049bbd17a.png"/><Relationship Id="rId15" Type="http://schemas.openxmlformats.org/officeDocument/2006/relationships/image" Target="media/01d191fd49636cd85c89d8e36630fe1b9d45a95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3b: Reconciling Salaried &amp; Full-Time Timesheets</dc:title>
  <dc:creator>Corporate Technology Services</dc:creator>
  <dc:description>Corporate Technology Services  ·  Employment Hero Payroll  ·  CTS Overtime Matrix</dc:description>
  <cp:lastModifiedBy>Un-named</cp:lastModifiedBy>
  <cp:revision>1</cp:revision>
  <dcterms:created xsi:type="dcterms:W3CDTF">2026-09-03T06:31:19.552Z</dcterms:created>
  <dcterms:modified xsi:type="dcterms:W3CDTF">2026-09-03T06:31:19.552Z</dcterms:modified>
</cp:coreProperties>
</file>

<file path=docProps/custom.xml><?xml version="1.0" encoding="utf-8"?>
<Properties xmlns="http://schemas.openxmlformats.org/officeDocument/2006/custom-properties" xmlns:vt="http://schemas.openxmlformats.org/officeDocument/2006/docPropsVTypes"/>
</file>