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2"/>
          <w:szCs w:val="22"/>
        </w:rPr>
        <w:t xml:space="preserve">Subject: Bonus Leave - 2017 scheme vs 2026 policy, and tracker corrected</w:t>
      </w:r>
    </w:p>
    <w:p>
      <w:pPr>
        <w:spacing w:after="120"/>
      </w:pPr>
      <w:r>
        <w:rPr>
          <w:rFonts w:ascii="Arial" w:cs="Arial" w:eastAsia="Arial" w:hAnsi="Arial"/>
          <w:sz w:val="22"/>
          <w:szCs w:val="22"/>
        </w:rPr>
        <w:t xml:space="preserve">Hi Graham,</w:t>
      </w:r>
    </w:p>
    <w:p>
      <w:pPr>
        <w:spacing w:after="120"/>
      </w:pPr>
      <w:r>
        <w:rPr>
          <w:rFonts w:ascii="Arial" w:cs="Arial" w:eastAsia="Arial" w:hAnsi="Arial"/>
          <w:sz w:val="22"/>
          <w:szCs w:val="22"/>
        </w:rPr>
        <w:t xml:space="preserve">As agreed in our meeting, the only change between the 2017 scheme and the 2026 policy that applies is that Bonus Leave is no longer paid out on termination. I have corrected the tracker to that basis: accruals now follow the 2017 scheme (CTS Additional Leave Bonus Scheme flowchart v1.0, announced 27/11/2017) in every respect except the payout, and nothing is counted back before the scheme start. For the record, here is where the two documents differ, so you can see what the 2026 wording would have changed if we had applied it.</w:t>
      </w:r>
    </w:p>
    <w:p>
      <w:pPr>
        <w:spacing w:after="80" w:before="240"/>
      </w:pPr>
      <w:r>
        <w:rPr>
          <w:rFonts w:ascii="Arial" w:cs="Arial" w:eastAsia="Arial" w:hAnsi="Arial"/>
          <w:b/>
          <w:bCs/>
          <w:sz w:val="24"/>
          <w:szCs w:val="24"/>
        </w:rPr>
        <w:t xml:space="preserve">1. Who is eligible</w:t>
      </w:r>
    </w:p>
    <w:p>
      <w:pPr>
        <w:spacing w:after="120"/>
      </w:pPr>
      <w:r>
        <w:rPr>
          <w:rFonts w:ascii="Arial" w:cs="Arial" w:eastAsia="Arial" w:hAnsi="Arial"/>
          <w:sz w:val="22"/>
          <w:szCs w:val="22"/>
        </w:rPr>
        <w:t xml:space="preserve">2017: full-time employees only.</w:t>
      </w:r>
    </w:p>
    <w:p>
      <w:pPr>
        <w:spacing w:before="60"/>
      </w:pPr>
      <w:r>
        <w:rPr>
          <w:rFonts w:ascii="Arial" w:cs="Arial" w:eastAsia="Arial" w:hAnsi="Arial"/>
          <w:i/>
          <w:iCs/>
          <w:color w:val="555555"/>
          <w:sz w:val="18"/>
          <w:szCs w:val="18"/>
        </w:rPr>
        <w:t xml:space="preserve">2017 flowchart</w:t>
      </w:r>
    </w:p>
    <w:p>
      <w:pPr>
        <w:spacing w:after="160"/>
      </w:pPr>
      <w:r>
        <w:drawing>
          <wp:inline distT="0" distB="0" distL="0" distR="0">
            <wp:extent cx="299085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90850" cy="1447800"/>
                    </a:xfrm>
                    <a:prstGeom prst="rect">
                      <a:avLst/>
                    </a:prstGeom>
                  </pic:spPr>
                </pic:pic>
              </a:graphicData>
            </a:graphic>
          </wp:inline>
        </w:drawing>
      </w:r>
    </w:p>
    <w:p>
      <w:pPr>
        <w:spacing w:after="120"/>
      </w:pPr>
      <w:r>
        <w:rPr>
          <w:rFonts w:ascii="Arial" w:cs="Arial" w:eastAsia="Arial" w:hAnsi="Arial"/>
          <w:sz w:val="22"/>
          <w:szCs w:val="22"/>
        </w:rPr>
        <w:t xml:space="preserve">2026: part-time employees on 24 or more hours a week are now eligible, from 5 years' service.</w:t>
      </w:r>
    </w:p>
    <w:p>
      <w:pPr>
        <w:spacing w:before="60"/>
      </w:pPr>
      <w:r>
        <w:rPr>
          <w:rFonts w:ascii="Arial" w:cs="Arial" w:eastAsia="Arial" w:hAnsi="Arial"/>
          <w:i/>
          <w:iCs/>
          <w:color w:val="555555"/>
          <w:sz w:val="18"/>
          <w:szCs w:val="18"/>
        </w:rPr>
        <w:t xml:space="preserve">2026 policy, Scope (page 3-4)</w:t>
      </w:r>
    </w:p>
    <w:p>
      <w:pPr>
        <w:spacing w:after="160"/>
      </w:pPr>
      <w:r>
        <w:drawing>
          <wp:inline distT="0" distB="0" distL="0" distR="0">
            <wp:extent cx="5715000" cy="1285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85875"/>
                    </a:xfrm>
                    <a:prstGeom prst="rect">
                      <a:avLst/>
                    </a:prstGeom>
                  </pic:spPr>
                </pic:pic>
              </a:graphicData>
            </a:graphic>
          </wp:inline>
        </w:drawing>
      </w:r>
    </w:p>
    <w:p>
      <w:pPr>
        <w:spacing w:after="120"/>
      </w:pPr>
      <w:r>
        <w:rPr>
          <w:rFonts w:ascii="Arial" w:cs="Arial" w:eastAsia="Arial" w:hAnsi="Arial"/>
          <w:sz w:val="22"/>
          <w:szCs w:val="22"/>
        </w:rPr>
        <w:t xml:space="preserve">Tracker: full-time only. Isaac Butterworth's part-time service from 2019 does not count; his full-time service runs from 19/01/2026 and his first day falls on 19/01/2029. Tyrell Shortt is not eligible. The HR tally had credited 9 days to Isaac and 1 to Tyrell on a part-time basis, which will need reversing.</w:t>
      </w:r>
    </w:p>
    <w:p>
      <w:pPr>
        <w:spacing w:after="80" w:before="240"/>
      </w:pPr>
      <w:r>
        <w:rPr>
          <w:rFonts w:ascii="Arial" w:cs="Arial" w:eastAsia="Arial" w:hAnsi="Arial"/>
          <w:b/>
          <w:bCs/>
          <w:sz w:val="24"/>
          <w:szCs w:val="24"/>
        </w:rPr>
        <w:t xml:space="preserve">2. The 5-year anniversary</w:t>
      </w:r>
    </w:p>
    <w:p>
      <w:pPr>
        <w:spacing w:after="120"/>
      </w:pPr>
      <w:r>
        <w:rPr>
          <w:rFonts w:ascii="Arial" w:cs="Arial" w:eastAsia="Arial" w:hAnsi="Arial"/>
          <w:sz w:val="22"/>
          <w:szCs w:val="22"/>
        </w:rPr>
        <w:t xml:space="preserve">2017: one day on the anniversary, then one day every three months (two days only from the 6-year anniversary).</w:t>
      </w:r>
    </w:p>
    <w:p>
      <w:pPr>
        <w:spacing w:before="60"/>
      </w:pPr>
      <w:r>
        <w:rPr>
          <w:rFonts w:ascii="Arial" w:cs="Arial" w:eastAsia="Arial" w:hAnsi="Arial"/>
          <w:i/>
          <w:iCs/>
          <w:color w:val="555555"/>
          <w:sz w:val="18"/>
          <w:szCs w:val="18"/>
        </w:rPr>
        <w:t xml:space="preserve">2017 flowchart, 5 years or more</w:t>
      </w:r>
    </w:p>
    <w:p>
      <w:pPr>
        <w:spacing w:after="160"/>
      </w:pPr>
      <w:r>
        <w:drawing>
          <wp:inline distT="0" distB="0" distL="0" distR="0">
            <wp:extent cx="5715000" cy="1962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62150"/>
                    </a:xfrm>
                    <a:prstGeom prst="rect">
                      <a:avLst/>
                    </a:prstGeom>
                  </pic:spPr>
                </pic:pic>
              </a:graphicData>
            </a:graphic>
          </wp:inline>
        </w:drawing>
      </w:r>
    </w:p>
    <w:p>
      <w:pPr>
        <w:spacing w:after="120"/>
      </w:pPr>
      <w:r>
        <w:rPr>
          <w:rFonts w:ascii="Arial" w:cs="Arial" w:eastAsia="Arial" w:hAnsi="Arial"/>
          <w:sz w:val="22"/>
          <w:szCs w:val="22"/>
        </w:rPr>
        <w:t xml:space="preserve">2026: two days on the 5-year anniversary itself.</w:t>
      </w:r>
    </w:p>
    <w:p>
      <w:pPr>
        <w:spacing w:before="60"/>
      </w:pPr>
      <w:r>
        <w:rPr>
          <w:rFonts w:ascii="Arial" w:cs="Arial" w:eastAsia="Arial" w:hAnsi="Arial"/>
          <w:i/>
          <w:iCs/>
          <w:color w:val="555555"/>
          <w:sz w:val="18"/>
          <w:szCs w:val="18"/>
        </w:rPr>
        <w:t xml:space="preserve">2026 policy, Accrual Rules (page 5)</w:t>
      </w:r>
    </w:p>
    <w:p>
      <w:pPr>
        <w:spacing w:after="160"/>
      </w:pPr>
      <w:r>
        <w:drawing>
          <wp:inline distT="0" distB="0" distL="0" distR="0">
            <wp:extent cx="5715000" cy="1590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90675"/>
                    </a:xfrm>
                    <a:prstGeom prst="rect">
                      <a:avLst/>
                    </a:prstGeom>
                  </pic:spPr>
                </pic:pic>
              </a:graphicData>
            </a:graphic>
          </wp:inline>
        </w:drawing>
      </w:r>
    </w:p>
    <w:p>
      <w:pPr>
        <w:spacing w:after="120"/>
      </w:pPr>
      <w:r>
        <w:rPr>
          <w:rFonts w:ascii="Arial" w:cs="Arial" w:eastAsia="Arial" w:hAnsi="Arial"/>
          <w:sz w:val="22"/>
          <w:szCs w:val="22"/>
        </w:rPr>
        <w:t xml:space="preserve">Tracker: one day, as per 2017. This matches the HR tally.</w:t>
      </w:r>
    </w:p>
    <w:p>
      <w:pPr>
        <w:spacing w:after="80" w:before="240"/>
      </w:pPr>
      <w:r>
        <w:rPr>
          <w:rFonts w:ascii="Arial" w:cs="Arial" w:eastAsia="Arial" w:hAnsi="Arial"/>
          <w:b/>
          <w:bCs/>
          <w:sz w:val="24"/>
          <w:szCs w:val="24"/>
        </w:rPr>
        <w:t xml:space="preserve">3. Part-time accrual rate (new in 2026)</w:t>
      </w:r>
    </w:p>
    <w:p>
      <w:pPr>
        <w:spacing w:before="60"/>
      </w:pPr>
      <w:r>
        <w:rPr>
          <w:rFonts w:ascii="Arial" w:cs="Arial" w:eastAsia="Arial" w:hAnsi="Arial"/>
          <w:i/>
          <w:iCs/>
          <w:color w:val="555555"/>
          <w:sz w:val="18"/>
          <w:szCs w:val="18"/>
        </w:rPr>
        <w:t xml:space="preserve">2026 policy, Eligible Part-Time Employees (page 5-6)</w:t>
      </w:r>
    </w:p>
    <w:p>
      <w:pPr>
        <w:spacing w:after="160"/>
      </w:pPr>
      <w:r>
        <w:drawing>
          <wp:inline distT="0" distB="0" distL="0" distR="0">
            <wp:extent cx="5715000" cy="1628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628775"/>
                    </a:xfrm>
                    <a:prstGeom prst="rect">
                      <a:avLst/>
                    </a:prstGeom>
                  </pic:spPr>
                </pic:pic>
              </a:graphicData>
            </a:graphic>
          </wp:inline>
        </w:drawing>
      </w:r>
    </w:p>
    <w:p>
      <w:pPr>
        <w:spacing w:after="120"/>
      </w:pPr>
      <w:r>
        <w:rPr>
          <w:rFonts w:ascii="Arial" w:cs="Arial" w:eastAsia="Arial" w:hAnsi="Arial"/>
          <w:sz w:val="22"/>
          <w:szCs w:val="22"/>
        </w:rPr>
        <w:t xml:space="preserve">Tracker: not applied.</w:t>
      </w:r>
    </w:p>
    <w:p>
      <w:pPr>
        <w:spacing w:after="80" w:before="240"/>
      </w:pPr>
      <w:r>
        <w:rPr>
          <w:rFonts w:ascii="Arial" w:cs="Arial" w:eastAsia="Arial" w:hAnsi="Arial"/>
          <w:b/>
          <w:bCs/>
          <w:sz w:val="24"/>
          <w:szCs w:val="24"/>
        </w:rPr>
        <w:t xml:space="preserve">4. When service is counted from</w:t>
      </w:r>
    </w:p>
    <w:p>
      <w:pPr>
        <w:spacing w:after="120"/>
      </w:pPr>
      <w:r>
        <w:rPr>
          <w:rFonts w:ascii="Arial" w:cs="Arial" w:eastAsia="Arial" w:hAnsi="Arial"/>
          <w:sz w:val="22"/>
          <w:szCs w:val="22"/>
        </w:rPr>
        <w:t xml:space="preserve">2017: from the full-time employment start date, or the eligibility letter date if different.</w:t>
      </w:r>
    </w:p>
    <w:p>
      <w:pPr>
        <w:spacing w:before="60"/>
      </w:pPr>
      <w:r>
        <w:rPr>
          <w:rFonts w:ascii="Arial" w:cs="Arial" w:eastAsia="Arial" w:hAnsi="Arial"/>
          <w:i/>
          <w:iCs/>
          <w:color w:val="555555"/>
          <w:sz w:val="18"/>
          <w:szCs w:val="18"/>
        </w:rPr>
        <w:t xml:space="preserve">2017 flowchart, 3 to 5 years</w:t>
      </w:r>
    </w:p>
    <w:p>
      <w:pPr>
        <w:spacing w:after="160"/>
      </w:pPr>
      <w:r>
        <w:drawing>
          <wp:inline distT="0" distB="0" distL="0" distR="0">
            <wp:extent cx="5314950" cy="20574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14950" cy="2057400"/>
                    </a:xfrm>
                    <a:prstGeom prst="rect">
                      <a:avLst/>
                    </a:prstGeom>
                  </pic:spPr>
                </pic:pic>
              </a:graphicData>
            </a:graphic>
          </wp:inline>
        </w:drawing>
      </w:r>
    </w:p>
    <w:p>
      <w:pPr>
        <w:spacing w:after="120"/>
      </w:pPr>
      <w:r>
        <w:rPr>
          <w:rFonts w:ascii="Arial" w:cs="Arial" w:eastAsia="Arial" w:hAnsi="Arial"/>
          <w:sz w:val="22"/>
          <w:szCs w:val="22"/>
        </w:rPr>
        <w:t xml:space="preserve">2026: from the original start date with CTS, paused during parental leave or leave without pay.</w:t>
      </w:r>
    </w:p>
    <w:p>
      <w:pPr>
        <w:spacing w:before="60"/>
      </w:pPr>
      <w:r>
        <w:rPr>
          <w:rFonts w:ascii="Arial" w:cs="Arial" w:eastAsia="Arial" w:hAnsi="Arial"/>
          <w:i/>
          <w:iCs/>
          <w:color w:val="555555"/>
          <w:sz w:val="18"/>
          <w:szCs w:val="18"/>
        </w:rPr>
        <w:t xml:space="preserve">2026 policy, Definitions (page 3)</w:t>
      </w:r>
    </w:p>
    <w:p>
      <w:pPr>
        <w:spacing w:after="160"/>
      </w:pPr>
      <w:r>
        <w:drawing>
          <wp:inline distT="0" distB="0" distL="0" distR="0">
            <wp:extent cx="5715000" cy="819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819150"/>
                    </a:xfrm>
                    <a:prstGeom prst="rect">
                      <a:avLst/>
                    </a:prstGeom>
                  </pic:spPr>
                </pic:pic>
              </a:graphicData>
            </a:graphic>
          </wp:inline>
        </w:drawing>
      </w:r>
    </w:p>
    <w:p>
      <w:pPr>
        <w:spacing w:before="60"/>
      </w:pPr>
      <w:r>
        <w:rPr>
          <w:rFonts w:ascii="Arial" w:cs="Arial" w:eastAsia="Arial" w:hAnsi="Arial"/>
          <w:i/>
          <w:iCs/>
          <w:color w:val="555555"/>
          <w:sz w:val="18"/>
          <w:szCs w:val="18"/>
        </w:rPr>
        <w:t xml:space="preserve">2026 policy, Qualifying Service and Extended Leave of Absence (page 5)</w:t>
      </w:r>
    </w:p>
    <w:p>
      <w:pPr>
        <w:spacing w:after="160"/>
      </w:pPr>
      <w:r>
        <w:drawing>
          <wp:inline distT="0" distB="0" distL="0" distR="0">
            <wp:extent cx="5715000" cy="16478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47825"/>
                    </a:xfrm>
                    <a:prstGeom prst="rect">
                      <a:avLst/>
                    </a:prstGeom>
                  </pic:spPr>
                </pic:pic>
              </a:graphicData>
            </a:graphic>
          </wp:inline>
        </w:drawing>
      </w:r>
    </w:p>
    <w:p>
      <w:pPr>
        <w:spacing w:after="120"/>
      </w:pPr>
      <w:r>
        <w:rPr>
          <w:rFonts w:ascii="Arial" w:cs="Arial" w:eastAsia="Arial" w:hAnsi="Arial"/>
          <w:sz w:val="22"/>
          <w:szCs w:val="22"/>
        </w:rPr>
        <w:t xml:space="preserve">Tracker: service counts from the full-time start date, or from 27/11/2017 for anyone employed before the scheme began. Nothing is counted back before the scheme start, so those staff reach 3 years on 27/11/2020 and 5 years on 27/11/2022.</w:t>
      </w:r>
    </w:p>
    <w:p>
      <w:pPr>
        <w:spacing w:after="120"/>
      </w:pPr>
      <w:r>
        <w:rPr>
          <w:rFonts w:ascii="Arial" w:cs="Arial" w:eastAsia="Arial" w:hAnsi="Arial"/>
          <w:sz w:val="22"/>
          <w:szCs w:val="22"/>
        </w:rPr>
        <w:t xml:space="preserve">On this basis Daniel Sobkowski, Duncan Lugstein and Jordan Sexty were credited from their original anniversaries under the old tally and now hold more in EH than their entitlement: Daniel 40 hours, Duncan 160 hours and Jordan 64 hours over. I checked Daniel's and Jordan's personnel files and could not find an eligibility letter for either of them, yet HR accrued for them from 2017. I need your decision on whether that excess stands as granted or is reversed.</w:t>
      </w:r>
    </w:p>
    <w:p>
      <w:pPr>
        <w:spacing w:after="80" w:before="240"/>
      </w:pPr>
      <w:r>
        <w:rPr>
          <w:rFonts w:ascii="Arial" w:cs="Arial" w:eastAsia="Arial" w:hAnsi="Arial"/>
          <w:b/>
          <w:bCs/>
          <w:sz w:val="24"/>
          <w:szCs w:val="24"/>
        </w:rPr>
        <w:t xml:space="preserve">5. Termination (the agreed change)</w:t>
      </w:r>
    </w:p>
    <w:p>
      <w:pPr>
        <w:spacing w:after="120"/>
      </w:pPr>
      <w:r>
        <w:rPr>
          <w:rFonts w:ascii="Arial" w:cs="Arial" w:eastAsia="Arial" w:hAnsi="Arial"/>
          <w:sz w:val="22"/>
          <w:szCs w:val="22"/>
        </w:rPr>
        <w:t xml:space="preserve">2017: Bonus Leave accrued more than a year before termination was paid out.</w:t>
      </w:r>
    </w:p>
    <w:p>
      <w:pPr>
        <w:spacing w:before="60"/>
      </w:pPr>
      <w:r>
        <w:rPr>
          <w:rFonts w:ascii="Arial" w:cs="Arial" w:eastAsia="Arial" w:hAnsi="Arial"/>
          <w:i/>
          <w:iCs/>
          <w:color w:val="555555"/>
          <w:sz w:val="18"/>
          <w:szCs w:val="18"/>
        </w:rPr>
        <w:t xml:space="preserve">2017 flowchart, leaving CTS</w:t>
      </w:r>
    </w:p>
    <w:p>
      <w:pPr>
        <w:spacing w:after="160"/>
      </w:pPr>
      <w:r>
        <w:drawing>
          <wp:inline distT="0" distB="0" distL="0" distR="0">
            <wp:extent cx="3981450" cy="2286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81450" cy="2286000"/>
                    </a:xfrm>
                    <a:prstGeom prst="rect">
                      <a:avLst/>
                    </a:prstGeom>
                  </pic:spPr>
                </pic:pic>
              </a:graphicData>
            </a:graphic>
          </wp:inline>
        </w:drawing>
      </w:r>
    </w:p>
    <w:p>
      <w:pPr>
        <w:spacing w:after="120"/>
      </w:pPr>
      <w:r>
        <w:rPr>
          <w:rFonts w:ascii="Arial" w:cs="Arial" w:eastAsia="Arial" w:hAnsi="Arial"/>
          <w:sz w:val="22"/>
          <w:szCs w:val="22"/>
        </w:rPr>
        <w:t xml:space="preserve">2026: all unused Bonus Leave is forfeited, nothing paid out.</w:t>
      </w:r>
    </w:p>
    <w:p>
      <w:pPr>
        <w:spacing w:before="60"/>
      </w:pPr>
      <w:r>
        <w:rPr>
          <w:rFonts w:ascii="Arial" w:cs="Arial" w:eastAsia="Arial" w:hAnsi="Arial"/>
          <w:i/>
          <w:iCs/>
          <w:color w:val="555555"/>
          <w:sz w:val="18"/>
          <w:szCs w:val="18"/>
        </w:rPr>
        <w:t xml:space="preserve">2026 policy, Termination of Employment (page 8)</w:t>
      </w:r>
    </w:p>
    <w:p>
      <w:pPr>
        <w:spacing w:after="160"/>
      </w:pPr>
      <w:r>
        <w:drawing>
          <wp:inline distT="0" distB="0" distL="0" distR="0">
            <wp:extent cx="5715000" cy="1076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076325"/>
                    </a:xfrm>
                    <a:prstGeom prst="rect">
                      <a:avLst/>
                    </a:prstGeom>
                  </pic:spPr>
                </pic:pic>
              </a:graphicData>
            </a:graphic>
          </wp:inline>
        </w:drawing>
      </w:r>
    </w:p>
    <w:p>
      <w:pPr>
        <w:spacing w:after="120"/>
      </w:pPr>
      <w:r>
        <w:rPr>
          <w:rFonts w:ascii="Arial" w:cs="Arial" w:eastAsia="Arial" w:hAnsi="Arial"/>
          <w:sz w:val="22"/>
          <w:szCs w:val="22"/>
        </w:rPr>
        <w:t xml:space="preserve">Tracker: leavers are removed and their EH balance zeroed.</w:t>
      </w:r>
    </w:p>
    <w:p>
      <w:pPr>
        <w:spacing w:after="120"/>
      </w:pPr>
      <w:r>
        <w:rPr>
          <w:rFonts w:ascii="Arial" w:cs="Arial" w:eastAsia="Arial" w:hAnsi="Arial"/>
          <w:sz w:val="22"/>
          <w:szCs w:val="22"/>
        </w:rPr>
        <w:t xml:space="preserve">Everything else is the same in both: first day at 3 years, one day every four months to year 5, five days a year after that, no pro-rata, and nothing before the scheme start on 27/11/2017.</w:t>
      </w:r>
    </w:p>
    <w:p>
      <w:pPr>
        <w:spacing w:after="120"/>
      </w:pPr>
      <w:r>
        <w:rPr>
          <w:rFonts w:ascii="Arial" w:cs="Arial" w:eastAsia="Arial" w:hAnsi="Arial"/>
          <w:sz w:val="22"/>
          <w:szCs w:val="22"/>
        </w:rPr>
        <w:t xml:space="preserve">The tracker has a single switch to apply the 2026 accrual changes if that decision is ever revisited. Separately, the eligibility letters I listed earlier still stand, with Isaac and Tyrell removed from that list under these rules.</w:t>
      </w:r>
    </w:p>
    <w:p>
      <w:pPr>
        <w:spacing w:after="120"/>
      </w:pPr>
      <w:r>
        <w:rPr>
          <w:rFonts w:ascii="Arial" w:cs="Arial" w:eastAsia="Arial" w:hAnsi="Arial"/>
          <w:sz w:val="22"/>
          <w:szCs w:val="22"/>
        </w:rPr>
        <w:t xml:space="preserve">Thanks,</w:t>
      </w:r>
    </w:p>
    <w:p>
      <w:pPr>
        <w:spacing w:after="120"/>
      </w:pPr>
      <w:r>
        <w:rPr>
          <w:rFonts w:ascii="Arial" w:cs="Arial" w:eastAsia="Arial" w:hAnsi="Arial"/>
          <w:sz w:val="22"/>
          <w:szCs w:val="22"/>
        </w:rPr>
        <w:t xml:space="preserve">Danica</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1d063e7489d08650bd07fcfb0571f681192c72a.png"/><Relationship Id="rId8" Type="http://schemas.openxmlformats.org/officeDocument/2006/relationships/image" Target="media/fd666bf1816fe9dd49a1498c6773d37ac9b6f6b0.png"/><Relationship Id="rId9" Type="http://schemas.openxmlformats.org/officeDocument/2006/relationships/image" Target="media/ac77945b3381bbca33834fcb2feb6073c8bc215e.png"/><Relationship Id="rId10" Type="http://schemas.openxmlformats.org/officeDocument/2006/relationships/image" Target="media/9c084ee8a40ac1eb1887febd760d0408c42d49c5.png"/><Relationship Id="rId11" Type="http://schemas.openxmlformats.org/officeDocument/2006/relationships/image" Target="media/0bab291537ad63e3b29fe0da99d9cced560041b5.png"/><Relationship Id="rId12" Type="http://schemas.openxmlformats.org/officeDocument/2006/relationships/image" Target="media/ac3a7eef14c0dc155f7d60eadabc0416866de2cd.png"/><Relationship Id="rId13" Type="http://schemas.openxmlformats.org/officeDocument/2006/relationships/image" Target="media/168694c0f29bdd83d48bc4b0ce0e841757f2f157.png"/><Relationship Id="rId14" Type="http://schemas.openxmlformats.org/officeDocument/2006/relationships/image" Target="media/dd399b382c3205fac4a42650db1da25e6f227878.png"/><Relationship Id="rId15" Type="http://schemas.openxmlformats.org/officeDocument/2006/relationships/image" Target="media/b6bd384c5efce733ba9e3c7a604315d66a0b9dff.png"/><Relationship Id="rId16" Type="http://schemas.openxmlformats.org/officeDocument/2006/relationships/image" Target="media/9724dd699a78d3ae6594a68cb28b76e5aa67218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2026-10-09T03:34:35.375Z</dcterms:created>
  <dcterms:modified xsi:type="dcterms:W3CDTF">2026-10-09T03:34:35.375Z</dcterms:modified>
</cp:coreProperties>
</file>

<file path=docProps/custom.xml><?xml version="1.0" encoding="utf-8"?>
<Properties xmlns="http://schemas.openxmlformats.org/officeDocument/2006/custom-properties" xmlns:vt="http://schemas.openxmlformats.org/officeDocument/2006/docPropsVTypes"/>
</file>