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4: Reconciling Timesheets (continued)</w:t>
      </w:r>
    </w:p>
    <w:p>
      <w:pPr>
        <w:spacing w:after="480" w:before="160"/>
      </w:pPr>
      <w:r>
        <w:rPr>
          <w:color w:val="595959"/>
          <w:sz w:val="22"/>
          <w:szCs w:val="22"/>
        </w:rPr>
        <w:t xml:space="preserve">Corporate Technology Services  ·  Employment Hero Payroll  ·  Salaried employee scenario</w:t>
      </w:r>
    </w:p>
    <w:p>
      <w:pPr>
        <w:pStyle w:val="Heading1"/>
        <w:spacing w:after="160" w:before="360"/>
      </w:pPr>
      <w:r>
        <w:rPr>
          <w:b/>
          <w:bCs/>
          <w:color w:val="1F4E79"/>
          <w:sz w:val="28"/>
          <w:szCs w:val="28"/>
        </w:rPr>
        <w:t xml:space="preserve">About Part 4</w:t>
      </w:r>
    </w:p>
    <w:p>
      <w:pPr>
        <w:spacing w:after="120"/>
      </w:pPr>
      <w:r>
        <w:rPr>
          <w:sz w:val="22"/>
          <w:szCs w:val="22"/>
        </w:rPr>
        <w:t xml:space="preserve">This guide continues the reconciliation work covered by Parts 3a, 3b and 3c: casuals, salaried staff, and the employees needing manual handling. It follows on from Part 3b in particular, working through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losing the notes when you change a category, applies to every correction you make in a pay run.</w:t>
      </w:r>
    </w:p>
    <w:p>
      <w:pPr>
        <w:pStyle w:val="Heading1"/>
        <w:spacing w:after="160" w:before="360"/>
      </w:pPr>
      <w:r>
        <w:rPr>
          <w:b/>
          <w:bCs/>
          <w:color w:val="1F4E79"/>
          <w:sz w:val="28"/>
          <w:szCs w:val="28"/>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it is not a blanket rule for everyone the break condition flags.</w:t>
      </w:r>
    </w:p>
    <w:p>
      <w:pPr>
        <w:pStyle w:val="Heading1"/>
        <w:spacing w:after="160" w:before="360"/>
      </w:pPr>
      <w:r>
        <w:rPr>
          <w:b/>
          <w:bCs/>
          <w:color w:val="1F4E79"/>
          <w:sz w:val="28"/>
          <w:szCs w:val="28"/>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1"/>
        <w:spacing w:after="160" w:before="360"/>
      </w:pPr>
      <w:r>
        <w:rPr>
          <w:b/>
          <w:bCs/>
          <w:color w:val="1F4E79"/>
          <w:sz w:val="28"/>
          <w:szCs w:val="28"/>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80 for a full-time employee. If you cannot reconcile to that figure, stop and investigate rather than adjusting a number to make it balance.</w:t>
            </w:r>
          </w:p>
        </w:tc>
      </w:tr>
    </w:tbl>
    <w:p>
      <w:pPr>
        <w:spacing w:after="200"/>
      </w:pPr>
    </w:p>
    <w:p>
      <w:pPr>
        <w:pStyle w:val="Heading1"/>
        <w:spacing w:after="160" w:before="360"/>
      </w:pPr>
      <w:r>
        <w:rPr>
          <w:b/>
          <w:bCs/>
          <w:color w:val="1F4E79"/>
          <w:sz w:val="28"/>
          <w:szCs w:val="28"/>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1"/>
        <w:spacing w:after="160" w:before="360"/>
      </w:pPr>
      <w:r>
        <w:rPr>
          <w:b/>
          <w:bCs/>
          <w:color w:val="1F4E79"/>
          <w:sz w:val="28"/>
          <w:szCs w:val="28"/>
        </w:rPr>
        <w:t xml:space="preserve">Step 5  Check pay run inclusions</w:t>
      </w:r>
    </w:p>
    <w:p>
      <w:pPr>
        <w:spacing w:after="120"/>
      </w:pPr>
      <w:r>
        <w:rPr>
          <w:sz w:val="22"/>
          <w:szCs w:val="22"/>
        </w:rPr>
        <w:t xml:space="preserve">Finally, check the employee's pay run inclusion settings for any standing arrangements,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5: Reconciling &amp; Balancing the Pay Run.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4: Reconciling Timesheets (continued)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facde66dfa8ac681558633a08ad7b84465713a.png"/><Relationship Id="rId10" Type="http://schemas.openxmlformats.org/officeDocument/2006/relationships/image" Target="media/fe060fc571166180fcf9de73c3c28ee28e2d36bd.png"/><Relationship Id="rId11" Type="http://schemas.openxmlformats.org/officeDocument/2006/relationships/image" Target="media/c774905dd5d49e64a0e50627a5f7c84049bbd17a.png"/><Relationship Id="rId12" Type="http://schemas.openxmlformats.org/officeDocument/2006/relationships/image" Target="media/01d191fd49636cd85c89d8e36630fe1b9d45a95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4: Reconciling Timesheets (continued)</dc:title>
  <dc:creator>Corporate Technology Services</dc:creator>
  <dc:description>Corporate Technology Services  ·  Employment Hero Payroll  ·  Salaried employee scenario</dc:description>
  <cp:lastModifiedBy>Un-named</cp:lastModifiedBy>
  <cp:revision>1</cp:revision>
  <dcterms:created xsi:type="dcterms:W3CDTF">2026-09-03T06:26:23.563Z</dcterms:created>
  <dcterms:modified xsi:type="dcterms:W3CDTF">2026-09-03T06:26:23.563Z</dcterms:modified>
</cp:coreProperties>
</file>

<file path=docProps/custom.xml><?xml version="1.0" encoding="utf-8"?>
<Properties xmlns="http://schemas.openxmlformats.org/officeDocument/2006/custom-properties" xmlns:vt="http://schemas.openxmlformats.org/officeDocument/2006/docPropsVTypes"/>
</file>