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b/>
          <w:bCs/>
          <w:color w:val="595959"/>
          <w:spacing w:val="60"/>
          <w:sz w:val="24"/>
          <w:szCs w:val="24"/>
        </w:rPr>
        <w:t xml:space="preserve">CORPORATE TECHNOLOGY SERVICES</w:t>
      </w:r>
    </w:p>
    <w:p>
      <w:pPr>
        <w:pBdr>
          <w:bottom w:val="single" w:color="1F4E79" w:sz="12" w:space="8"/>
        </w:pBdr>
        <w:spacing w:after="80"/>
      </w:pPr>
      <w:r>
        <w:rPr>
          <w:b/>
          <w:bCs/>
          <w:color w:val="1F4E79"/>
          <w:sz w:val="56"/>
          <w:szCs w:val="56"/>
        </w:rPr>
        <w:t xml:space="preserve">Payroll Processing Manual</w:t>
      </w:r>
    </w:p>
    <w:p>
      <w:pPr>
        <w:spacing w:after="400" w:before="160"/>
      </w:pPr>
      <w:r>
        <w:rPr>
          <w:color w:val="595959"/>
          <w:sz w:val="22"/>
          <w:szCs w:val="22"/>
        </w:rPr>
        <w:t xml:space="preserve">Employment Hero Payroll  ·  Fortnightly cycle  ·  Complete series</w:t>
      </w:r>
    </w:p>
    <w:p>
      <w:pPr>
        <w:spacing w:after="120"/>
      </w:pPr>
      <w:r>
        <w:rPr>
          <w:sz w:val="22"/>
          <w:szCs w:val="22"/>
        </w:rPr>
        <w:t xml:space="preserve">Payroll at CTS runs on a fortnightly cycle. This manual covers that cycle end to end, from collecting payroll notes through to uploading the payment file and filing the records.</w:t>
      </w:r>
    </w:p>
    <w:p>
      <w:pPr>
        <w:spacing w:after="120"/>
      </w:pPr>
      <w:r>
        <w:rPr>
          <w:sz w:val="22"/>
          <w:szCs w:val="22"/>
        </w:rPr>
        <w:t xml:space="preserve">The eight parts are also published as standalone guides, so a new starter can be given only the sections that apply to them. Both are generated from the same source, so they always agree.</w:t>
      </w:r>
    </w:p>
    <w:p>
      <w:pPr>
        <w:spacing w:after="120"/>
      </w:pPr>
      <w:r>
        <w:rPr>
          <w:sz w:val="22"/>
          <w:szCs w:val="22"/>
        </w:rPr>
        <w:t xml:space="preserve">Reconciliation takes four of the eight parts, because the rules differ by employment type. Check an employee's type before applying any rule; the same hours are treated differently for a casual and a salaried employee.</w:t>
      </w:r>
    </w:p>
    <w:p>
      <w:pPr>
        <w:spacing w:after="160" w:before="240"/>
      </w:pPr>
      <w:r>
        <w:rPr>
          <w:b/>
          <w:bCs/>
          <w:color w:val="1F4E79"/>
          <w:sz w:val="32"/>
          <w:szCs w:val="32"/>
        </w:rPr>
        <w:t xml:space="preserve">Contents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79" w:sz="12" w:space="8"/>
        </w:pBdr>
        <w:spacing w:after="80" w:before="240"/>
      </w:pPr>
      <w:r>
        <w:rPr>
          <w:b/>
          <w:bCs/>
          <w:color w:val="1F4E79"/>
          <w:sz w:val="40"/>
          <w:szCs w:val="40"/>
        </w:rPr>
        <w:t xml:space="preserve">Part 1: Payroll Prep</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1</w:t>
      </w:r>
    </w:p>
    <w:p>
      <w:pPr>
        <w:spacing w:after="120"/>
      </w:pPr>
      <w:r>
        <w:rPr>
          <w:sz w:val="22"/>
          <w:szCs w:val="22"/>
        </w:rPr>
        <w:t xml:space="preserve">Payroll at CTS runs on a fortnightly cycle. This guide covers Payroll Prep: everything that must be done before a pay run is created. It is the first of eight parts.</w:t>
      </w:r>
    </w:p>
    <w:p>
      <w:pPr>
        <w:spacing w:after="120"/>
      </w:pPr>
      <w:r>
        <w:rPr>
          <w:sz w:val="22"/>
          <w:szCs w:val="22"/>
        </w:rPr>
        <w:t xml:space="preserve">Work through it in order. Every step here must be complete before you move on to Part 2, because a pay run created from incomplete prep has to be scrapped and rebuilt.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Start early.  </w:t>
            </w:r>
            <w:r>
              <w:rPr>
                <w:sz w:val="22"/>
                <w:szCs w:val="22"/>
              </w:rPr>
              <w:t xml:space="preserve">Begin payroll prep on the Friday before the Monday you process payroll. Prep is not a Monday-morning task; leaving it until the day means chasing approvals under time pressure.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Before you begin, make sure you have:  </w:t>
            </w:r>
            <w:r>
              <w:rPr>
                <w:sz w:val="22"/>
                <w:szCs w:val="22"/>
              </w:rPr>
              <w:t xml:space="preserve">Access to the CTS Accounts mailbox, the Y drive (OneDrive), and Employment Hero payroll.</w:t>
            </w:r>
          </w:p>
        </w:tc>
      </w:tr>
    </w:tbl>
    <w:p>
      <w:pPr>
        <w:spacing w:after="200"/>
      </w:pPr>
    </w:p>
    <w:p>
      <w:pPr>
        <w:pStyle w:val="Heading2"/>
        <w:spacing w:after="160" w:before="360"/>
      </w:pPr>
      <w:r>
        <w:rPr>
          <w:b/>
          <w:bCs/>
          <w:color w:val="1F4E79"/>
          <w:sz w:val="26"/>
          <w:szCs w:val="26"/>
        </w:rPr>
        <w:t xml:space="preserve">Step 1  Collect payroll notes across the fortnight</w:t>
      </w:r>
    </w:p>
    <w:p>
      <w:pPr>
        <w:spacing w:after="120"/>
      </w:pPr>
      <w:r>
        <w:rPr>
          <w:sz w:val="22"/>
          <w:szCs w:val="22"/>
        </w:rPr>
        <w:t xml:space="preserve">Throughout the fortnight you will receive emails covering anything that changes someone's pay. These include:</w:t>
      </w:r>
    </w:p>
    <w:p>
      <w:pPr>
        <w:pStyle w:val="ListParagraph"/>
        <w:numPr>
          <w:ilvl w:val="0"/>
          <w:numId w:val="2"/>
        </w:numPr>
        <w:spacing w:after="80"/>
      </w:pPr>
      <w:r>
        <w:rPr>
          <w:sz w:val="22"/>
          <w:szCs w:val="22"/>
        </w:rPr>
        <w:t xml:space="preserve">Payroll queries</w:t>
      </w:r>
    </w:p>
    <w:p>
      <w:pPr>
        <w:pStyle w:val="ListParagraph"/>
        <w:numPr>
          <w:ilvl w:val="0"/>
          <w:numId w:val="2"/>
        </w:numPr>
        <w:spacing w:after="80"/>
      </w:pPr>
      <w:r>
        <w:rPr>
          <w:sz w:val="22"/>
          <w:szCs w:val="22"/>
        </w:rPr>
        <w:t xml:space="preserve">Backpays: for example, hours worked at the wrong rate, or work not captured on a timesheet</w:t>
      </w:r>
    </w:p>
    <w:p>
      <w:pPr>
        <w:pStyle w:val="ListParagraph"/>
        <w:numPr>
          <w:ilvl w:val="0"/>
          <w:numId w:val="2"/>
        </w:numPr>
        <w:spacing w:after="80"/>
      </w:pPr>
      <w:r>
        <w:rPr>
          <w:sz w:val="22"/>
          <w:szCs w:val="22"/>
        </w:rPr>
        <w:t xml:space="preserve">Additions and bonuses</w:t>
      </w:r>
    </w:p>
    <w:p>
      <w:pPr>
        <w:pStyle w:val="ListParagraph"/>
        <w:numPr>
          <w:ilvl w:val="0"/>
          <w:numId w:val="2"/>
        </w:numPr>
        <w:spacing w:after="80"/>
      </w:pPr>
      <w:r>
        <w:rPr>
          <w:sz w:val="22"/>
          <w:szCs w:val="22"/>
        </w:rPr>
        <w:t xml:space="preserve">Leave approvals and bonus leave</w:t>
      </w:r>
    </w:p>
    <w:p>
      <w:pPr>
        <w:spacing w:after="120"/>
      </w:pPr>
      <w:r>
        <w:rPr>
          <w:sz w:val="22"/>
          <w:szCs w:val="22"/>
        </w:rPr>
        <w:t xml:space="preserve">These arrive in one of two places: directly in your own inbox, or in the CTS Accounts inbox. Anything landing in the Accounts inbox is filed under the Payroll category.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The CTS Accounts inbox grouped by category. Payroll items are collected under the Payroll category.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Collect as you go.  </w:t>
            </w:r>
            <w:r>
              <w:rPr>
                <w:sz w:val="22"/>
                <w:szCs w:val="22"/>
              </w:rPr>
              <w:t xml:space="preserve">Do not leave this until prep day. Gathering a fortnight of scattered emails in one sitting is where items get missed.</w:t>
            </w:r>
          </w:p>
        </w:tc>
      </w:tr>
    </w:tbl>
    <w:p>
      <w:pPr>
        <w:spacing w:after="200"/>
      </w:pPr>
    </w:p>
    <w:p>
      <w:pPr>
        <w:pStyle w:val="Heading2"/>
        <w:spacing w:after="160" w:before="360"/>
      </w:pPr>
      <w:r>
        <w:rPr>
          <w:b/>
          <w:bCs/>
          <w:color w:val="1F4E79"/>
          <w:sz w:val="26"/>
          <w:szCs w:val="26"/>
        </w:rPr>
        <w:t xml:space="preserve">Step 2  Collate the notes into a single email</w:t>
      </w:r>
    </w:p>
    <w:p>
      <w:pPr>
        <w:spacing w:after="120"/>
      </w:pPr>
      <w:r>
        <w:rPr>
          <w:sz w:val="22"/>
          <w:szCs w:val="22"/>
        </w:rPr>
        <w:t xml:space="preserve">How you collate the notes is your choice, but the recommended method is to keep them in a single draft email as they arrive.</w:t>
      </w:r>
    </w:p>
    <w:p>
      <w:pPr>
        <w:spacing w:after="120"/>
      </w:pPr>
      <w:r>
        <w:rPr>
          <w:sz w:val="22"/>
          <w:szCs w:val="22"/>
        </w:rPr>
        <w:t xml:space="preserve">The reason is the approval step: once prep is finished, the collated notes go to Duncan or Graham for approval. If they are already in an email, that approval is a single send with no rework.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A running draft of payroll notes. Each item records who is affected, what is owed, and the dates involved. Employee details are blurred in this guide.</w:t>
      </w:r>
    </w:p>
    <w:p>
      <w:pPr>
        <w:pStyle w:val="Heading2"/>
        <w:spacing w:after="160" w:before="360"/>
      </w:pPr>
      <w:r>
        <w:rPr>
          <w:b/>
          <w:bCs/>
          <w:color w:val="1F4E79"/>
          <w:sz w:val="26"/>
          <w:szCs w:val="26"/>
        </w:rPr>
        <w:t xml:space="preserve">Step 3  Copy the timesheet template into the fortnight folder</w:t>
      </w:r>
    </w:p>
    <w:p>
      <w:pPr>
        <w:spacing w:after="120"/>
      </w:pPr>
      <w:r>
        <w:rPr>
          <w:sz w:val="22"/>
          <w:szCs w:val="22"/>
        </w:rPr>
        <w:t xml:space="preserve">The timesheet template lives on the Y drive. Navigate to it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Drive</w:t>
            </w:r>
          </w:p>
        </w:tc>
        <w:tc>
          <w:tcPr>
            <w:tcW w:type="dxa" w:w="6460"/>
            <w:shd w:fill="F7F9FC" w:val="clear"/>
            <w:tcMar>
              <w:top w:type="dxa" w:w="80"/>
              <w:left w:type="dxa" w:w="140"/>
              <w:bottom w:type="dxa" w:w="80"/>
              <w:right w:type="dxa" w:w="140"/>
            </w:tcMar>
          </w:tcPr>
          <w:p>
            <w:r>
              <w:rPr>
                <w:b w:val="false"/>
                <w:bCs w:val="false"/>
                <w:sz w:val="20"/>
                <w:szCs w:val="20"/>
              </w:rPr>
              <w:t xml:space="preserve">Y drive: CTS NAS Accounts (Y:) Backup, via OneDrive</w:t>
            </w:r>
          </w:p>
        </w:tc>
      </w:tr>
      <w:tr>
        <w:tc>
          <w:tcPr>
            <w:tcW w:type="dxa" w:w="2900"/>
            <w:shd w:fill="FFFFFF" w:val="clear"/>
            <w:tcMar>
              <w:top w:type="dxa" w:w="80"/>
              <w:left w:type="dxa" w:w="140"/>
              <w:bottom w:type="dxa" w:w="80"/>
              <w:right w:type="dxa" w:w="140"/>
            </w:tcMar>
          </w:tcPr>
          <w:p>
            <w:r>
              <w:rPr>
                <w:b/>
                <w:bCs/>
                <w:sz w:val="20"/>
                <w:szCs w:val="20"/>
              </w:rPr>
              <w:t xml:space="preserve">Folder</w:t>
            </w:r>
          </w:p>
        </w:tc>
        <w:tc>
          <w:tcPr>
            <w:tcW w:type="dxa" w:w="6460"/>
            <w:shd w:fill="FFFFFF" w:val="clear"/>
            <w:tcMar>
              <w:top w:type="dxa" w:w="80"/>
              <w:left w:type="dxa" w:w="140"/>
              <w:bottom w:type="dxa" w:w="80"/>
              <w:right w:type="dxa" w:w="140"/>
            </w:tcMar>
          </w:tcPr>
          <w:p>
            <w:r>
              <w:rPr>
                <w:b w:val="false"/>
                <w:bCs w:val="false"/>
                <w:sz w:val="20"/>
                <w:szCs w:val="20"/>
              </w:rPr>
              <w:t xml:space="preserve">03 Payroll</w:t>
            </w:r>
          </w:p>
        </w:tc>
      </w:tr>
      <w:tr>
        <w:tc>
          <w:tcPr>
            <w:tcW w:type="dxa" w:w="2900"/>
            <w:shd w:fill="F7F9FC" w:val="clear"/>
            <w:tcMar>
              <w:top w:type="dxa" w:w="80"/>
              <w:left w:type="dxa" w:w="140"/>
              <w:bottom w:type="dxa" w:w="80"/>
              <w:right w:type="dxa" w:w="140"/>
            </w:tcMar>
          </w:tcPr>
          <w:p>
            <w:r>
              <w:rPr>
                <w:b/>
                <w:bCs/>
                <w:sz w:val="20"/>
                <w:szCs w:val="20"/>
              </w:rPr>
              <w:t xml:space="preserve">Sub-folder</w:t>
            </w:r>
          </w:p>
        </w:tc>
        <w:tc>
          <w:tcPr>
            <w:tcW w:type="dxa" w:w="6460"/>
            <w:shd w:fill="F7F9FC" w:val="clear"/>
            <w:tcMar>
              <w:top w:type="dxa" w:w="80"/>
              <w:left w:type="dxa" w:w="140"/>
              <w:bottom w:type="dxa" w:w="80"/>
              <w:right w:type="dxa" w:w="140"/>
            </w:tcMar>
          </w:tcPr>
          <w:p>
            <w:r>
              <w:rPr>
                <w:b w:val="false"/>
                <w:bCs w:val="false"/>
                <w:sz w:val="20"/>
                <w:szCs w:val="20"/>
              </w:rPr>
              <w:t xml:space="preserve">02 Payroll Related  ›  Payroll Timesheets</w:t>
            </w:r>
          </w:p>
        </w:tc>
      </w:tr>
      <w:tr>
        <w:tc>
          <w:tcPr>
            <w:tcW w:type="dxa" w:w="2900"/>
            <w:shd w:fill="FFFFFF" w:val="clear"/>
            <w:tcMar>
              <w:top w:type="dxa" w:w="80"/>
              <w:left w:type="dxa" w:w="140"/>
              <w:bottom w:type="dxa" w:w="80"/>
              <w:right w:type="dxa" w:w="140"/>
            </w:tcMar>
          </w:tcPr>
          <w:p>
            <w:r>
              <w:rPr>
                <w:b/>
                <w:bCs/>
                <w:sz w:val="20"/>
                <w:szCs w:val="20"/>
              </w:rPr>
              <w:t xml:space="preserve">Then</w:t>
            </w:r>
          </w:p>
        </w:tc>
        <w:tc>
          <w:tcPr>
            <w:tcW w:type="dxa" w:w="6460"/>
            <w:shd w:fill="FFFFFF" w:val="clear"/>
            <w:tcMar>
              <w:top w:type="dxa" w:w="80"/>
              <w:left w:type="dxa" w:w="140"/>
              <w:bottom w:type="dxa" w:w="80"/>
              <w:right w:type="dxa" w:w="140"/>
            </w:tcMar>
          </w:tcPr>
          <w:p>
            <w:r>
              <w:rPr>
                <w:b w:val="false"/>
                <w:bCs w:val="false"/>
                <w:sz w:val="20"/>
                <w:szCs w:val="20"/>
              </w:rPr>
              <w:t xml:space="preserve">The relevant financial year</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Y drive folder structure. Payroll sits under 03 Payroll.</w:t>
      </w:r>
    </w:p>
    <w:p>
      <w:pPr>
        <w:spacing w:after="120"/>
      </w:pPr>
      <w:r>
        <w:rPr>
          <w:sz w:val="22"/>
          <w:szCs w:val="22"/>
        </w:rPr>
        <w:t xml:space="preserve">Inside the financial year folder you will find the timesheet template alongside a folder for each fortnight. Copy the template into the correct fortnight folder; do not edit the template itself.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The financial year folder, containing the fortnight folders and the timesheet template.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Name it for the right fortnight.  </w:t>
            </w:r>
            <w:r>
              <w:rPr>
                <w:sz w:val="22"/>
                <w:szCs w:val="22"/>
              </w:rPr>
              <w:t xml:space="preserve">In the example shown, the fortnight ending is 21 August, covering the period 8 August to 21 August.</w:t>
            </w:r>
          </w:p>
        </w:tc>
      </w:tr>
    </w:tbl>
    <w:p>
      <w:pPr>
        <w:spacing w:after="200"/>
      </w:pPr>
    </w:p>
    <w:p>
      <w:pPr>
        <w:pStyle w:val="Heading2"/>
        <w:spacing w:after="160" w:before="360"/>
      </w:pPr>
      <w:r>
        <w:rPr>
          <w:b/>
          <w:bCs/>
          <w:color w:val="1F4E79"/>
          <w:sz w:val="26"/>
          <w:szCs w:val="26"/>
        </w:rPr>
        <w:t xml:space="preserve">Step 4  Populate the timesheet</w:t>
      </w:r>
    </w:p>
    <w:p>
      <w:pPr>
        <w:spacing w:after="120"/>
      </w:pPr>
      <w:r>
        <w:rPr>
          <w:sz w:val="22"/>
          <w:szCs w:val="22"/>
        </w:rPr>
        <w:t xml:space="preserve">Transfer each payroll note into your copy of the template. There are two distinct places information goes, and the difference matters.</w:t>
      </w:r>
    </w:p>
    <w:p>
      <w:pPr>
        <w:pStyle w:val="Heading3"/>
        <w:spacing w:after="160" w:before="360"/>
      </w:pPr>
      <w:r>
        <w:rPr>
          <w:b/>
          <w:bCs/>
          <w:color w:val="1F4E79"/>
          <w:sz w:val="23"/>
          <w:szCs w:val="23"/>
        </w:rPr>
        <w:t xml:space="preserve">The Notes section</w:t>
      </w:r>
    </w:p>
    <w:p>
      <w:pPr>
        <w:spacing w:after="120"/>
      </w:pPr>
      <w:r>
        <w:rPr>
          <w:sz w:val="22"/>
          <w:szCs w:val="22"/>
        </w:rPr>
        <w:t xml:space="preserve">Every payroll note goes in the Notes section against the relevant employee, regardless of whether it changes their pay. This is the record of what was raised and why.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The Notes column, recording the detail behind each adjustment.</w:t>
      </w:r>
    </w:p>
    <w:p>
      <w:pPr>
        <w:pStyle w:val="Heading3"/>
        <w:spacing w:after="160" w:before="360"/>
      </w:pPr>
      <w:r>
        <w:rPr>
          <w:b/>
          <w:bCs/>
          <w:color w:val="1F4E79"/>
          <w:sz w:val="23"/>
          <w:szCs w:val="23"/>
        </w:rPr>
        <w:t xml:space="preserve">Columns E to S</w:t>
      </w:r>
    </w:p>
    <w:p>
      <w:pPr>
        <w:spacing w:after="120"/>
      </w:pPr>
      <w:r>
        <w:rPr>
          <w:sz w:val="22"/>
          <w:szCs w:val="22"/>
        </w:rPr>
        <w:t xml:space="preserve">Columns E through S carry the hours and values that actually drive the pay calculation: Normal Hours, In Lieu Taken, Public Holiday, Annual Leave Hours, and the overtime multipliers T1.25, T1.5 and T1.75.</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6: Columns E to S. Employee names and pay rates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Only if it changes the pay.  </w:t>
            </w:r>
            <w:r>
              <w:rPr>
                <w:sz w:val="22"/>
                <w:szCs w:val="22"/>
              </w:rPr>
              <w:t xml:space="preserve">Populate columns E to S only where the item affects the actual dollar value of the employee's pay. A note that carries no pay impact belongs in the Notes section and nowhere else.</w:t>
            </w:r>
          </w:p>
        </w:tc>
      </w:tr>
    </w:tbl>
    <w:p>
      <w:pPr>
        <w:spacing w:after="200"/>
      </w:pPr>
    </w:p>
    <w:p>
      <w:pPr>
        <w:pStyle w:val="Heading2"/>
        <w:spacing w:after="160" w:before="360"/>
      </w:pPr>
      <w:r>
        <w:rPr>
          <w:b/>
          <w:bCs/>
          <w:color w:val="1F4E79"/>
          <w:sz w:val="26"/>
          <w:szCs w:val="26"/>
        </w:rPr>
        <w:t xml:space="preserve">Step 5  Confirm all timesheets are approved in Employment Hero</w:t>
      </w:r>
    </w:p>
    <w:p>
      <w:pPr>
        <w:spacing w:after="120"/>
      </w:pPr>
      <w:r>
        <w:rPr>
          <w:sz w:val="22"/>
          <w:szCs w:val="22"/>
        </w:rPr>
        <w:t xml:space="preserve">The last prep step is a gate: you cannot create a pay run while timesheets are still awaiting approval.</w:t>
      </w:r>
    </w:p>
    <w:p>
      <w:pPr>
        <w:spacing w:after="120"/>
      </w:pPr>
      <w:r>
        <w:rPr>
          <w:sz w:val="22"/>
          <w:szCs w:val="22"/>
        </w:rPr>
        <w:t xml:space="preserve">In Employment Hero, go to Employee Management › Timesheet Approval, then set the filters: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Show timesheets for period</w:t>
            </w:r>
          </w:p>
        </w:tc>
        <w:tc>
          <w:tcPr>
            <w:tcW w:type="dxa" w:w="6460"/>
            <w:shd w:fill="F7F9FC" w:val="clear"/>
            <w:tcMar>
              <w:top w:type="dxa" w:w="80"/>
              <w:left w:type="dxa" w:w="140"/>
              <w:bottom w:type="dxa" w:w="80"/>
              <w:right w:type="dxa" w:w="140"/>
            </w:tcMar>
          </w:tcPr>
          <w:p>
            <w:r>
              <w:rPr>
                <w:b w:val="false"/>
                <w:bCs w:val="false"/>
                <w:sz w:val="20"/>
                <w:szCs w:val="20"/>
              </w:rPr>
              <w:t xml:space="preserve">Fortnight Ending: set to the fortnight you are processing</w:t>
            </w:r>
          </w:p>
        </w:tc>
      </w:tr>
      <w:tr>
        <w:tc>
          <w:tcPr>
            <w:tcW w:type="dxa" w:w="2900"/>
            <w:shd w:fill="FFFFFF" w:val="clear"/>
            <w:tcMar>
              <w:top w:type="dxa" w:w="80"/>
              <w:left w:type="dxa" w:w="140"/>
              <w:bottom w:type="dxa" w:w="80"/>
              <w:right w:type="dxa" w:w="140"/>
            </w:tcMar>
          </w:tcPr>
          <w:p>
            <w:r>
              <w:rPr>
                <w:b/>
                <w:bCs/>
                <w:sz w:val="20"/>
                <w:szCs w:val="20"/>
              </w:rPr>
              <w:t xml:space="preserve">Status</w:t>
            </w:r>
          </w:p>
        </w:tc>
        <w:tc>
          <w:tcPr>
            <w:tcW w:type="dxa" w:w="6460"/>
            <w:shd w:fill="FFFFFF" w:val="clear"/>
            <w:tcMar>
              <w:top w:type="dxa" w:w="80"/>
              <w:left w:type="dxa" w:w="140"/>
              <w:bottom w:type="dxa" w:w="80"/>
              <w:right w:type="dxa" w:w="140"/>
            </w:tcMar>
          </w:tcPr>
          <w:p>
            <w:r>
              <w:rPr>
                <w:b w:val="false"/>
                <w:bCs w:val="false"/>
                <w:sz w:val="20"/>
                <w:szCs w:val="20"/>
              </w:rPr>
              <w:t xml:space="preserve">Submitted</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7: Approve Timesheets, filtered to Submitted for the fortnight ending 21 August.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If timesheets are listed under Submitted, approvals are still outstanding. You cannot start the pay run; chase the approvals first.</w:t>
      </w:r>
    </w:p>
    <w:p>
      <w:pPr>
        <w:pStyle w:val="ListParagraph"/>
        <w:numPr>
          <w:ilvl w:val="0"/>
          <w:numId w:val="2"/>
        </w:numPr>
        <w:spacing w:after="80"/>
      </w:pPr>
      <w:r>
        <w:rPr>
          <w:sz w:val="22"/>
          <w:szCs w:val="22"/>
        </w:rPr>
        <w:t xml:space="preserve">If the list is empty, everything has been approved and you are clear to proceed.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Missing Timesheets is a separate warning.  </w:t>
            </w:r>
            <w:r>
              <w:rPr>
                <w:sz w:val="22"/>
                <w:szCs w:val="22"/>
              </w:rPr>
              <w:t xml:space="preserve">The banner lists employees who have not created a timesheet for the period at all. Follow these up as well; an approved-but-absent timesheet is still a gap in the pay run.</w:t>
            </w:r>
          </w:p>
        </w:tc>
      </w:tr>
    </w:tbl>
    <w:p>
      <w:pPr>
        <w:spacing w:after="200"/>
      </w:pPr>
    </w:p>
    <w:p>
      <w:pPr>
        <w:pStyle w:val="Heading2"/>
        <w:spacing w:after="160" w:before="360"/>
      </w:pPr>
      <w:r>
        <w:rPr>
          <w:b/>
          <w:bCs/>
          <w:color w:val="1F4E79"/>
          <w:sz w:val="26"/>
          <w:szCs w:val="26"/>
        </w:rPr>
        <w:t xml:space="preserve">Prep checklist</w:t>
      </w:r>
    </w:p>
    <w:p>
      <w:pPr>
        <w:spacing w:after="120"/>
      </w:pPr>
      <w:r>
        <w:rPr>
          <w:sz w:val="22"/>
          <w:szCs w:val="22"/>
        </w:rPr>
        <w:t xml:space="preserve">Payroll prep is complete when all of the following are true:</w:t>
      </w:r>
    </w:p>
    <w:p>
      <w:pPr>
        <w:pStyle w:val="ListParagraph"/>
        <w:numPr>
          <w:ilvl w:val="0"/>
          <w:numId w:val="2"/>
        </w:numPr>
        <w:spacing w:after="80"/>
      </w:pPr>
      <w:r>
        <w:rPr>
          <w:sz w:val="22"/>
          <w:szCs w:val="22"/>
        </w:rPr>
        <w:t xml:space="preserve">All payroll notes for the fortnight have been collected from both inboxes</w:t>
      </w:r>
    </w:p>
    <w:p>
      <w:pPr>
        <w:pStyle w:val="ListParagraph"/>
        <w:numPr>
          <w:ilvl w:val="0"/>
          <w:numId w:val="2"/>
        </w:numPr>
        <w:spacing w:after="80"/>
      </w:pPr>
      <w:r>
        <w:rPr>
          <w:sz w:val="22"/>
          <w:szCs w:val="22"/>
        </w:rPr>
        <w:t xml:space="preserve">The notes are collated in a single email, ready to send to Duncan or Graham for approval</w:t>
      </w:r>
    </w:p>
    <w:p>
      <w:pPr>
        <w:pStyle w:val="ListParagraph"/>
        <w:numPr>
          <w:ilvl w:val="0"/>
          <w:numId w:val="2"/>
        </w:numPr>
        <w:spacing w:after="80"/>
      </w:pPr>
      <w:r>
        <w:rPr>
          <w:sz w:val="22"/>
          <w:szCs w:val="22"/>
        </w:rPr>
        <w:t xml:space="preserve">The timesheet template has been copied into the correct fortnight folder</w:t>
      </w:r>
    </w:p>
    <w:p>
      <w:pPr>
        <w:pStyle w:val="ListParagraph"/>
        <w:numPr>
          <w:ilvl w:val="0"/>
          <w:numId w:val="2"/>
        </w:numPr>
        <w:spacing w:after="80"/>
      </w:pPr>
      <w:r>
        <w:rPr>
          <w:sz w:val="22"/>
          <w:szCs w:val="22"/>
        </w:rPr>
        <w:t xml:space="preserve">Every note is recorded in the Notes section</w:t>
      </w:r>
    </w:p>
    <w:p>
      <w:pPr>
        <w:pStyle w:val="ListParagraph"/>
        <w:numPr>
          <w:ilvl w:val="0"/>
          <w:numId w:val="2"/>
        </w:numPr>
        <w:spacing w:after="80"/>
      </w:pPr>
      <w:r>
        <w:rPr>
          <w:sz w:val="22"/>
          <w:szCs w:val="22"/>
        </w:rPr>
        <w:t xml:space="preserve">Columns E to S are populated for every item that changes the value of pay</w:t>
      </w:r>
    </w:p>
    <w:p>
      <w:pPr>
        <w:pStyle w:val="ListParagraph"/>
        <w:numPr>
          <w:ilvl w:val="0"/>
          <w:numId w:val="2"/>
        </w:numPr>
        <w:spacing w:after="80"/>
      </w:pPr>
      <w:r>
        <w:rPr>
          <w:sz w:val="22"/>
          <w:szCs w:val="22"/>
        </w:rPr>
        <w:t xml:space="preserve">No timesheets remain under Submitted in Employment Hero</w:t>
      </w:r>
    </w:p>
    <w:p>
      <w:pPr>
        <w:pStyle w:val="ListParagraph"/>
        <w:numPr>
          <w:ilvl w:val="0"/>
          <w:numId w:val="2"/>
        </w:numPr>
        <w:spacing w:after="80"/>
      </w:pPr>
      <w:r>
        <w:rPr>
          <w:sz w:val="22"/>
          <w:szCs w:val="22"/>
        </w:rPr>
        <w:t xml:space="preserve">Any missing timesheets have been followed up</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2: Creating a New Pay Run.</w:t>
      </w:r>
    </w:p>
    <w:p>
      <w:r>
        <w:br w:type="page"/>
      </w:r>
    </w:p>
    <w:p>
      <w:pPr>
        <w:pStyle w:val="Heading1"/>
        <w:pBdr>
          <w:bottom w:val="single" w:color="1F4E79" w:sz="12" w:space="8"/>
        </w:pBdr>
        <w:spacing w:after="80" w:before="240"/>
      </w:pPr>
      <w:r>
        <w:rPr>
          <w:b/>
          <w:bCs/>
          <w:color w:val="1F4E79"/>
          <w:sz w:val="40"/>
          <w:szCs w:val="40"/>
        </w:rPr>
        <w:t xml:space="preserve">Part 2: Creating a New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2</w:t>
      </w:r>
    </w:p>
    <w:p>
      <w:pPr>
        <w:spacing w:after="120"/>
      </w:pPr>
      <w:r>
        <w:rPr>
          <w:sz w:val="22"/>
          <w:szCs w:val="22"/>
        </w:rPr>
        <w:t xml:space="preserve">This guide covers creating the fortnightly pay run in Employment Hero. It is the second of eight parts, and picks up directly where Part 1 (Payroll Prep) left off.</w:t>
      </w:r>
    </w:p>
    <w:p>
      <w:pPr>
        <w:spacing w:after="120"/>
      </w:pPr>
      <w:r>
        <w:rPr>
          <w:sz w:val="22"/>
          <w:szCs w:val="22"/>
        </w:rPr>
        <w:t xml:space="preserve">Do not start here. Part 1 must be complete first; in particular, every timesheet must be approved. Creating a pay run over unapproved timesheets means deleting it and starting again.</w:t>
      </w:r>
    </w:p>
    <w:p>
      <w:pPr>
        <w:pStyle w:val="Heading2"/>
        <w:spacing w:after="160" w:before="360"/>
      </w:pPr>
      <w:r>
        <w:rPr>
          <w:b/>
          <w:bCs/>
          <w:color w:val="1F4E79"/>
          <w:sz w:val="26"/>
          <w:szCs w:val="26"/>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8: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9: The Lookup tab, listing the pay periods for the financial year.</w:t>
      </w:r>
    </w:p>
    <w:p>
      <w:pPr>
        <w:pStyle w:val="Heading2"/>
        <w:spacing w:after="160" w:before="360"/>
      </w:pPr>
      <w:r>
        <w:rPr>
          <w:b/>
          <w:bCs/>
          <w:color w:val="1F4E79"/>
          <w:sz w:val="26"/>
          <w:szCs w:val="26"/>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2"/>
        <w:spacing w:after="160" w:before="360"/>
      </w:pPr>
      <w:r>
        <w:rPr>
          <w:b/>
          <w:bCs/>
          <w:color w:val="1F4E79"/>
          <w:sz w:val="26"/>
          <w:szCs w:val="26"/>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10: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the wait is normal and scales with the size of the pay run.</w:t>
      </w:r>
    </w:p>
    <w:p>
      <w:pPr>
        <w:pStyle w:val="Heading2"/>
        <w:spacing w:after="160" w:before="360"/>
      </w:pPr>
      <w:r>
        <w:rPr>
          <w:b/>
          <w:bCs/>
          <w:color w:val="1F4E79"/>
          <w:sz w:val="26"/>
          <w:szCs w:val="26"/>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11: A created pay run. Employee names and all pay figures are blurred in this guide.</w:t>
      </w:r>
    </w:p>
    <w:p>
      <w:pPr>
        <w:spacing w:after="120"/>
      </w:pPr>
      <w:r>
        <w:rPr>
          <w:sz w:val="22"/>
          <w:szCs w:val="22"/>
        </w:rPr>
        <w:t xml:space="preserve">Check the payee count at the top left before going further;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3a: Reconciling Casual Timesheets, the first of three guides covering reconciliation. Parts 3b and 3c cover salaried staff and the cases needing manual handling.</w:t>
      </w:r>
    </w:p>
    <w:p>
      <w:r>
        <w:br w:type="page"/>
      </w:r>
    </w:p>
    <w:p>
      <w:pPr>
        <w:pStyle w:val="Heading1"/>
        <w:pBdr>
          <w:bottom w:val="single" w:color="1F4E79" w:sz="12" w:space="8"/>
        </w:pBdr>
        <w:spacing w:after="80" w:before="240"/>
      </w:pPr>
      <w:r>
        <w:rPr>
          <w:b/>
          <w:bCs/>
          <w:color w:val="1F4E79"/>
          <w:sz w:val="40"/>
          <w:szCs w:val="40"/>
        </w:rPr>
        <w:t xml:space="preserve">Part 3a: Reconciling Casual Timesheets</w:t>
      </w:r>
    </w:p>
    <w:p>
      <w:pPr>
        <w:spacing w:after="320" w:before="160"/>
      </w:pPr>
      <w:r>
        <w:rPr>
          <w:color w:val="595959"/>
          <w:sz w:val="20"/>
          <w:szCs w:val="20"/>
        </w:rPr>
        <w:t xml:space="preserve">Corporate Technology Services  ·  Employment Hero Payroll  ·  Live Performance Award</w:t>
      </w:r>
    </w:p>
    <w:p>
      <w:pPr>
        <w:pStyle w:val="Heading2"/>
        <w:spacing w:after="160" w:before="360"/>
      </w:pPr>
      <w:r>
        <w:rPr>
          <w:b/>
          <w:bCs/>
          <w:color w:val="1F4E79"/>
          <w:sz w:val="26"/>
          <w:szCs w:val="26"/>
        </w:rPr>
        <w:t xml:space="preserve">About Part 3a</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casual employees, governed by the Live Performance Award</w:t>
      </w:r>
    </w:p>
    <w:p>
      <w:pPr>
        <w:pStyle w:val="ListParagraph"/>
        <w:numPr>
          <w:ilvl w:val="0"/>
          <w:numId w:val="2"/>
        </w:numPr>
        <w:spacing w:after="80"/>
      </w:pPr>
      <w:r>
        <w:rPr>
          <w:sz w:val="22"/>
          <w:szCs w:val="22"/>
        </w:rPr>
        <w:t xml:space="preserve">Part 3b: salaried and full-time employees, governed by the internal CTS Overtime Matrix</w:t>
      </w:r>
    </w:p>
    <w:p>
      <w:pPr>
        <w:pStyle w:val="ListParagraph"/>
        <w:numPr>
          <w:ilvl w:val="0"/>
          <w:numId w:val="2"/>
        </w:numPr>
        <w:spacing w:after="80"/>
      </w:pPr>
      <w:r>
        <w:rPr>
          <w:sz w:val="22"/>
          <w:szCs w:val="22"/>
        </w:rPr>
        <w:t xml:space="preserve">Part 3c: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2"/>
        <w:spacing w:after="160" w:before="360"/>
      </w:pPr>
      <w:r>
        <w:rPr>
          <w:b/>
          <w:bCs/>
          <w:color w:val="1F4E79"/>
          <w:sz w:val="26"/>
          <w:szCs w:val="26"/>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PwC Australia and payment networks among them, do not run a roster at all. For those employees the timesheets are the only source, and the hours are verified by the approving manager instead.</w:t>
            </w:r>
          </w:p>
        </w:tc>
      </w:tr>
    </w:tbl>
    <w:p>
      <w:pPr>
        <w:spacing w:after="200"/>
      </w:pPr>
    </w:p>
    <w:p>
      <w:pPr>
        <w:pStyle w:val="Heading2"/>
        <w:spacing w:after="160" w:before="360"/>
      </w:pPr>
      <w:r>
        <w:rPr>
          <w:b/>
          <w:bCs/>
          <w:color w:val="1F4E79"/>
          <w:sz w:val="26"/>
          <w:szCs w:val="26"/>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12: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13: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if they were rostered 7 to 4, the actual hours should also come to 7 to 4.</w:t>
            </w:r>
          </w:p>
        </w:tc>
      </w:tr>
    </w:tbl>
    <w:p>
      <w:pPr>
        <w:spacing w:after="200"/>
      </w:pPr>
    </w:p>
    <w:p>
      <w:pPr>
        <w:pStyle w:val="Heading2"/>
        <w:spacing w:after="160" w:before="360"/>
      </w:pPr>
      <w:r>
        <w:rPr>
          <w:b/>
          <w:bCs/>
          <w:color w:val="1F4E79"/>
          <w:sz w:val="26"/>
          <w:szCs w:val="26"/>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14: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the total stays at 40. If your total moves, something is wrong.</w:t>
            </w:r>
          </w:p>
        </w:tc>
      </w:tr>
    </w:tbl>
    <w:p>
      <w:pPr>
        <w:spacing w:after="200"/>
      </w:pPr>
    </w:p>
    <w:p>
      <w:pPr>
        <w:pStyle w:val="Heading2"/>
        <w:spacing w:after="160" w:before="360"/>
      </w:pPr>
      <w:r>
        <w:rPr>
          <w:b/>
          <w:bCs/>
          <w:color w:val="1F4E79"/>
          <w:sz w:val="26"/>
          <w:szCs w:val="26"/>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2"/>
        <w:spacing w:after="160" w:before="360"/>
      </w:pPr>
      <w:r>
        <w:rPr>
          <w:b/>
          <w:bCs/>
          <w:color w:val="1F4E79"/>
          <w:sz w:val="26"/>
          <w:szCs w:val="26"/>
        </w:rPr>
        <w:t xml:space="preserve">Step 4  Do not pay both daily and weekly overtime</w:t>
      </w:r>
    </w:p>
    <w:p>
      <w:pPr>
        <w:spacing w:after="120"/>
      </w:pPr>
      <w:r>
        <w:rPr>
          <w:sz w:val="22"/>
          <w:szCs w:val="22"/>
        </w:rPr>
        <w:t xml:space="preserve">Employment Hero will sometimes trigger overtime twice for the same hours;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2"/>
        <w:spacing w:after="160" w:before="360"/>
      </w:pPr>
      <w:r>
        <w:rPr>
          <w:b/>
          <w:bCs/>
          <w:color w:val="1F4E79"/>
          <w:sz w:val="26"/>
          <w:szCs w:val="26"/>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15: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16: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2"/>
        <w:spacing w:after="160" w:before="360"/>
      </w:pPr>
      <w:r>
        <w:rPr>
          <w:b/>
          <w:bCs/>
          <w:color w:val="1F4E79"/>
          <w:sz w:val="26"/>
          <w:szCs w:val="26"/>
        </w:rPr>
        <w:t xml:space="preserve">Step 6  Update the spreadsheet</w:t>
      </w:r>
    </w:p>
    <w:p>
      <w:pPr>
        <w:spacing w:after="120"/>
      </w:pPr>
      <w:r>
        <w:rPr>
          <w:sz w:val="22"/>
          <w:szCs w:val="22"/>
        </w:rPr>
        <w:t xml:space="preserve">Once the pay run is right for that employee, transfer the result into the timesheet spreadsheet;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2"/>
        <w:spacing w:after="160" w:before="360"/>
      </w:pPr>
      <w:r>
        <w:rPr>
          <w:b/>
          <w:bCs/>
          <w:color w:val="1F4E79"/>
          <w:sz w:val="26"/>
          <w:szCs w:val="26"/>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3b: Reconciling Salaried &amp; Full-Time Timesheets.</w:t>
      </w:r>
    </w:p>
    <w:p>
      <w:r>
        <w:br w:type="page"/>
      </w:r>
    </w:p>
    <w:p>
      <w:pPr>
        <w:pStyle w:val="Heading1"/>
        <w:pBdr>
          <w:bottom w:val="single" w:color="1F4E79" w:sz="12" w:space="8"/>
        </w:pBdr>
        <w:spacing w:after="80" w:before="240"/>
      </w:pPr>
      <w:r>
        <w:rPr>
          <w:b/>
          <w:bCs/>
          <w:color w:val="1F4E79"/>
          <w:sz w:val="40"/>
          <w:szCs w:val="40"/>
        </w:rPr>
        <w:t xml:space="preserve">Part 3b: Reconciling Salaried &amp; Full-Time Timesheets</w:t>
      </w:r>
    </w:p>
    <w:p>
      <w:pPr>
        <w:spacing w:after="320" w:before="160"/>
      </w:pPr>
      <w:r>
        <w:rPr>
          <w:color w:val="595959"/>
          <w:sz w:val="20"/>
          <w:szCs w:val="20"/>
        </w:rPr>
        <w:t xml:space="preserve">Corporate Technology Services  ·  Employment Hero Payroll  ·  CTS Overtime Matrix</w:t>
      </w:r>
    </w:p>
    <w:p>
      <w:pPr>
        <w:pStyle w:val="Heading2"/>
        <w:spacing w:after="160" w:before="360"/>
      </w:pPr>
      <w:r>
        <w:rPr>
          <w:b/>
          <w:bCs/>
          <w:color w:val="1F4E79"/>
          <w:sz w:val="26"/>
          <w:szCs w:val="26"/>
        </w:rPr>
        <w:t xml:space="preserve">About Part 3b</w:t>
      </w:r>
    </w:p>
    <w:p>
      <w:pPr>
        <w:spacing w:after="120"/>
      </w:pPr>
      <w:r>
        <w:rPr>
          <w:sz w:val="22"/>
          <w:szCs w:val="22"/>
        </w:rPr>
        <w:t xml:space="preserve">This guide covers salaried and full-time employees. It is the second of the three reconciliation guides: Part 3a covers casuals, and Part 3c covers employees who need manual handling.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2"/>
        <w:spacing w:after="160" w:before="360"/>
      </w:pPr>
      <w:r>
        <w:rPr>
          <w:b/>
          <w:bCs/>
          <w:color w:val="1F4E79"/>
          <w:sz w:val="26"/>
          <w:szCs w:val="26"/>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and it is usually the rounding rule below rather than a genuine shortfall.</w:t>
      </w:r>
    </w:p>
    <w:p>
      <w:pPr>
        <w:pStyle w:val="Heading2"/>
        <w:spacing w:after="160" w:before="360"/>
      </w:pPr>
      <w:r>
        <w:rPr>
          <w:b/>
          <w:bCs/>
          <w:color w:val="1F4E79"/>
          <w:sz w:val="26"/>
          <w:szCs w:val="26"/>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17: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2"/>
        <w:spacing w:after="160" w:before="360"/>
      </w:pPr>
      <w:r>
        <w:rPr>
          <w:b/>
          <w:bCs/>
          <w:color w:val="1F4E79"/>
          <w:sz w:val="26"/>
          <w:szCs w:val="26"/>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18: The CTS Overtime Matrix for full-time staff, with its legend.</w:t>
      </w:r>
    </w:p>
    <w:p>
      <w:pPr>
        <w:spacing w:after="120"/>
      </w:pPr>
      <w:r>
        <w:rPr>
          <w:sz w:val="22"/>
          <w:szCs w:val="22"/>
        </w:rPr>
        <w:t xml:space="preserve">Reading the matrix takes two pieces of information: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2"/>
        <w:spacing w:after="160" w:before="360"/>
      </w:pPr>
      <w:r>
        <w:rPr>
          <w:b/>
          <w:bCs/>
          <w:color w:val="1F4E79"/>
          <w:sz w:val="26"/>
          <w:szCs w:val="26"/>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2"/>
        <w:spacing w:after="160" w:before="360"/>
      </w:pPr>
      <w:r>
        <w:rPr>
          <w:b/>
          <w:bCs/>
          <w:color w:val="1F4E79"/>
          <w:sz w:val="26"/>
          <w:szCs w:val="26"/>
        </w:rPr>
        <w:t xml:space="preserve">Step 5  Check pay run inclusions</w:t>
      </w:r>
    </w:p>
    <w:p>
      <w:pPr>
        <w:spacing w:after="120"/>
      </w:pPr>
      <w:r>
        <w:rPr>
          <w:sz w:val="22"/>
          <w:szCs w:val="22"/>
        </w:rPr>
        <w:t xml:space="preserve">Salaried employees often carry standing arrangements set up in their employee profile under pay run inclusions,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19: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2"/>
        <w:spacing w:after="160" w:before="360"/>
      </w:pPr>
      <w:r>
        <w:rPr>
          <w:b/>
          <w:bCs/>
          <w:color w:val="1F4E79"/>
          <w:sz w:val="26"/>
          <w:szCs w:val="26"/>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2"/>
        <w:spacing w:after="160" w:before="360"/>
      </w:pPr>
      <w:r>
        <w:rPr>
          <w:b/>
          <w:bCs/>
          <w:color w:val="1F4E79"/>
          <w:sz w:val="26"/>
          <w:szCs w:val="26"/>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3c: Employees Needing Manual Handling.</w:t>
      </w:r>
    </w:p>
    <w:p>
      <w:r>
        <w:br w:type="page"/>
      </w:r>
    </w:p>
    <w:p>
      <w:pPr>
        <w:pStyle w:val="Heading1"/>
        <w:pBdr>
          <w:bottom w:val="single" w:color="1F4E79" w:sz="12" w:space="8"/>
        </w:pBdr>
        <w:spacing w:after="80" w:before="240"/>
      </w:pPr>
      <w:r>
        <w:rPr>
          <w:b/>
          <w:bCs/>
          <w:color w:val="1F4E79"/>
          <w:sz w:val="40"/>
          <w:szCs w:val="40"/>
        </w:rPr>
        <w:t xml:space="preserve">Part 3c: Employees Needing Manual Handling</w:t>
      </w:r>
    </w:p>
    <w:p>
      <w:pPr>
        <w:spacing w:after="320" w:before="160"/>
      </w:pPr>
      <w:r>
        <w:rPr>
          <w:color w:val="595959"/>
          <w:sz w:val="20"/>
          <w:szCs w:val="20"/>
        </w:rPr>
        <w:t xml:space="preserve">Corporate Technology Services  ·  Employment Hero Payroll &amp; HR  ·  Exception cases</w:t>
      </w:r>
    </w:p>
    <w:p>
      <w:pPr>
        <w:pStyle w:val="Heading2"/>
        <w:spacing w:after="160" w:before="360"/>
      </w:pPr>
      <w:r>
        <w:rPr>
          <w:b/>
          <w:bCs/>
          <w:color w:val="1F4E79"/>
          <w:sz w:val="26"/>
          <w:szCs w:val="26"/>
        </w:rPr>
        <w:t xml:space="preserve">About Part 3c</w:t>
      </w:r>
    </w:p>
    <w:p>
      <w:pPr>
        <w:spacing w:after="120"/>
      </w:pPr>
      <w:r>
        <w:rPr>
          <w:sz w:val="22"/>
          <w:szCs w:val="22"/>
        </w:rPr>
        <w:t xml:space="preserve">Parts 3a and 3b cover employees whose hours flow into the pay run on their own. This guide covers the ones that do not: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you have to know to look.</w:t>
            </w:r>
          </w:p>
        </w:tc>
      </w:tr>
    </w:tbl>
    <w:p>
      <w:pPr>
        <w:spacing w:after="200"/>
      </w:pPr>
    </w:p>
    <w:p>
      <w:pPr>
        <w:pStyle w:val="Heading2"/>
        <w:spacing w:after="160" w:before="360"/>
      </w:pPr>
      <w:r>
        <w:rPr>
          <w:b/>
          <w:bCs/>
          <w:color w:val="1F4E79"/>
          <w:sz w:val="26"/>
          <w:szCs w:val="26"/>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20: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this is a recurring problem, not a one-off.</w:t>
            </w:r>
          </w:p>
        </w:tc>
      </w:tr>
    </w:tbl>
    <w:p>
      <w:pPr>
        <w:spacing w:after="200"/>
      </w:pPr>
    </w:p>
    <w:p>
      <w:pPr>
        <w:pStyle w:val="Heading2"/>
        <w:spacing w:after="160" w:before="360"/>
      </w:pPr>
      <w:r>
        <w:rPr>
          <w:b/>
          <w:bCs/>
          <w:color w:val="1F4E79"/>
          <w:sz w:val="26"/>
          <w:szCs w:val="26"/>
        </w:rPr>
        <w:t xml:space="preserve">Step 2  New starters</w:t>
      </w:r>
    </w:p>
    <w:p>
      <w:pPr>
        <w:spacing w:after="120"/>
      </w:pPr>
      <w:r>
        <w:rPr>
          <w:sz w:val="22"/>
          <w:szCs w:val="22"/>
        </w:rPr>
        <w:t xml:space="preserve">A new starter will appear in the pay run, because they have timesheets, but they will not be in the timesheet spreadsheet;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2"/>
        <w:spacing w:after="160" w:before="360"/>
      </w:pPr>
      <w:r>
        <w:rPr>
          <w:b/>
          <w:bCs/>
          <w:color w:val="1F4E79"/>
          <w:sz w:val="26"/>
          <w:szCs w:val="26"/>
        </w:rPr>
        <w:t xml:space="preserve">Step 3  Employees with no timesheets this fortnight</w:t>
      </w:r>
    </w:p>
    <w:p>
      <w:pPr>
        <w:spacing w:after="120"/>
      </w:pPr>
      <w:r>
        <w:rPr>
          <w:sz w:val="22"/>
          <w:szCs w:val="22"/>
        </w:rPr>
        <w:t xml:space="preserve">Occasionally someone worked a shift that was never captured: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recovering a missed shift needs the unpaid timesheets option. Delete every row it brings in except the ones you are correcting, and check the employee's total afterwards.</w:t>
            </w:r>
          </w:p>
        </w:tc>
      </w:tr>
    </w:tbl>
    <w:p>
      <w:pPr>
        <w:spacing w:after="200"/>
      </w:pPr>
    </w:p>
    <w:p>
      <w:pPr>
        <w:pStyle w:val="Heading2"/>
        <w:spacing w:after="160" w:before="360"/>
      </w:pPr>
      <w:r>
        <w:rPr>
          <w:b/>
          <w:bCs/>
          <w:color w:val="1F4E79"/>
          <w:sz w:val="26"/>
          <w:szCs w:val="26"/>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21: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2"/>
        <w:spacing w:after="160" w:before="360"/>
      </w:pPr>
      <w:r>
        <w:rPr>
          <w:b/>
          <w:bCs/>
          <w:color w:val="1F4E79"/>
          <w:sz w:val="26"/>
          <w:szCs w:val="26"/>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2"/>
        <w:spacing w:after="160" w:before="360"/>
      </w:pPr>
      <w:r>
        <w:rPr>
          <w:b/>
          <w:bCs/>
          <w:color w:val="1F4E79"/>
          <w:sz w:val="26"/>
          <w:szCs w:val="26"/>
        </w:rPr>
        <w:t xml:space="preserve">Known issue</w:t>
      </w:r>
    </w:p>
    <w:p>
      <w:pPr>
        <w:spacing w:after="120"/>
      </w:pPr>
      <w:r>
        <w:rPr>
          <w:sz w:val="22"/>
          <w:szCs w:val="22"/>
        </w:rPr>
        <w:t xml:space="preserve">The spreadsheet's total hours column does not currently handle leave without pay correctly: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4: Reconciling Timesheets (continued), which works through a salaried employee whose overtime category was triggered in error.</w:t>
      </w:r>
    </w:p>
    <w:p>
      <w:r>
        <w:br w:type="page"/>
      </w:r>
    </w:p>
    <w:p>
      <w:pPr>
        <w:pStyle w:val="Heading1"/>
        <w:pBdr>
          <w:bottom w:val="single" w:color="1F4E79" w:sz="12" w:space="8"/>
        </w:pBdr>
        <w:spacing w:after="80" w:before="240"/>
      </w:pPr>
      <w:r>
        <w:rPr>
          <w:b/>
          <w:bCs/>
          <w:color w:val="1F4E79"/>
          <w:sz w:val="40"/>
          <w:szCs w:val="40"/>
        </w:rPr>
        <w:t xml:space="preserve">Part 4: Reconciling Timesheets (continued)</w:t>
      </w:r>
    </w:p>
    <w:p>
      <w:pPr>
        <w:spacing w:after="320" w:before="160"/>
      </w:pPr>
      <w:r>
        <w:rPr>
          <w:color w:val="595959"/>
          <w:sz w:val="20"/>
          <w:szCs w:val="20"/>
        </w:rPr>
        <w:t xml:space="preserve">Corporate Technology Services  ·  Employment Hero Payroll  ·  Salaried employee scenario</w:t>
      </w:r>
    </w:p>
    <w:p>
      <w:pPr>
        <w:pStyle w:val="Heading2"/>
        <w:spacing w:after="160" w:before="360"/>
      </w:pPr>
      <w:r>
        <w:rPr>
          <w:b/>
          <w:bCs/>
          <w:color w:val="1F4E79"/>
          <w:sz w:val="26"/>
          <w:szCs w:val="26"/>
        </w:rPr>
        <w:t xml:space="preserve">About Part 4</w:t>
      </w:r>
    </w:p>
    <w:p>
      <w:pPr>
        <w:spacing w:after="120"/>
      </w:pPr>
      <w:r>
        <w:rPr>
          <w:sz w:val="22"/>
          <w:szCs w:val="22"/>
        </w:rPr>
        <w:t xml:space="preserve">This guide continues the reconciliation work covered by Parts 3a, 3b and 3c: casuals, salaried staff, and the employees needing manual handling. It follows on from Part 3b in particular, working through a salaried employee whose overtime category was triggered automatically when it should not have been.</w:t>
      </w:r>
    </w:p>
    <w:p>
      <w:pPr>
        <w:spacing w:after="120"/>
      </w:pPr>
      <w:r>
        <w:rPr>
          <w:sz w:val="22"/>
          <w:szCs w:val="22"/>
        </w:rPr>
        <w:t xml:space="preserve">The scenario is worth understanding even if it is not on your current pay run, because the underlying trap, losing the notes when you change a category, applies to every correction you make in a pay run.</w:t>
      </w:r>
    </w:p>
    <w:p>
      <w:pPr>
        <w:pStyle w:val="Heading2"/>
        <w:spacing w:after="160" w:before="360"/>
      </w:pPr>
      <w:r>
        <w:rPr>
          <w:b/>
          <w:bCs/>
          <w:color w:val="1F4E79"/>
          <w:sz w:val="26"/>
          <w:szCs w:val="26"/>
        </w:rPr>
        <w:t xml:space="preserve">Step 1  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22: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it is not a blanket rule for everyone the break condition flags.</w:t>
      </w:r>
    </w:p>
    <w:p>
      <w:pPr>
        <w:pStyle w:val="Heading2"/>
        <w:spacing w:after="160" w:before="360"/>
      </w:pPr>
      <w:r>
        <w:rPr>
          <w:b/>
          <w:bCs/>
          <w:color w:val="1F4E79"/>
          <w:sz w:val="26"/>
          <w:szCs w:val="26"/>
        </w:rPr>
        <w:t xml:space="preserve">Step 2  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23: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2"/>
        <w:spacing w:after="160" w:before="360"/>
      </w:pPr>
      <w:r>
        <w:rPr>
          <w:b/>
          <w:bCs/>
          <w:color w:val="1F4E79"/>
          <w:sz w:val="26"/>
          <w:szCs w:val="26"/>
        </w:rPr>
        <w:t xml:space="preserve">Step 3  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24: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80 for a full-time employee. If you cannot reconcile to that figure, stop and investigate rather than adjusting a number to make it balance.</w:t>
            </w:r>
          </w:p>
        </w:tc>
      </w:tr>
    </w:tbl>
    <w:p>
      <w:pPr>
        <w:spacing w:after="200"/>
      </w:pPr>
    </w:p>
    <w:p>
      <w:pPr>
        <w:pStyle w:val="Heading2"/>
        <w:spacing w:after="160" w:before="360"/>
      </w:pPr>
      <w:r>
        <w:rPr>
          <w:b/>
          <w:bCs/>
          <w:color w:val="1F4E79"/>
          <w:sz w:val="26"/>
          <w:szCs w:val="26"/>
        </w:rPr>
        <w:t xml:space="preserve">Step 4  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25: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2"/>
        <w:spacing w:after="160" w:before="360"/>
      </w:pPr>
      <w:r>
        <w:rPr>
          <w:b/>
          <w:bCs/>
          <w:color w:val="1F4E79"/>
          <w:sz w:val="26"/>
          <w:szCs w:val="26"/>
        </w:rPr>
        <w:t xml:space="preserve">Step 5  Check pay run inclusions</w:t>
      </w:r>
    </w:p>
    <w:p>
      <w:pPr>
        <w:spacing w:after="120"/>
      </w:pPr>
      <w:r>
        <w:rPr>
          <w:sz w:val="22"/>
          <w:szCs w:val="22"/>
        </w:rPr>
        <w:t xml:space="preserve">Finally, check the employee's pay run inclusion settings for any standing arrangements,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For each employee flagged with an out-of-the-ordinary condition:</w:t>
      </w:r>
    </w:p>
    <w:p>
      <w:pPr>
        <w:pStyle w:val="ListParagraph"/>
        <w:numPr>
          <w:ilvl w:val="0"/>
          <w:numId w:val="2"/>
        </w:numPr>
        <w:spacing w:after="80"/>
      </w:pPr>
      <w:r>
        <w:rPr>
          <w:sz w:val="22"/>
          <w:szCs w:val="22"/>
        </w:rPr>
        <w:t xml:space="preserve">The employment type has been confirmed before applying any correction</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Every incorrectly triggered row has been returned to Permanent Ordinary Hours</w:t>
      </w:r>
    </w:p>
    <w:p>
      <w:pPr>
        <w:pStyle w:val="ListParagraph"/>
        <w:numPr>
          <w:ilvl w:val="0"/>
          <w:numId w:val="2"/>
        </w:numPr>
        <w:spacing w:after="80"/>
      </w:pPr>
      <w:r>
        <w:rPr>
          <w:sz w:val="22"/>
          <w:szCs w:val="22"/>
        </w:rPr>
        <w:t xml:space="preserve">Total hours reconcile to the employee's contracted hours for the fortnight</w:t>
      </w:r>
    </w:p>
    <w:p>
      <w:pPr>
        <w:pStyle w:val="ListParagraph"/>
        <w:numPr>
          <w:ilvl w:val="0"/>
          <w:numId w:val="2"/>
        </w:numPr>
        <w:spacing w:after="80"/>
      </w:pPr>
      <w:r>
        <w:rPr>
          <w:sz w:val="22"/>
          <w:szCs w:val="22"/>
        </w:rPr>
        <w:t xml:space="preserve">Any leave taken during the period has been populated in the spreadsheet</w:t>
      </w:r>
    </w:p>
    <w:p>
      <w:pPr>
        <w:pStyle w:val="ListParagraph"/>
        <w:numPr>
          <w:ilvl w:val="0"/>
          <w:numId w:val="2"/>
        </w:numPr>
        <w:spacing w:after="80"/>
      </w:pPr>
      <w:r>
        <w:rPr>
          <w:sz w:val="22"/>
          <w:szCs w:val="22"/>
        </w:rPr>
        <w:t xml:space="preserve">Pay run inclusions are active only within their nominated dates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5: Reconciling &amp; Balancing the Pay Run.</w:t>
      </w:r>
    </w:p>
    <w:p>
      <w:r>
        <w:br w:type="page"/>
      </w:r>
    </w:p>
    <w:p>
      <w:pPr>
        <w:pStyle w:val="Heading1"/>
        <w:pBdr>
          <w:bottom w:val="single" w:color="1F4E79" w:sz="12" w:space="8"/>
        </w:pBdr>
        <w:spacing w:after="80" w:before="240"/>
      </w:pPr>
      <w:r>
        <w:rPr>
          <w:b/>
          <w:bCs/>
          <w:color w:val="1F4E79"/>
          <w:sz w:val="40"/>
          <w:szCs w:val="40"/>
        </w:rPr>
        <w:t xml:space="preserve">Part 5: Reconciling &amp; Balancing the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5</w:t>
      </w:r>
    </w:p>
    <w:p>
      <w:pPr>
        <w:spacing w:after="120"/>
      </w:pPr>
      <w:r>
        <w:rPr>
          <w:sz w:val="22"/>
          <w:szCs w:val="22"/>
        </w:rPr>
        <w:t xml:space="preserve">By this stage every employee's hours have been reconciled through Parts 3a, 3b, 3c and 4.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2"/>
        <w:spacing w:after="160" w:before="360"/>
      </w:pPr>
      <w:r>
        <w:rPr>
          <w:b/>
          <w:bCs/>
          <w:color w:val="1F4E79"/>
          <w:sz w:val="26"/>
          <w:szCs w:val="26"/>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2"/>
        <w:spacing w:after="160" w:before="360"/>
      </w:pPr>
      <w:r>
        <w:rPr>
          <w:b/>
          <w:bCs/>
          <w:color w:val="1F4E79"/>
          <w:sz w:val="26"/>
          <w:szCs w:val="26"/>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3"/>
        <w:spacing w:after="160" w:before="360"/>
      </w:pPr>
      <w:r>
        <w:rPr>
          <w:b/>
          <w:bCs/>
          <w:color w:val="1F4E79"/>
          <w:sz w:val="23"/>
          <w:szCs w:val="23"/>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enter the hours as a negative at the old, incorrect rate</w:t>
      </w:r>
    </w:p>
    <w:p>
      <w:pPr>
        <w:pStyle w:val="ListParagraph"/>
        <w:numPr>
          <w:ilvl w:val="0"/>
          <w:numId w:val="2"/>
        </w:numPr>
        <w:spacing w:after="80"/>
      </w:pPr>
      <w:r>
        <w:rPr>
          <w:sz w:val="22"/>
          <w:szCs w:val="22"/>
        </w:rPr>
        <w:t xml:space="preserve">Actions › Add earnings again: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26: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3"/>
        <w:spacing w:after="160" w:before="360"/>
      </w:pPr>
      <w:r>
        <w:rPr>
          <w:b/>
          <w:bCs/>
          <w:color w:val="1F4E79"/>
          <w:sz w:val="23"/>
          <w:szCs w:val="23"/>
        </w:rPr>
        <w:t xml:space="preserve">Back pay for leave that was never captured</w:t>
      </w:r>
    </w:p>
    <w:p>
      <w:pPr>
        <w:spacing w:after="120"/>
      </w:pPr>
      <w:r>
        <w:rPr>
          <w:sz w:val="22"/>
          <w:szCs w:val="22"/>
        </w:rPr>
        <w:t xml:space="preserve">Where leave was approved but never made it into a pay run, usually because the approver did not click through the banner on the timesheet;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3"/>
        <w:spacing w:after="160" w:before="360"/>
      </w:pPr>
      <w:r>
        <w:rPr>
          <w:b/>
          <w:bCs/>
          <w:color w:val="1F4E79"/>
          <w:sz w:val="23"/>
          <w:szCs w:val="23"/>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3"/>
        <w:spacing w:after="160" w:before="360"/>
      </w:pPr>
      <w:r>
        <w:rPr>
          <w:b/>
          <w:bCs/>
          <w:color w:val="1F4E79"/>
          <w:sz w:val="23"/>
          <w:szCs w:val="23"/>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2"/>
        <w:spacing w:after="160" w:before="360"/>
      </w:pPr>
      <w:r>
        <w:rPr>
          <w:b/>
          <w:bCs/>
          <w:color w:val="1F4E79"/>
          <w:sz w:val="26"/>
          <w:szCs w:val="26"/>
        </w:rPr>
        <w:t xml:space="preserve">Step 3  Accrue bonus leave: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27: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2"/>
        <w:spacing w:after="160" w:before="360"/>
      </w:pPr>
      <w:r>
        <w:rPr>
          <w:b/>
          <w:bCs/>
          <w:color w:val="1F4E79"/>
          <w:sz w:val="26"/>
          <w:szCs w:val="26"/>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2"/>
        <w:spacing w:after="160" w:before="360"/>
      </w:pPr>
      <w:r>
        <w:rPr>
          <w:b/>
          <w:bCs/>
          <w:color w:val="1F4E79"/>
          <w:sz w:val="26"/>
          <w:szCs w:val="26"/>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28: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2"/>
        <w:spacing w:after="160" w:before="360"/>
      </w:pPr>
      <w:r>
        <w:rPr>
          <w:b/>
          <w:bCs/>
          <w:color w:val="1F4E79"/>
          <w:sz w:val="26"/>
          <w:szCs w:val="26"/>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6: Finalisation &amp; Bank Upload.</w:t>
      </w:r>
    </w:p>
    <w:p>
      <w:r>
        <w:br w:type="page"/>
      </w:r>
    </w:p>
    <w:p>
      <w:pPr>
        <w:pStyle w:val="Heading1"/>
        <w:pBdr>
          <w:bottom w:val="single" w:color="1F4E79" w:sz="12" w:space="8"/>
        </w:pBdr>
        <w:spacing w:after="80" w:before="240"/>
      </w:pPr>
      <w:r>
        <w:rPr>
          <w:b/>
          <w:bCs/>
          <w:color w:val="1F4E79"/>
          <w:sz w:val="40"/>
          <w:szCs w:val="40"/>
        </w:rPr>
        <w:t xml:space="preserve">Part 6: Finalisation &amp; Bank Upload</w:t>
      </w:r>
    </w:p>
    <w:p>
      <w:pPr>
        <w:spacing w:after="320" w:before="160"/>
      </w:pPr>
      <w:r>
        <w:rPr>
          <w:color w:val="595959"/>
          <w:sz w:val="20"/>
          <w:szCs w:val="20"/>
        </w:rPr>
        <w:t xml:space="preserve">Corporate Technology Services  ·  Employment Hero, CommBiz  ·  Fortnightly cycle</w:t>
      </w:r>
    </w:p>
    <w:p>
      <w:pPr>
        <w:pStyle w:val="Heading2"/>
        <w:spacing w:after="160" w:before="360"/>
      </w:pPr>
      <w:r>
        <w:rPr>
          <w:b/>
          <w:bCs/>
          <w:color w:val="1F4E79"/>
          <w:sz w:val="26"/>
          <w:szCs w:val="26"/>
        </w:rPr>
        <w:t xml:space="preserve">About Part 6</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2"/>
        <w:spacing w:after="160" w:before="360"/>
      </w:pPr>
      <w:r>
        <w:rPr>
          <w:b/>
          <w:bCs/>
          <w:color w:val="1F4E79"/>
          <w:sz w:val="26"/>
          <w:szCs w:val="26"/>
        </w:rPr>
        <w:t xml:space="preserve">Step 1  Finalise the pay run</w:t>
      </w:r>
    </w:p>
    <w:p>
      <w:pPr>
        <w:spacing w:after="120"/>
      </w:pPr>
      <w:r>
        <w:rPr>
          <w:sz w:val="22"/>
          <w:szCs w:val="22"/>
        </w:rPr>
        <w:t xml:space="preserve">In the pay run, check the header details once more, pay period and paid date,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29: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2"/>
        <w:spacing w:after="160" w:before="360"/>
      </w:pPr>
      <w:r>
        <w:rPr>
          <w:b/>
          <w:bCs/>
          <w:color w:val="1F4E79"/>
          <w:sz w:val="26"/>
          <w:szCs w:val="26"/>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30: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it does not appear immediately. Check the total on the confirmation screen matches the pay run, then Submit, Confirm, and OK.</w:t>
      </w:r>
    </w:p>
    <w:p>
      <w:pPr>
        <w:pStyle w:val="Heading2"/>
        <w:spacing w:after="160" w:before="360"/>
      </w:pPr>
      <w:r>
        <w:rPr>
          <w:b/>
          <w:bCs/>
          <w:color w:val="1F4E79"/>
          <w:sz w:val="26"/>
          <w:szCs w:val="26"/>
        </w:rPr>
        <w:t xml:space="preserve">Step 3  Check there are enough funds,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'MT payroll' works, where MT is money transfer. The wording is free text, but it should be recognisable later.</w:t>
      </w:r>
    </w:p>
    <w:p>
      <w:pPr>
        <w:pStyle w:val="Heading2"/>
        <w:spacing w:after="160" w:before="360"/>
      </w:pPr>
      <w:r>
        <w:rPr>
          <w:b/>
          <w:bCs/>
          <w:color w:val="1F4E79"/>
          <w:sz w:val="26"/>
          <w:szCs w:val="26"/>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2"/>
        <w:spacing w:after="160" w:before="360"/>
      </w:pPr>
      <w:r>
        <w:rPr>
          <w:b/>
          <w:bCs/>
          <w:color w:val="1F4E79"/>
          <w:sz w:val="26"/>
          <w:szCs w:val="26"/>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31: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it does not have to happen in the same sitting as the pay run.</w:t>
      </w:r>
    </w:p>
    <w:p>
      <w:pPr>
        <w:pStyle w:val="Heading2"/>
        <w:spacing w:after="160" w:before="360"/>
      </w:pPr>
      <w:r>
        <w:rPr>
          <w:b/>
          <w:bCs/>
          <w:color w:val="1F4E79"/>
          <w:sz w:val="26"/>
          <w:szCs w:val="26"/>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32: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the bank file, the reports, the emails behind an adjustment, belongs in that fortnight's folder. It costs a moment now and saves a great deal when someone queries a pay six months later.</w:t>
            </w:r>
          </w:p>
        </w:tc>
      </w:tr>
    </w:tbl>
    <w:p>
      <w:pPr>
        <w:spacing w:after="200"/>
      </w:pPr>
    </w:p>
    <w:p>
      <w:pPr>
        <w:pStyle w:val="Heading2"/>
        <w:spacing w:after="160" w:before="360"/>
      </w:pPr>
      <w:r>
        <w:rPr>
          <w:b/>
          <w:bCs/>
          <w:color w:val="1F4E79"/>
          <w:sz w:val="26"/>
          <w:szCs w:val="26"/>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This completes the fortnightly payroll cycle. The next fortnight begins again at Part 1: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CTS Payroll Processing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c37ef2270000b745660cb9f53a3eb617a232de.png"/><Relationship Id="rId10" Type="http://schemas.openxmlformats.org/officeDocument/2006/relationships/image" Target="media/758ef38ae398d5d697b24d844853889d5bcc36e6.png"/><Relationship Id="rId11" Type="http://schemas.openxmlformats.org/officeDocument/2006/relationships/image" Target="media/33019dce869b4da8542f6cc88fe1413ef8f9ac47.png"/><Relationship Id="rId12" Type="http://schemas.openxmlformats.org/officeDocument/2006/relationships/image" Target="media/fc8a9948637b4d8bd246330a94b6be911de3f5c3.png"/><Relationship Id="rId13" Type="http://schemas.openxmlformats.org/officeDocument/2006/relationships/image" Target="media/dd76a89b3820ce6979b3e32d04491e3dee84766f.png"/><Relationship Id="rId14" Type="http://schemas.openxmlformats.org/officeDocument/2006/relationships/image" Target="media/6041c7fcc012e5756217eb6703b8b901f1c7c871.png"/><Relationship Id="rId15" Type="http://schemas.openxmlformats.org/officeDocument/2006/relationships/image" Target="media/e5957e2a96bdb33a079d8518ca8d9c24e690085f.png"/><Relationship Id="rId16" Type="http://schemas.openxmlformats.org/officeDocument/2006/relationships/image" Target="media/48943c86fd7ca25fac7cef5cd858106502979c0f.png"/><Relationship Id="rId17" Type="http://schemas.openxmlformats.org/officeDocument/2006/relationships/image" Target="media/3d42adc717f802aae9df99eaecca706aae0982d5.png"/><Relationship Id="rId18" Type="http://schemas.openxmlformats.org/officeDocument/2006/relationships/image" Target="media/e9fabe3566c4ad4b3b1736cc077a8c2655784abc.png"/><Relationship Id="rId19" Type="http://schemas.openxmlformats.org/officeDocument/2006/relationships/image" Target="media/f55e6a062e506b2402218a7c56c5582b07c5f38e.png"/><Relationship Id="rId20" Type="http://schemas.openxmlformats.org/officeDocument/2006/relationships/image" Target="media/e1f3741279e93a6a16de5247df555332e7f8a3ee.png"/><Relationship Id="rId21" Type="http://schemas.openxmlformats.org/officeDocument/2006/relationships/image" Target="media/fc22d9931f7983bd639d5d29f91958b0336defa5.png"/><Relationship Id="rId22" Type="http://schemas.openxmlformats.org/officeDocument/2006/relationships/image" Target="media/e222f7dabbc3180bad1e0554faebc294f811ffd4.png"/><Relationship Id="rId23" Type="http://schemas.openxmlformats.org/officeDocument/2006/relationships/image" Target="media/713dbcac86a170cc33cb1a46c3f396597cb83956.png"/><Relationship Id="rId24" Type="http://schemas.openxmlformats.org/officeDocument/2006/relationships/image" Target="media/67961ee6ae42df8bdfa38164df0f3852c05aaa92.png"/><Relationship Id="rId25" Type="http://schemas.openxmlformats.org/officeDocument/2006/relationships/image" Target="media/f485ca6f8904c7e37c3c43b24201bf656369cdb4.png"/><Relationship Id="rId26" Type="http://schemas.openxmlformats.org/officeDocument/2006/relationships/image" Target="media/237b9adb6fc44447d7e396e66c8ecce3893eab34.png"/><Relationship Id="rId27" Type="http://schemas.openxmlformats.org/officeDocument/2006/relationships/image" Target="media/d8a3a9c759e35a9e96c42f233ea5295a37670572.png"/><Relationship Id="rId28" Type="http://schemas.openxmlformats.org/officeDocument/2006/relationships/image" Target="media/76aea1dd08557e5c1909069d49522c431bc57a46.png"/><Relationship Id="rId29" Type="http://schemas.openxmlformats.org/officeDocument/2006/relationships/image" Target="media/4df954ff84d0f9ac72ef085acd502d3efcfdcde7.png"/><Relationship Id="rId30" Type="http://schemas.openxmlformats.org/officeDocument/2006/relationships/image" Target="media/1afacde66dfa8ac681558633a08ad7b84465713a.png"/><Relationship Id="rId31" Type="http://schemas.openxmlformats.org/officeDocument/2006/relationships/image" Target="media/fe060fc571166180fcf9de73c3c28ee28e2d36bd.png"/><Relationship Id="rId32" Type="http://schemas.openxmlformats.org/officeDocument/2006/relationships/image" Target="media/c774905dd5d49e64a0e50627a5f7c84049bbd17a.png"/><Relationship Id="rId33" Type="http://schemas.openxmlformats.org/officeDocument/2006/relationships/image" Target="media/01d191fd49636cd85c89d8e36630fe1b9d45a95a.png"/><Relationship Id="rId34" Type="http://schemas.openxmlformats.org/officeDocument/2006/relationships/image" Target="media/7887d8a3656b136bbfda7335f610b2e5025256da.png"/><Relationship Id="rId35" Type="http://schemas.openxmlformats.org/officeDocument/2006/relationships/image" Target="media/342f632a127c89f3ff05e3f3f1cfda9ae00e87b9.png"/><Relationship Id="rId36" Type="http://schemas.openxmlformats.org/officeDocument/2006/relationships/image" Target="media/0f633d1c09fedffc2102ddb4fc970ed28c5e3f85.png"/><Relationship Id="rId37" Type="http://schemas.openxmlformats.org/officeDocument/2006/relationships/image" Target="media/a2cc79fed8b2f952387848f76a9d7813e41de412.png"/><Relationship Id="rId38" Type="http://schemas.openxmlformats.org/officeDocument/2006/relationships/image" Target="media/1ddb1a4aeb5a51a0fbd36f874eccb682a8375b35.png"/><Relationship Id="rId39" Type="http://schemas.openxmlformats.org/officeDocument/2006/relationships/image" Target="media/3eb1af078087a0fedaec75e31759ba808fcb1e31.png"/><Relationship Id="rId40" Type="http://schemas.openxmlformats.org/officeDocument/2006/relationships/image" Target="media/eb3ed3302adf1fa3ca8f2a584dbfcb5b7522a60a.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Processing Manual</dc:title>
  <dc:creator>Corporate Technology Services</dc:creator>
  <dc:description>Employment Hero Payroll  ·  Fortnightly cycle  ·  Complete series</dc:description>
  <cp:lastModifiedBy>Un-named</cp:lastModifiedBy>
  <cp:revision>1</cp:revision>
  <dcterms:created xsi:type="dcterms:W3CDTF">2026-09-03T06:26:25.684Z</dcterms:created>
  <dcterms:modified xsi:type="dcterms:W3CDTF">2026-09-03T06:26:25.685Z</dcterms:modified>
</cp:coreProperties>
</file>

<file path=docProps/custom.xml><?xml version="1.0" encoding="utf-8"?>
<Properties xmlns="http://schemas.openxmlformats.org/officeDocument/2006/custom-properties" xmlns:vt="http://schemas.openxmlformats.org/officeDocument/2006/docPropsVTypes"/>
</file>