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pPr>
      <w:r>
        <w:rPr>
          <w:rFonts w:ascii="Calibri" w:cs="Calibri" w:eastAsia="Microsoft JhengHei" w:hAnsi="Calibri"/>
          <w:b/>
          <w:bCs/>
          <w:sz w:val="26"/>
          <w:szCs w:val="26"/>
        </w:rPr>
        <w:t xml:space="preserve">1.0 Introduction</w:t>
      </w:r>
    </w:p>
    <w:p>
      <w:pPr>
        <w:spacing w:after="160" w:line="360"/>
      </w:pPr>
      <w:r>
        <w:rPr>
          <w:rFonts w:ascii="Calibri" w:cs="Calibri" w:eastAsia="Microsoft JhengHei" w:hAnsi="Calibri"/>
          <w:sz w:val="22"/>
          <w:szCs w:val="22"/>
        </w:rPr>
        <w:t xml:space="preserve">My claim is that when I am the senior person present, I handle problems myself and decide for the people involved, and that my position, more than their needs, drives this. The guests in front of me are served well, but my colleagues bear the costs, in how they feel and what they practise, out of the guests' sight. A reader could argue that handling problems myself was simply good service, and in the moment it often was. But in Rows 2 and 4, a new colleague was struggling in front of a waiting guest, and I took over in Row 2, where I was the most experienced person present, but not in Row 4, where the supervisor was. The need was similar, so what changed my response was my position. Read through emotional intelligence (EI; Wong &amp; Law, 2002), my repertoire shows that once a problem is mine, I notice people's feelings only when it includes them, while my position, which EI cannot explain, decides which problems become mine. I then trace these costs to guests, show that in Row 5 I also decided alone what guests were told, and set out how I will leave more of each problem with the people involved.</w:t>
      </w:r>
    </w:p>
    <w:p>
      <w:pPr>
        <w:spacing w:after="120" w:before="240"/>
      </w:pPr>
      <w:r>
        <w:rPr>
          <w:rFonts w:ascii="Calibri" w:cs="Calibri" w:eastAsia="Microsoft JhengHei" w:hAnsi="Calibri"/>
          <w:b/>
          <w:bCs/>
          <w:sz w:val="26"/>
          <w:szCs w:val="26"/>
        </w:rPr>
        <w:t xml:space="preserve">2.0 My Leadership Repertoire</w:t>
      </w:r>
    </w:p>
    <w:p>
      <w:pPr>
        <w:spacing w:after="160" w:line="360"/>
      </w:pPr>
      <w:r>
        <w:rPr>
          <w:rFonts w:ascii="Calibri" w:cs="Calibri" w:eastAsia="Microsoft JhengHei" w:hAnsi="Calibri"/>
          <w:sz w:val="22"/>
          <w:szCs w:val="22"/>
        </w:rPr>
        <w:t xml:space="preserve">Across my rows, when someone in front of me is clearly in difficulty, I step in to protect them (Rows 2, 4, 5 and 7), and in Rows 2, 5 and 7 I took the whole problem on myself. This is the approach I overuse, and it comes from being the senior or more experienced person present. When no one is in difficulty, I listen and weigh other people's views before acting (Rows 1 and 3).</w:t>
      </w:r>
    </w:p>
    <w:p>
      <w:pPr>
        <w:spacing w:after="160" w:line="360"/>
      </w:pPr>
      <w:r>
        <w:rPr>
          <w:rFonts w:ascii="Calibri" w:cs="Calibri" w:eastAsia="Microsoft JhengHei" w:hAnsi="Calibri"/>
          <w:sz w:val="22"/>
          <w:szCs w:val="22"/>
        </w:rPr>
        <w:t xml:space="preserve">Read through EI, my rows suggest that whether I use these abilities depends on whether other people's feelings are part of what I judge matters most. I chose EI because many of my rows turn on how I appraise and respond to emotions. Wong and Law (2002) build on Mayer and Salovey's (1997) definition of EI and measure it as appraising one's own and others' emotions, using emotion and regulating emotion. I use their model because I completed their WLEIS, and I test my scores against what I actually did. Appraising others' emotions was my highest score (6.8 out of 7), and I used it when people's feelings were part of my priority. In Row 4, getting the waiting guest checked in depended on the people involved, so I read the impatient guest, my overwhelmed colleague and the supervisor's rising tone at once. In Row 1, pushing my own proposal as the most senior person, I listened to my colleagues' reasons because they bore on showing the change was necessary, but missed that they might feel pressured and not safe to keep pushing back. Once I take a problem on as my own, feelings it does not include drop out of view.</w:t>
      </w:r>
    </w:p>
    <w:p>
      <w:pPr>
        <w:spacing w:after="160" w:line="360"/>
      </w:pPr>
      <w:r>
        <w:rPr>
          <w:rFonts w:ascii="Calibri" w:cs="Calibri" w:eastAsia="Microsoft JhengHei" w:hAnsi="Calibri"/>
          <w:sz w:val="22"/>
          <w:szCs w:val="22"/>
        </w:rPr>
        <w:t xml:space="preserve">Two weekly concepts show where the lens falls short. In Row 5, Goleman's (1998) empathy and Wong and Law's appraisal of others' emotions both show that I missed how my colleague felt. Appendix A reads Row 5 as empathy failing under time pressure, but the lens treats reading others as an ability I carry with me, and in Row 4, under similar pressure at a peak check-in, I used it on everyone. What differed was what I put first. In Row 4, people's feelings were part of the problem, while in Row 5, the problem was stopping a guest before they reached an occupied room, so I needed only facts from my colleague. Goleman also defines empathy as "skill in treating people according to their emotional reactions" (p. 95), which the lens leaves out. By that half, I also failed, pressing her to explain again while she was rattled and close to tears, because her feelings were not part of the problem I was solving.</w:t>
      </w:r>
    </w:p>
    <w:p>
      <w:pPr>
        <w:spacing w:after="160" w:line="360"/>
      </w:pPr>
      <w:r>
        <w:rPr>
          <w:rFonts w:ascii="Calibri" w:cs="Calibri" w:eastAsia="Microsoft JhengHei" w:hAnsi="Calibri"/>
          <w:sz w:val="22"/>
          <w:szCs w:val="22"/>
        </w:rPr>
        <w:t xml:space="preserve">Row 2 shows a different gap. Through the EI lens, I did read my colleague, seeing that he had frozen. Situational leadership (Hersey &amp; Blanchard, 1969, as cited in Latemore, 2024), which I used for this row in Appendix A, asks the leader to judge what the follower can still do and take on only what is needed. He could have done it, since freezing under a shouting guest is normal for someone new, but I took over the whole complaint without that judgment because I knew I could. EI shows that I noticed how he felt, while situational leadership shows that I skipped judging what he could still do.</w:t>
      </w:r>
    </w:p>
    <w:p>
      <w:pPr>
        <w:spacing w:after="160" w:line="360"/>
      </w:pPr>
      <w:r>
        <w:rPr>
          <w:rFonts w:ascii="Calibri" w:cs="Calibri" w:eastAsia="Microsoft JhengHei" w:hAnsi="Calibri"/>
          <w:sz w:val="22"/>
          <w:szCs w:val="22"/>
        </w:rPr>
        <w:t xml:space="preserve">What stays unexplained is why a problem becomes mine in the first place. Wong and Law's (2002) model places EI in the person and context in the job's emotional demands, both weekly concepts assume someone is already leading, and none has a place for where a person stands among others, which in my rows is what made a problem mine. Fleeson (2001) found that a person's behaviour varies across situations, following situational cues, and in my rows, my position is one of those cues. In Rows 2, 5 and 7, I was not the supervisor but was the senior or more experienced person present. In Row 7, my position also kept my anger down, rather than an ability to regulate it, as the anger came out once the journalist left. Gross and John (2003) call this suppression, which hides an emotion's expression while the emotion may "linger and accumulate unresolved" (p. 349). With my partner in Row 6, after a draining meeting, no role held me, and my tone slipped. So my position decides what becomes my problem, and what that problem contains decides whether I use EI.</w:t>
      </w:r>
    </w:p>
    <w:p>
      <w:pPr>
        <w:spacing w:after="120" w:before="240"/>
      </w:pPr>
      <w:r>
        <w:rPr>
          <w:rFonts w:ascii="Calibri" w:cs="Calibri" w:eastAsia="Microsoft JhengHei" w:hAnsi="Calibri"/>
          <w:b/>
          <w:bCs/>
          <w:sz w:val="26"/>
          <w:szCs w:val="26"/>
        </w:rPr>
        <w:t xml:space="preserve">3.0 Impact on Others</w:t>
      </w:r>
    </w:p>
    <w:p>
      <w:pPr>
        <w:spacing w:after="160" w:line="360"/>
      </w:pPr>
      <w:r>
        <w:rPr>
          <w:rFonts w:ascii="Calibri" w:cs="Calibri" w:eastAsia="Microsoft JhengHei" w:hAnsi="Calibri"/>
          <w:sz w:val="22"/>
          <w:szCs w:val="22"/>
        </w:rPr>
        <w:t xml:space="preserve">In every row that involved a guest, the guest got what they needed, whether a settled complaint, a room or their privacy, so judged by guests alone, my leadership looks better than it is. But whether the colleagues I stepped in for paid a cost depended on my position. When I was the senior or more experienced person present, they did (Rows 1, 2 and 5), and when someone more senior was present (Row 4), my colleague served the guest herself.</w:t>
      </w:r>
    </w:p>
    <w:p>
      <w:pPr>
        <w:spacing w:after="160" w:line="360"/>
      </w:pPr>
      <w:r>
        <w:rPr>
          <w:rFonts w:ascii="Calibri" w:cs="Calibri" w:eastAsia="Microsoft JhengHei" w:hAnsi="Calibri"/>
          <w:sz w:val="22"/>
          <w:szCs w:val="22"/>
        </w:rPr>
        <w:t xml:space="preserve">Row 2 shows the cost falling on what my colleague could do afterwards. As the more experienced person on the desk, I often guided newer colleagues. When my new colleague froze, I took the complaint over, so the guest's frustration ended sooner and the duty manager was likely spared deciding on compensation. My colleague watched a full resolution, but lost the practice of handling the very situation that had frozen him. Next time, he may wait for someone more experienced to step in. Hogreve et al. (2022) place leadership and employee development among the internal practices that start the service-profit chain, shaping what employees can do and so the service guests receive. My takeover entered the chain there, and its cost landed on my colleague's development, though I do not know how he later handled complaints without me.</w:t>
      </w:r>
    </w:p>
    <w:p>
      <w:pPr>
        <w:spacing w:after="160" w:line="360"/>
      </w:pPr>
      <w:r>
        <w:rPr>
          <w:rFonts w:ascii="Calibri" w:cs="Calibri" w:eastAsia="Microsoft JhengHei" w:hAnsi="Calibri"/>
          <w:sz w:val="22"/>
          <w:szCs w:val="22"/>
        </w:rPr>
        <w:t xml:space="preserve">Row 4 shows that customer satisfaction can rise while employee satisfaction falls, which the chain does not predict. Here I was not the most senior person present, as the supervisor was questioning my new colleague in front of a waiting guest, so I stepped into the questioning, not the check-in, which my colleague finished herself. The guest, who had watched it, wrote after check-out that although the room took a while, the staff were very proactive in helping. Behind that praise, my colleague told me afterwards that she felt wronged. Hogreve et al. (2022) note that although the satisfaction mirror implies that employees' feelings flow to customers, evidence finds employee satisfaction reaches customers mainly through the service delivered. So the guest's praise reflected the service my colleague delivered, not what she had paid to deliver it.</w:t>
      </w:r>
    </w:p>
    <w:p>
      <w:pPr>
        <w:spacing w:after="160" w:line="360"/>
      </w:pPr>
      <w:r>
        <w:rPr>
          <w:rFonts w:ascii="Calibri" w:cs="Calibri" w:eastAsia="Microsoft JhengHei" w:hAnsi="Calibri"/>
          <w:sz w:val="22"/>
          <w:szCs w:val="22"/>
        </w:rPr>
        <w:t xml:space="preserve">Rows 1 and 5 show the same link weakening. In Row 1, guests faced fewer parking disputes, but colleagues who did not fully agree had to ask questions they felt were intrusive, and afterwards seemed reluctant to tell me what they thought. In Row 5, the arriving guest never reached the occupied room, but my colleague looked close to tears when I pressed her, then faced a firm talk from me and a private conversation with the supervisor. In both rows, my colleagues' experience worsened while the guest outcome held or improved, because what reached the guest was the procedure or my fix rather than how my colleagues felt. This fits Hogreve et al.'s (2022, p. 469) observation that the chain's effects are not universal but depend on the conditions around them, so a guest outcome can hold while the employee link beneath it weakens unnoticed.</w:t>
      </w:r>
    </w:p>
    <w:p>
      <w:pPr>
        <w:spacing w:after="160" w:line="360"/>
      </w:pPr>
      <w:r>
        <w:rPr>
          <w:rFonts w:ascii="Calibri" w:cs="Calibri" w:eastAsia="Microsoft JhengHei" w:hAnsi="Calibri"/>
          <w:sz w:val="22"/>
          <w:szCs w:val="22"/>
        </w:rPr>
        <w:t xml:space="preserve">So my position shapes not only what becomes my problem but also what my colleagues are left with. This never shows in a single encounter, but at a 73-room hotel with two staff on each shift, there is often no one else to step in, so the hotel needs senior staff who leave colleagues able to handle problems, not ones who take problems over. On the shifts I do not work, my colleagues serve guests with how they feel and what they have practised, so the guests my leadership affects most may be the ones I never meet.</w:t>
      </w:r>
    </w:p>
    <w:p>
      <w:pPr>
        <w:spacing w:after="120" w:before="240"/>
      </w:pPr>
      <w:r>
        <w:rPr>
          <w:rFonts w:ascii="Calibri" w:cs="Calibri" w:eastAsia="Microsoft JhengHei" w:hAnsi="Calibri"/>
          <w:b/>
          <w:bCs/>
          <w:sz w:val="26"/>
          <w:szCs w:val="26"/>
        </w:rPr>
        <w:t xml:space="preserve">4.0 My Ethical Responsibilities</w:t>
      </w:r>
    </w:p>
    <w:p>
      <w:pPr>
        <w:spacing w:after="160" w:line="360"/>
      </w:pPr>
      <w:r>
        <w:rPr>
          <w:rFonts w:ascii="Calibri" w:cs="Calibri" w:eastAsia="Microsoft JhengHei" w:hAnsi="Calibri"/>
          <w:sz w:val="22"/>
          <w:szCs w:val="22"/>
        </w:rPr>
        <w:t xml:space="preserve">In Row 5, the clearest ethical case in my rows, I told an arriving guest the supervisor had just upgraded them, to stop them reaching an occupied room, without asking her or mentioning the mistake. Working through Preston's (2001, as cited in Latemore, 2024) five steps shows a decision that served the guest but rested on an invented reason.</w:t>
      </w:r>
    </w:p>
    <w:p>
      <w:pPr>
        <w:spacing w:after="160" w:line="360"/>
      </w:pPr>
      <w:r>
        <w:rPr>
          <w:rFonts w:ascii="Calibri" w:cs="Calibri" w:eastAsia="Microsoft JhengHei" w:hAnsi="Calibri"/>
          <w:sz w:val="22"/>
          <w:szCs w:val="22"/>
        </w:rPr>
        <w:t xml:space="preserve">Assessing the situation shows that honesty pulled against protecting the guest's stay, my colleague and the hotel's image, and that I had more options than I used, since as senior staff I could have offered the larger room myself and said their room had a problem. Instead, I credited the supervisor, because an upgrade from me would raise the question of why I had not given it at check-in. Against Northouse's (2026) principles, the upgrade was just, compensating the guest for our mistake, and served them, but it falls short on honesty, which does not mean disclosing everything but does mean not misrepresenting reality. So the ethical problem was not the upgrade or what I left unsaid, but the reason I invented when an honest one was available.</w:t>
      </w:r>
    </w:p>
    <w:p>
      <w:pPr>
        <w:spacing w:after="160" w:line="360"/>
      </w:pPr>
      <w:r>
        <w:rPr>
          <w:rFonts w:ascii="Calibri" w:cs="Calibri" w:eastAsia="Microsoft JhengHei" w:hAnsi="Calibri"/>
          <w:sz w:val="22"/>
          <w:szCs w:val="22"/>
        </w:rPr>
        <w:t xml:space="preserve">Weighing these factors, I put the guest's stay and the hotel's image ahead of honesty, believing the truth would only make us look unprofessional. Preston's final steps ask whether I can account for a decision and what it says about the person I ought to be, and this reason is hard to account for, since as the guest I would not want to learn the upgrade story was made up. The arriving guest and the hotel were served, while those traded away belonged to people with no say. My colleague faced the consequences in Section 3, the supervisor's name was used before she was asked, and the guest in the occupied room was never told that a card for their room had been issued. My record at the time that neither guest was affected (Row 5) shows the risk I did not see, that I alone decided what each person needed to know.</w:t>
      </w:r>
    </w:p>
    <w:p>
      <w:pPr>
        <w:spacing w:after="160" w:line="360"/>
      </w:pPr>
      <w:r>
        <w:rPr>
          <w:rFonts w:ascii="Calibri" w:cs="Calibri" w:eastAsia="Microsoft JhengHei" w:hAnsi="Calibri"/>
          <w:sz w:val="22"/>
          <w:szCs w:val="22"/>
        </w:rPr>
        <w:t xml:space="preserve">Row 5 is not a one-off lapse but a sharper version of how I usually lead. Measured by Northouse's (2026) principles, I am strongest on service, stepping in to protect the person in front of me (Rows 2, 4, 5 and 7). I am weaker on respect, which Northouse describes as treating other people's decisions and values with respect rather than as a means to my own ends. In Row 2, I took the complaint over without asking my colleague which part he could handle, and in Row 1, I listened to every objection but answered each one until the group agreed to my procedure. My honesty is uneven too, as in Rows 5 and 7 I was open with my supervisor, yet in Row 5 I decided what the guests could be told.</w:t>
      </w:r>
    </w:p>
    <w:p>
      <w:pPr>
        <w:spacing w:after="160" w:line="360"/>
      </w:pPr>
      <w:r>
        <w:rPr>
          <w:rFonts w:ascii="Calibri" w:cs="Calibri" w:eastAsia="Microsoft JhengHei" w:hAnsi="Calibri"/>
          <w:sz w:val="22"/>
          <w:szCs w:val="22"/>
        </w:rPr>
        <w:t xml:space="preserve">The generous reading is right that no guest was harmed, each decision stayed within my authority and, as Northouse (2026) allows, not everything must be disclosed, but it explains only this decision. The stricter reading explains the pattern, that I am honest with those above me but decide on behalf of those around me. Northouse warns that lying implies we do not trust others to deal with the information we have and that we know what is best for them, and deciding for others carries the same distrust. Row 4, where someone more senior was present and I left the check-in with my colleague, suggests that deciding for others, like taking the problem on, follows my position. So when I am the senior person present and a smooth result for the people in front of me meets honesty or others' right to decide, I have let the smooth result win.</w:t>
      </w:r>
    </w:p>
    <w:p>
      <w:pPr>
        <w:spacing w:after="120" w:before="240"/>
      </w:pPr>
      <w:r>
        <w:rPr>
          <w:rFonts w:ascii="Calibri" w:cs="Calibri" w:eastAsia="Microsoft JhengHei" w:hAnsi="Calibri"/>
          <w:b/>
          <w:bCs/>
          <w:sz w:val="26"/>
          <w:szCs w:val="26"/>
        </w:rPr>
        <w:t xml:space="preserve">5.0 Development Plan</w:t>
      </w:r>
    </w:p>
    <w:p>
      <w:pPr>
        <w:spacing w:after="160" w:line="360"/>
      </w:pPr>
      <w:r>
        <w:rPr>
          <w:rFonts w:ascii="Calibri" w:cs="Calibri" w:eastAsia="Microsoft JhengHei" w:hAnsi="Calibri"/>
          <w:sz w:val="22"/>
          <w:szCs w:val="22"/>
        </w:rPr>
        <w:t xml:space="preserve">My three sections point to one area to develop. Stepping in is not the problem, but once I step in as the senior person present, I decide alone what others do, feel and are told. I no longer work at the hotel, but this habit follows my position, so in my group assignments, part-time job and volunteer role in the future, wherever I am the more experienced person, I will practise each change.</w:t>
      </w:r>
    </w:p>
    <w:p>
      <w:pPr>
        <w:spacing w:after="160" w:line="360"/>
      </w:pPr>
      <w:r>
        <w:rPr>
          <w:rFonts w:ascii="Calibri" w:cs="Calibri" w:eastAsia="Microsoft JhengHei" w:hAnsi="Calibri"/>
          <w:sz w:val="22"/>
          <w:szCs w:val="22"/>
        </w:rPr>
        <w:t xml:space="preserve">First, when a co-worker at my part-time job brings me an urgent problem, I will include how they feel before asking for facts, first telling them the priority and then asking what happened, as I failed to do in Row 5. This builds the half of empathy my lens left out (Goleman, 1998). It has worked if they can explain what happened without becoming more upset.</w:t>
      </w:r>
    </w:p>
    <w:p>
      <w:pPr>
        <w:spacing w:after="160" w:line="360"/>
      </w:pPr>
      <w:r>
        <w:rPr>
          <w:rFonts w:ascii="Calibri" w:cs="Calibri" w:eastAsia="Microsoft JhengHei" w:hAnsi="Calibri"/>
          <w:sz w:val="22"/>
          <w:szCs w:val="22"/>
        </w:rPr>
        <w:t xml:space="preserve">Second, when a mistake in a group or at work affects people who are not present, I will give them a true reason, even a brief one, and ask before speaking for anyone else, unlike in Row 5. This keeps to Northouse's (2026) view of honesty as not misrepresenting reality. It has worked if I could repeat every explanation I gave in front of everyone involved without correcting it.</w:t>
      </w:r>
    </w:p>
    <w:p>
      <w:pPr>
        <w:spacing w:after="160" w:line="360"/>
      </w:pPr>
      <w:r>
        <w:rPr>
          <w:rFonts w:ascii="Calibri" w:cs="Calibri" w:eastAsia="Microsoft JhengHei" w:hAnsi="Calibri"/>
          <w:sz w:val="22"/>
          <w:szCs w:val="22"/>
        </w:rPr>
        <w:t xml:space="preserve">Third, because my regulation held mainly when my role held it (Rows 6 and 7), I will treat noticing that I have stopped listening as my cue to say I need a moment, practising this in my group meetings this semester. It has worked if I take that moment before my tone turns sharp.</w:t>
      </w:r>
    </w:p>
    <w:p>
      <w:pPr>
        <w:spacing w:after="160" w:line="360"/>
      </w:pPr>
      <w:r>
        <w:rPr>
          <w:rFonts w:ascii="Calibri" w:cs="Calibri" w:eastAsia="Microsoft JhengHei" w:hAnsi="Calibri"/>
          <w:sz w:val="22"/>
          <w:szCs w:val="22"/>
        </w:rPr>
        <w:t xml:space="preserve">To track all three, I will keep a short note after each meeting or shift of who finished the problem, who was told what and whether I paused in time, and review it monthly. If the notes show others finishing more of the problems I step into, I am handing problems back rather than taking them 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Microsoft JhengHe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2026-10-08T22:42:19.611Z</dcterms:created>
  <dcterms:modified xsi:type="dcterms:W3CDTF">2026-10-08T22:42:19.611Z</dcterms:modified>
</cp:coreProperties>
</file>

<file path=docProps/custom.xml><?xml version="1.0" encoding="utf-8"?>
<Properties xmlns="http://schemas.openxmlformats.org/officeDocument/2006/custom-properties" xmlns:vt="http://schemas.openxmlformats.org/officeDocument/2006/docPropsVTypes"/>
</file>