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(in SLIM integriert; die Zwei-Faktor-Anmeldung ist in der Demo nicht aktiviert);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Fachmasken (Schusszahlen, Details, Simulation) und die Datenverwaltung (Schiessplatz, Berechnungen mit Import, Waffen) laufen als Prototyp auf dem Datenmodell nach B1 Kapitel 10, abgesichert durch automatisierte Tests in jedem Build (Kapitel 6.1);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514975"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14975" cy="4600575"/>
                    </a:xfrm>
                    <a:prstGeom prst="rect">
                      <a:avLst/>
                    </a:prstGeom>
                  </pic:spPr>
                </pic:pic>
              </a:graphicData>
            </a:graphic>
          </wp:inline>
        </w:drawing>
      </w:r>
    </w:p>
    <w:p>
      <w:pPr>
        <w:spacing w:after="120"/>
      </w:pPr>
      <w:r>
        <w:t xml:space="preserve">Die Skizze zeigt die Zielarchitektur; gestrichelte Elemente fehlen im Prototyp noch (Kartenviewer, Excel- und FGDB-Import/-Export über GDAL,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(Angular 22, NestJS 12, TypeORM 0.3, ExcelJS 4 – MIT; OpenLayers – BSD-2; GDAL ≥ 3.8 – MIT; PostgreSQL 17 – PostgreSQL-Lizenz; PostGIS 3.5 – GPL, nur als unveränderter Datenbankdienst), ohne Copyleft-Wirkung auf SLIM; die vollständige Lizenzliste mit Versionen und Notices ist Teil der SBOM jedes Releases;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Stellungsräume lassen sich zu Anlagen gruppieren; die Beurteilung erfolgt wahlweise je Anlage oder platzweit (B1 7.3, Abgrenzung im Refinement zu entscheiden). Jede Tabelle trägt </w:t>
      </w:r>
      <w:r>
        <w:rPr>
          <w:rFonts w:ascii="Consolas" w:cs="Consolas" w:eastAsia="Consolas" w:hAnsi="Consolas"/>
          <w:sz w:val="20"/>
          <w:szCs w:val="20"/>
          <w:shd w:fill="F2F2F2" w:val="clear"/>
        </w:rPr>
        <w:t xml:space="preserve">tenantId</w:t>
      </w:r>
      <w:r>
        <w:t xml:space="preserve"> (fachliche Mandantentrennung, z. B. ein Demo-Mandant neben dem produktiven Mandanten; Entwicklung, Akzeptanz und Produktion sind dagegen getrennte Instanzen mit eigener Datenbank, Kapitel 2.5;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übergeordnete Referenzstruktur (Schiessplatz, Stellungsraum, Waffe/Kaliber/Waffenkategorie, Kombination, zulässige Zuordnung, Kontingent, Feiertage), zustandsunabhängige Nutzungen mit n Positionen (Dezimalmenge, Einheit), Zustandsebene Immissionsberechnung → Zustand → Anlageteile, Schusslinien mit Quelldaten Anhang 9/7 (= Gewichte der Verteilung), Immissionspunkte, Gebäude, WLR je Zeitgruppe und die weiteren FGDB-Objekte; zusammengesetzte Fremdschlüssel verhindern Verknüpfungen über Zustände hinweg, Unique-Indizes erzwingen genau einen aktuellen und einen MGDM-Zustand; der Berechnungsstand (Berechnungslauf mit Kopie der Nutzungen, Referenz-Snapshot, Kernversion, Prüfsumme) ist umgesetzt. Physische Tabellen deutsch; Spalten deutsch in der Zustandsebene und im Berechnungslauf, in Referenzstruktur und Nutzungen noch englisch (gleiches Muster, nächster Schritt). Der Demo-Datensatz «SLIM Demo» mit neun Schiessplätzen wird über denselben Import aus diesem Modell erzeugt.</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kein E-Mail-Umweg um den zweiten Faktor), für jedes Konto erzwungen; dazu Passwortregeln und Sperre nach Fehlversuchen. Der Prototyp bringt den zweiten Faktor heute als E-Mail-Code mit (in der Demo nicht aktiviert); TOTP ersetzt ihn im ersten Sprint.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und Logbuch inkl. aller Auth-Ereignisse umgesetzt und getestet; Menü nach den App-Rechten der Sitzung, Lesemodus der Datenverwaltung nach Recht; 2FA per E-Mail-Code vorhanden, in der Demo nicht aktiviert; TOTP und die CASL-Ableitung der Schaltflächen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und PostGIS-Container (Boot gegen PostgreSQL wartet auf die Typzuordnung aus 2.2), Health-Endpunkte, CI mit Lint, Unit-, HTTP- und End-to-End-Tests je Commit,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Scope auf die zwei Endpunkte) mit IP-Allowlist; mTLS bleibt als Alternative, falls die ELO-Seite kein Token-Handling einführen will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unter Zuzug der ELO-Entwicklerfirma, Aufwände für Anpassungen an ELO trägt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(Nutzung mit n Positionen, Herkunft «ELO» mit Kennzeichen in der Maske, Idempotenz über die externe ID) und die Validierungsregeln des Nutzungs-Service (Viertelstundenraster, Ende &gt; Start, Einheit ≤ 256 Zeichen, Anzahl Personen, zivile Nutzungsart als bedingtes Pflichtfeld, nur zulässige Kombinationen des Stellungsraums, Dezimalmengen mit Einheit) sind umgesetzt und getestet;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Kombinationen, Zuordnungen, Kontingente) und fachlicher Stichprobe, Freigabe durch die Auftraggeberin, dann Produktivmigration im Wartungsfenster mit Sicherung davor (Testdaten gemäss Mitwirkungspflichten A1.1, Ziffer 6). Historische Nutzungen und frühere Berechnungen sind gemäss B1 9.2 nicht Teil des Initialimports; die Strukturen (Nutzungen je Jahr, Zustände je Lieferung) sind dafür vorbereitet, ein späterer Nachimport ist ein Change.</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nur Struktur und Zuordnung. Die FGDB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mit Anlageteilen, Schusslinien, Quelldaten, Immissionspunkten, Gebäuden und WLR je Zeitgruppe; Upload von WLR- und Betriebsdaten-Dateien je Zeitgruppe. Die Berechnungsdatei wird heute als validiertes JSON (FME-Export) gelesen; das direkte Lesen der FGDB über GDAL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und der Waffen-Stammdaten, Export der Zustände als wieder importierbares Bündel (5.20), Schusszahlen als CSV; die Exporte nach B1.6, die MPV-Statistik und die GeoDB folgen.</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Bei nicht verteilbaren oder nicht zuordenbaren positiven Schusszahlen wird die betroffene Gesamtbeurteilung als unvollständig und nicht abschliessend beurteilbar gekennzeichnet (Status «nicht beurteilbar» ohne Ampelfarbe, mit Prüfhinweis auf die betroffenen Kombinationen und den Zustand). Teilberechnungen können ergänzend angezeigt werden, werden jedoch nicht als gültige Gesamtbeurteilung ausgewiesen. Eine Gleichverteilung ist ausschliesslich nach dokumentierter Freigabe durch KOMZ Lärm zulässig (Parameter nur zusammen mit Referenz und Datum des Fachentscheids setzbar, Referenz wird im Berechnungsstand mitgeführt, Ergebnis trägt das Kennzeichen «Ersatzregel angewendet»); die Import-Validierung meldet Kombinationen mit Quellen, aber ohne Betriebsdaten bereits beim FGDB-Import. </w:t>
      </w:r>
      <w:r>
        <w:rPr>
          <w:i/>
          <w:iCs/>
        </w:rPr>
        <w:t xml:space="preserve">Prototyp:</w:t>
      </w:r>
      <w:r>
        <w:t xml:space="preserve"> Verteilung nach den Quelldaten-Gewichten des Zustands, Verweigern als Standard, Status «nicht beurteilbar» bis in Detailmaske, Simulation, Zähler, Übersichts-Ampel und Berechnungslauf umgesetzt und getestet; im Export folgt er mit den Exporten aus 3.4.</w:t>
      </w:r>
    </w:p>
    <w:p>
      <w:pPr>
        <w:pStyle w:val="ListParagraph"/>
        <w:numPr>
          <w:ilvl w:val="0"/>
          <w:numId w:val="3"/>
        </w:numPr>
        <w:spacing w:after="40"/>
      </w:pPr>
      <w:r>
        <w:t xml:space="preserve">Beurteilungspegel je Empfangspunkt (LSV): Anhang 9 (LSV Anhang 9 Ziffer 31) mit LAE1 = energetisches Mittel der Tag-Quellen + 10·log(Schuss Tag), LAE2 analog für den Abend, Lr = 10·log(10^(0.1·LAE1) + 10^(0.1·(LAE2 + K1))) − 10·log(T) + K2 mit K1 = 5 (Abendzuschlag), K2 = 15, T = Bezugszeit (Jahresstunden der Werktage);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im Zielzustand in der erweiterten Konfiguration (5.28).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Grenzwerte und Schwellen sind noch Konstanten.</w:t>
      </w:r>
    </w:p>
    <w:p>
      <w:pPr>
        <w:spacing w:after="80"/>
      </w:pPr>
    </w:p>
    <w:p>
      <w:pPr>
        <w:pStyle w:val="Heading3"/>
      </w:pPr>
      <w:r>
        <w:t xml:space="preserve">4.3 Nachweis der Korrektheit</w:t>
      </w:r>
    </w:p>
    <w:p>
      <w:pPr>
        <w:spacing w:after="120"/>
      </w:pPr>
      <w:r>
        <w:t xml:space="preserve">Der Berechnungskern wird gegen die Formelblätter A9X/A7X der Beilage B1.4 getestet – gemäss FAQ 19 die verbindliche Umsetzungsvorlage – und zwar für alle zwölf Empfangspunkte je Anhang (Stand 21.09.2026). Sollwerte sind die Werte des Formelblatts; Toleranz: auf 0.1 dB gerundet identisch, ungerundet &lt; 10⁻⁶ dB gegen die gespeicherten Excel-Werte. Auszug (gerundet, in Klammern ungerundet):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Kern</w:t>
            </w:r>
          </w:p>
        </w:tc>
        <w:tc>
          <w:tcPr>
            <w:shd w:fill="E7E6E6" w:val="clear"/>
            <w:tcMar>
              <w:top w:type="dxa" w:w="60"/>
              <w:left w:type="dxa" w:w="90"/>
              <w:bottom w:type="dxa" w:w="60"/>
              <w:right w:type="dxa" w:w="90"/>
            </w:tcMar>
          </w:tcPr>
          <w:p>
            <w:pPr>
              <w:spacing w:after="0"/>
            </w:pPr>
            <w:r>
              <w:rPr>
                <w:b/>
                <w:bCs/>
                <w:sz w:val="19"/>
                <w:szCs w:val="19"/>
              </w:rPr>
              <w:t xml:space="preserve">Anhang 7 Lr: Soll A7X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28.0 (28.0803 / 28.0463, Sonderfall)</w:t>
            </w:r>
          </w:p>
        </w:tc>
      </w:tr>
    </w:tbl>
    <w:p>
      <w:pPr>
        <w:spacing w:after="120"/>
      </w:pPr>
    </w:p>
    <w:p>
      <w:pPr>
        <w:spacing w:after="120"/>
      </w:pPr>
      <w:r>
        <w:rPr>
          <w:b/>
          <w:bCs/>
        </w:rPr>
        <w:t xml:space="preserve">Anhang 9:</w:t>
      </w:r>
      <w:r>
        <w:t xml:space="preserve"> LAE1, LAE2 und Lr stimmen für alle zwölf Empfangspunkte mit dem Formelblatt überein (der sonARMS-Kernel selbst, Blatt A9p, zeigt für E8 14.3 dB, weil er Quellen unter seiner Relevanzschwelle weglässt; massgebend ist das Formelblatt). </w:t>
      </w:r>
      <w:r>
        <w:rPr>
          <w:b/>
          <w:bCs/>
        </w:rPr>
        <w:t xml:space="preserve">Anhang 7:</w:t>
      </w:r>
      <w:r>
        <w:t xml:space="preserve"> Li, Lri und Lr stimmen für elf Empfangspunkte überein; bei E8 liefert der Kern 28.046 dB, das Formelblatt 28.080 dB (Differenz 0.034 dB; angezeigt 28.0 gegenüber 28.1). Ursache, numerisch nachvollzogen: Das Formelblatt schreibt für die fünf Waffenkategorien ohne Schüsse (b–f) 0 dB in die Lri-Zellen und summiert diese energetisch mit – 28.046 dB entsprechen 637.7 Energieeinheiten, plus fünfmal 10^0 = 642.7 Einheiten = 28.080 dB, exakt der Excel-Wert; der sonARMS-Kernel (Blatt A7p) lässt leere Kategorien weg und zeigt 28.0. Beide Lesarten sind im Kern als Parameter hinterlegt und getestet (Standard heute: Lesart des Kernels, Marker «keine Energie»; Umschalten auf die Formelblatt-Lesart ohne Codeänderung); bei lauten Empfangspunkten ist der Effekt unsichtbar. Die Fachstelle bestätigt die massgebende Lesart im Refinement, die Abnahmetoleranz (absolute Abweichung je Wert) wird mit ihr festgelegt und in den Tests hinterlegt. 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(PW nur aus den Stellungsräumen nach 1985), fehlende Quellen, Schusszahl null, Jahresmittel ohne vorzeitige Rundung, metamorphe Prüfungen (Anhang 9: ×10 Schuss = +10 dB, Abend +5 dB; Anhang 7: ×10 Schuss bei gleichen Halbtagen = +3 dB) und die Rundungsgrenze 60.4/60.5 aus dem ungerundeten Wert. Jeder weitere Referenzfall der Auftraggeberin wird als Test aufgenommen; die Fachverantwortlichen bestätigen die Resultate vor der Abnahme. </w:t>
      </w:r>
      <w:r>
        <w:rPr>
          <w:i/>
          <w:iCs/>
        </w:rPr>
        <w:t xml:space="preserve">Prototyp:</w:t>
      </w:r>
      <w:r>
        <w:t xml:space="preserve"> Kontrollwerte und Rechenfälle wie beschrieben belegt; Kategorienregel (Anhang 9 alle, Anhang 7 Zivil + SAT), Feiertagskalender je Schiessplatz (ganz und halb) und Verteilung nach Quelldaten laufen durchgängig von der Datenbank bis in den Kern;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Entwicklungsrechner, Service-Ebene ohne HTTP, Stand 11.09.2026): Betriebsdaten 79 ms, Pegel Anhang 9 und 7 für alle Empfangspunkte 13 ms, zusammen unter 0.1 s. Messung der Beurteilung durch den Service (Datenbank in-memory, 12.09.2026): 4'572 Nutzungen über drei Jahre in Ø 146 ms (max. 219 ms), Simulation Ø 57 ms; die Nutzungen eines Zeitraums werden indiziert in einer Abfrage gelesen. Die Beurteilung eines Schiessplatzes bleibt damit weit unter dem Zielwert; nicht gemessen sind HTTP-Overhead, Browser-Rendering und gleichzeitige Nutzer – dieser Nachweis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mit berechneten Ampeln (Grund je Ampel im Tooltip), Schiessplatz-Wechsler mit Lesezeichen, Kontext und die drei Fachmasken 5.11–5.13 umgesetzt (Bilder); von der Datenverwaltung sind 5.14 (Schiessplätze verwalten), 5.15/5.16 (Allgemein, Stammdaten mit Kontingenten), 5.18–5.21 (Berechnungen: Übersicht mit Zeiger aktuell/MGDM, Import mit Prüfbericht, Export, Details je Stellungsraum) und 5.22–5.25 (Waffen mit Löschschutz und Export) umgesetzt; 5.10, 5.17, die Schiessplatz-Zuordnung in 5.26 und 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 und Spaltenfilter, Mehrfachselektion, kompakte Ansicht mit Aktions-Icons, XLSX-Export der Waffen-Stammdaten; Spaltenauswahl und persistente Filter folgen in der gemeinsamen Komponente.</w:t>
      </w:r>
    </w:p>
    <w:p>
      <w:pPr>
        <w:spacing w:after="40" w:before="120"/>
        <w:jc w:val="center"/>
      </w:pPr>
      <w:r>
        <w:drawing>
          <wp:inline distT="0" distB="0" distL="0" distR="0">
            <wp:extent cx="30670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21526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Die Vorgabe (FAQ 9) nennt keine speziellen Anforderungen und lehnt sich an die Barrierefreiheitserklärung von ar.admin.ch an (Forum 128 zur Verbindlichkeit noch offen); die Anbieterin legt darüber hinaus eCH-0059 / WCAG 2.1 AA als eigenen Zielstandard zugrunde: Tastaturbedienung, sichtbarer Fokus, beschriftete Steuerelemente, Ampeln zusätzlich mit Symbol und Text, Karteninhalte als Tabelle, PDF-Ausgaben mit Struktur (Tagged PDF). Prüfung: automatisierte axe-Prüfung im Build plus manuelle Prüfung der Kernmasken je Release (Tastatur, Screenreader, Kontrast, Zoom 200 %).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9144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 cy="1962150"/>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Grenzwerte, Ampelschwellen, Rundung, Sperrdatum, Feiertage, Kartenlayer) sind Konfiguration ohne Rekompilierung (5.28); neue Masken entstehen aus Design System, Facade und generiertem Client. Qualitätssicherung in jedem Build (Stand 21.09.2026, je Kategorie): Lint; 332 API-Tests (Vitest: Berechnungskern gegen B1.4, Rechenfälle, Service- und HTTP-Tests je Controller mit Rechtematrix); 150 Oberflächen-Tests (Jest); 50 End-to-End-Fälle (Playwright: Anmeldung, Startseite, Schiessplatz-Masken, Datenverwaltung); dazu 44 Kriterien-Fälle je B1-Anforderung als Skelett mit Prüfschritten, die mit der jeweiligen Maske automatisiert werden; reproduzierbares Setup per Wizard. </w:t>
      </w:r>
      <w:r>
        <w:rPr>
          <w:i/>
          <w:iCs/>
        </w:rPr>
        <w:t xml:space="preserve">Prototyp:</w:t>
      </w:r>
      <w:r>
        <w:t xml:space="preserve"> Rollen, Rechte, Übersetzungen und technische Parameter sind konfigurierbar; Grenzwerte, Ampelschwellen, Rundung und Sperrdatum sind heute Konstanten und werden in die Konfiguration 5.28 überführt.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39–41/49): Das separate Datenhaltungskonzept inventarisiert alle Dienste mit Projekt- oder Fachdaten – Repository, CI/CD, Container-Registry, Logs und Monitoring, E-Mail-Versand, Fehlertracking, Druckdienst, Demo, allfällige KI-Werkzeuge – mit Standort und Datenkategorie; Fach-, Betriebs- und Personendaten bleiben ausschliesslich in der Schweiz. Quellcode-Repository und CI/CD enthalten weder Fach- noch Personendaten (der Demo-Datensatz ist synthetisch) und dürfen gemäss FAQ 39–41 ausserhalb liegen, wenn das Konzept dies ausweist [OFFEN: Standort des Repositories für die Betriebsphase festlegen – GitHub Enterprise (EU) oder Schweizer Git-Hosting]; Werkzeuge ausserhalb der Schweiz nur ohne Fach- und Personendaten und gemäss diesem Konzept.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(Train-the-Trainer auf Deutsch, FAQ 37): zehn initiale Schulungen und zwei wiederkehrende über die Laufzeit, z. B. bei Wechsel der Applikationsverantwortung (FAQ 36/38); Annahme für grössere Funktionserweiterungen: eine zusätzliche Trainerschulung je Erweiterungsrelease [OFFEN: Annahme mit dem Preisblatt LP3 abgleichen].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Testfall-Skelett mit Prüfschritten hinterlegt (End-to-End-Fall je </w:t>
      </w:r>
      <w:r>
        <w:rPr>
          <w:rFonts w:ascii="Consolas" w:cs="Consolas" w:eastAsia="Consolas" w:hAnsi="Consolas"/>
          <w:sz w:val="20"/>
          <w:szCs w:val="20"/>
          <w:shd w:fill="F2F2F2" w:val="clear"/>
        </w:rPr>
        <w:t xml:space="preserve">slm</w:t>
      </w:r>
      <w:r>
        <w:t xml:space="preserve">-Nummer, automatisiert mit der jeweiligen Maske; die Kontrollwerte der Berechnung sind bereits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21.09.2026 sind Anmeldung (2FA vorhanden, in der Demo nicht aktiviert), Rollen und Objektregeln, Übersicht Schiessplätze mit berechneten Ampeln, die Masken 5.11 Schusszahlen, 5.12 Details und 5.13 Simulation, die Datenverwaltung 5.14–5.16, 5.18–5.21 (inkl. Import mit Prüfbericht und Zeiger aktuell/MGDM) und 5.22–5.25, das Datenmodell nach B1 Kapitel 10, der Berechnungslauf, Benutzerverwaltung und Logbuch umgesetzt; der Berechnungskern reproduziert die Kontrollwerte der Beilage B1.4 und die Rechenfälle durch die Kette (Kapitel 4.3); die automatisierten Tests (Kapitel 6.1)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Rückfall: Export über PostGIS-Views + GeoPackage, FGDB-Konvertierung durch FME der Auftraggeberin</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Fachliche Regeln (Lesart E8, Anlagenabgrenzung 7.3, Ersatzregel der Verteilung)</w:t>
            </w:r>
          </w:p>
        </w:tc>
        <w:tc>
          <w:tcPr>
            <w:tcMar>
              <w:top w:type="dxa" w:w="60"/>
              <w:left w:type="dxa" w:w="90"/>
              <w:bottom w:type="dxa" w:w="60"/>
              <w:right w:type="dxa" w:w="90"/>
            </w:tcMar>
          </w:tcPr>
          <w:p>
            <w:pPr>
              <w:spacing w:after="0"/>
            </w:pPr>
            <w:r>
              <w:rPr>
                <w:sz w:val="19"/>
                <w:szCs w:val="19"/>
              </w:rPr>
              <w:t xml:space="preserve">Bestätigung durch die Fachstelle im Refinement; beide E8-Lesarten als Parameter mit Test hinterlegt, Ersatzregel nur mit dokumentierter Freigabe</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der Rolle Interessent (Lesen und Simulation gemäss Matrix 8.1.2) und einem Konto je Rolle für den Vergleich der Berechtigungen; Zugangsdaten in der Begleitnotiz zum Angebot. Die Demo veranschaulicht den aktuellen Entwicklungsstand (Demostand «SLIM Demo», Datensatz Version 6, Software-Stand 21.09.2026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(FAQ 8: Beilage ausserhalb des Seitenbudgets). Status: </w:t>
      </w:r>
      <w:r>
        <w:rPr>
          <w:b/>
          <w:bCs/>
        </w:rPr>
        <w:t xml:space="preserve">P</w:t>
      </w:r>
      <w:r>
        <w:t xml:space="preserve"> = erfüllt, im Prototyp nachgewiesen (Klammer: noch Zielzustand) · </w:t>
      </w:r>
      <w:r>
        <w:rPr>
          <w:b/>
          <w:bCs/>
        </w:rPr>
        <w:t xml:space="preserve">Z</w:t>
      </w:r>
      <w:r>
        <w:t xml:space="preserve"> = erfüllt, Umsetzung verbindlich beschrieben · </w:t>
      </w:r>
      <w:r>
        <w:rPr>
          <w:b/>
          <w:bCs/>
        </w:rPr>
        <w:t xml:space="preserve">O</w:t>
      </w:r>
      <w:r>
        <w:t xml:space="preserve"> = Option (KANN, angeboten, 5.4) · </w:t>
      </w:r>
      <w:r>
        <w:rPr>
          <w:b/>
          <w:bCs/>
        </w:rPr>
        <w:t xml:space="preserve">K</w:t>
      </w:r>
      <w:r>
        <w:t xml:space="preserve"> = Klärung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5.3, 6.1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PDF-Export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Z (schematische Karte P; Gebäude/Isophonen LP5, FAQ 13)</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Z (Suche, Sortierung, Filter, Selektion, XLSX P)</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Stand SPM/MPV/Projekt,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Z (Ampeln, Kontext P)</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(Spaltenfilter, Export Z)</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P (Kartenviewer Z)</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(Zuordnung LP1a/LP1b K)</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(Anzeige; Bearbeiten Z)</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Z (Datenmodell P)</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P (FGDB direkt über GDAL Z)</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alle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P (Bündel, CSV; GeoDB Z)</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 je Stellungsraum)</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(Platz-Zuordnung, Schaltflächen nach Recht Z)</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 (Sperrdatum, Handbuch, Ampel-Schwellen)</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(Modell P)</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 mit Validierung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P)</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 (Gewichte aus den Quelldaten des Zustands)</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(2FA in Demo inaktiv; TOTP Z; AGOV Option)</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(Logbuch-Export P)</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 (ZustandsID)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 (Berechnungslauf 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Ausblenden nicht autorisierter Funktionen</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P (Lesezeichen P; Schaltflächen nach Recht Z)</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 (übrige Spalten Z)</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Z (Grundlagen P)</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Z (Kernmessung P)</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Z (Architektur, Rollen, i18n P; Fachparameter Z)</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 (Break-Glass-Prozess Z)</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9f10ef199bf1cb5916c398a1f6b9d9167305d7.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2026-09-21T13:15:56.358Z</dcterms:created>
  <dcterms:modified xsi:type="dcterms:W3CDTF">2026-09-21T13:15:56.358Z</dcterms:modified>
</cp:coreProperties>
</file>

<file path=docProps/custom.xml><?xml version="1.0" encoding="utf-8"?>
<Properties xmlns="http://schemas.openxmlformats.org/officeDocument/2006/custom-properties" xmlns:vt="http://schemas.openxmlformats.org/officeDocument/2006/docPropsVTypes"/>
</file>