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11.9.2026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Deutsch, Französisch und Italienisch (Englisch zusätzlich).</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vorbestehenden, in einem produktiven Bundessystem erprobten Komponenten; SLIM läuft als eigene Instanz mit eigener Datenbank, eigenen Geheimnissen und eigenen Fachberechtigungen.</w:t>
      </w:r>
    </w:p>
    <w:p>
      <w:pPr>
        <w:spacing w:after="120"/>
      </w:pPr>
      <w:r>
        <w:t xml:space="preserve">Wesentliche Vorteile: Der Berechnungskern ist gegen die Empa-Referenzdaten der Beilage B1.4 geprüft; Ergebnisse und ein dokumentierter Sonderfall stehen in Kapitel 4.3. Die zentralen Masken (Schusszahlen, Details, Simulation) laufen als Prototyp, abgesichert durch 275 automatisierte Tests (Stand 11.09.2026, Testbericht im Repository);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6124575"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924425"/>
                    </a:xfrm>
                    <a:prstGeom prst="rect">
                      <a:avLst/>
                    </a:prstGeom>
                  </pic:spPr>
                </pic:pic>
              </a:graphicData>
            </a:graphic>
          </wp:inline>
        </w:drawing>
      </w:r>
    </w:p>
    <w:p>
      <w:pPr>
        <w:spacing w:after="120"/>
      </w:pPr>
      <w:r>
        <w:t xml:space="preserve">Die Skizze zeigt die Zielarchitektur; gestrichelte Elemente fehlen im Prototyp noch (Kartenviewer, Import/Export, Worker-Container, Views), die Datenbank läuft im Prototyp auf SQLite/MariaDB statt PostgreSQL/PostGIS.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w:t>
      </w:r>
      <w:r>
        <w:rPr>
          <w:rFonts w:ascii="Consolas" w:cs="Consolas" w:eastAsia="Consolas" w:hAnsi="Consolas"/>
          <w:sz w:val="20"/>
          <w:szCs w:val="20"/>
          <w:shd w:fill="F2F2F2" w:val="clear"/>
        </w:rPr>
        <w:t xml:space="preserve">area</w:t>
      </w:r>
      <w:r>
        <w:t xml:space="preserve">, </w:t>
      </w:r>
      <w:r>
        <w:rPr>
          <w:rFonts w:ascii="Consolas" w:cs="Consolas" w:eastAsia="Consolas" w:hAnsi="Consolas"/>
          <w:sz w:val="20"/>
          <w:szCs w:val="20"/>
          <w:shd w:fill="F2F2F2" w:val="clear"/>
        </w:rPr>
        <w:t xml:space="preserve">usage</w:t>
      </w:r>
      <w:r>
        <w:t xml:space="preserve">, </w:t>
      </w:r>
      <w:r>
        <w:rPr>
          <w:rFonts w:ascii="Consolas" w:cs="Consolas" w:eastAsia="Consolas" w:hAnsi="Consolas"/>
          <w:sz w:val="20"/>
          <w:szCs w:val="20"/>
          <w:shd w:fill="F2F2F2" w:val="clear"/>
        </w:rPr>
        <w:t xml:space="preserve">calculation</w:t>
      </w:r>
      <w:r>
        <w:t xml:space="preserve">, </w:t>
      </w:r>
      <w:r>
        <w:rPr>
          <w:rFonts w:ascii="Consolas" w:cs="Consolas" w:eastAsia="Consolas" w:hAnsi="Consolas"/>
          <w:sz w:val="20"/>
          <w:szCs w:val="20"/>
          <w:shd w:fill="F2F2F2" w:val="clear"/>
        </w:rPr>
        <w:t xml:space="preserve">import/export</w:t>
      </w:r>
      <w:r>
        <w:t xml:space="preserve">).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(vorbestehende Komponenten, produktiv erprobt)</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(Nachweis je Komponente: produktiv erprobt / in SLIM integriert / in SLIM getestet); SLIM ergänzt die Fachrollen und betreibt eine eigene Instanz</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räumliche Indizes, lesende Views für MGDM/ImmoGIS, FGDB-Austausch über GDAL. PostGIS (GPL) wird ausschliesslich als unveränderter Datenbankdienst genutzt – keine Verlinkung mit SLIM-Code, keine Copyleft-Wirkung. Der Prototyp läuft über TypeORM heute auf SQLite/MariaDB; PostGIS-Container, Konfiguration und treiberneutrale Abfragen sind vorbereitet, der Boot gegen PostgreSQL 17 wartet auf die Typzuordnung der vorbestehenden Bibliotheken (MySQL-Typen → PostgreSQL), die vor Abgabe nachgezogen wird</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(OpenFileGDB-Treiber mit Schreibunterstützung inkl. Domänen und Beziehungsklassen), ExcelJS</w:t>
            </w:r>
          </w:p>
        </w:tc>
        <w:tc>
          <w:tcPr>
            <w:tcMar>
              <w:top w:type="dxa" w:w="60"/>
              <w:left w:type="dxa" w:w="90"/>
              <w:bottom w:type="dxa" w:w="60"/>
              <w:right w:type="dxa" w:w="90"/>
            </w:tcMar>
          </w:tcPr>
          <w:p>
            <w:pPr>
              <w:spacing w:after="0"/>
            </w:pPr>
            <w:r>
              <w:rPr>
                <w:sz w:val="19"/>
                <w:szCs w:val="19"/>
              </w:rPr>
              <w:t xml:space="preserve">Lesen und Schreiben von File-Geodatabases nach dem Schema B1.2 sowie Excel mit Standardbibliotheken; Lese-/Schreibprobe mit dem B1.2-Schema vor Abgabe</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unter permissiven Lizenzen (Angular, NestJS, TypeORM – MIT; OpenLayers – BSD; GDAL – MIT; PostgreSQL/PostGIS – PostgreSQL-/GPL-Lizenz nur serverseitig genutzt; ExcelJS – MIT), ohne Copyleft-Wirkung auf SLIM;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vorbestehende Software im Sinne von Art. 6.2.4 der Vertragsbedingungen, ursprünglich entwickelt von Weslley De Souza (Tech Lead des Angebots) – die Rechtekette (eigene Entwicklung, allfällige Beiträge Dritter, Abtretung an die einreichende Firma) wird im Angebot dokumentiert: Sie wird in der SBOM deklariert, die Auftraggeberin erhält daran ein zeitlich unbefristetes, übertragbares Nutzungsrecht für Betrieb, Wartung und Weiterentwicklung sowie den Quellcode als Teil der Lieferung (Art. 6.1.7); eine Freigabe unter einer Open-Source-Lizenz (MIT/Apache) wird geprüft [OFFEN: Abtretung an die einreichende Firma, Lizenztext und OSS-Entscheid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Hierarchie nach B1 5.18 und Kapitel 10: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genau ein Zustand je Schiessplatz ist «aktuell gültig» und genau einer «Stand MGDM» (Datenbank-Constraint); die Zustände tragen Quellen, Empfangspunkte und WLR-Werte je Empfangspunkt × Quelle. Davon getrennt sind die veränderlichen Auswahlzeiger (gültig/MGDM) und die unveränderlichen Berechnungsstände (Ergebnisläufe).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wie 1104.020, ZustandsID, QuellenID, sonARMS_ID) bleiben als eigene Attribute erhalten; interne Schlüssel sind UUIDs. Physische Datenbankobjekte werden deutsch benannt (B1 12.2, slm 51: </w:t>
      </w:r>
      <w:r>
        <w:rPr>
          <w:rFonts w:ascii="Consolas" w:cs="Consolas" w:eastAsia="Consolas" w:hAnsi="Consolas"/>
          <w:sz w:val="20"/>
          <w:szCs w:val="20"/>
          <w:shd w:fill="F2F2F2" w:val="clear"/>
        </w:rPr>
        <w:t xml:space="preserve">schiessplatz</w:t>
      </w:r>
      <w:r>
        <w:t xml:space="preserve">, </w:t>
      </w:r>
      <w:r>
        <w:rPr>
          <w:rFonts w:ascii="Consolas" w:cs="Consolas" w:eastAsia="Consolas" w:hAnsi="Consolas"/>
          <w:sz w:val="20"/>
          <w:szCs w:val="20"/>
          <w:shd w:fill="F2F2F2" w:val="clear"/>
        </w:rPr>
        <w:t xml:space="preserve">stellungsraum</w:t>
      </w:r>
      <w:r>
        <w:t xml:space="preserve">, </w:t>
      </w:r>
      <w:r>
        <w:rPr>
          <w:rFonts w:ascii="Consolas" w:cs="Consolas" w:eastAsia="Consolas" w:hAnsi="Consolas"/>
          <w:sz w:val="20"/>
          <w:szCs w:val="20"/>
          <w:shd w:fill="F2F2F2" w:val="clear"/>
        </w:rPr>
        <w:t xml:space="preserve">nutzung</w:t>
      </w:r>
      <w:r>
        <w:t xml:space="preserve">, …) – die englischen Klassennamen des Codes und der Skizze sind logische Namen, die Abbildung erfolgt in der Entity-Definition und wird per Migration getestet.</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Stellungsräume lassen sich zu Anlagen gruppieren; die Beurteilung erfolgt wahlweise je Anlage oder platzweit (B1 7.3, Abgrenzung im Refinement zu entscheiden). Jede Tabelle trägt </w:t>
      </w:r>
      <w:r>
        <w:rPr>
          <w:rFonts w:ascii="Consolas" w:cs="Consolas" w:eastAsia="Consolas" w:hAnsi="Consolas"/>
          <w:sz w:val="20"/>
          <w:szCs w:val="20"/>
          <w:shd w:fill="F2F2F2" w:val="clear"/>
        </w:rPr>
        <w:t xml:space="preserve">tenantId</w:t>
      </w:r>
      <w:r>
        <w:t xml:space="preserve"> – der Mandant trennt Umgebungen innerhalb von SLIM (Demo, Akzeptanz, Produktion); SLIM hat eine eigene Instanz und Datenbank ohne gemeinsame Laufzeit mit ELO –, Zeitstempel und Löschmarke; das Schema wird per Migration versioniert und als ERD automatisch dokumentiert. </w:t>
      </w:r>
      <w:r>
        <w:rPr>
          <w:i/>
          <w:iCs/>
        </w:rPr>
        <w:t xml:space="preserve">Prototyp:</w:t>
      </w:r>
      <w:r>
        <w:t xml:space="preserve"> Kernmodell (Schiessplatz, Immissionsberechnung → Zustand, Stellungsraum, Kombination, Empfangspunkt, WLR, Nutzung mit Dezimalmenge und Einheit) umgesetzt, physische Tabellen deutsch benannt (Spalten noch englisch), genau eine Quelle je Kombination, Live-Berechnung; Quellengewichte, deutsche Spaltennamen und Berechnungsstand sind Zielzustand. Der Demo-Datensatz «SLIM Demo» mit neun Schiessplätzen wird aus diesem Modell erzeugt.</w:t>
      </w:r>
    </w:p>
    <w:p>
      <w:pPr>
        <w:spacing w:after="160" w:before="120"/>
        <w:jc w:val="center"/>
      </w:pPr>
      <w:r>
        <w:drawing>
          <wp:inline distT="0" distB="0" distL="0" distR="0">
            <wp:extent cx="47815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26193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Passwortregeln, Sperre nach Fehlversuchen, Zwei-Faktor-Anmeldung – im Zielzustand mit TOTP-App (RFC 6238; Enrollment per QR-Code bei der ersten Anmeldung, Seeds verschlüsselt gespeichert, Wiederherstellung über einmalige Backup-Codes oder Rücksetzung durch den Applikationsadministrator im Vier-Augen-Prinzip, kein E-Mail-Umweg um den zweiten Faktor); der E-Mail-Code des Prototyps wird damit abgelöst –, damit ist «MFA oder AGOV» erfüllt. Entscheid der Anbieterin gemäss FAQ 27: MFA in SLIM, weil alle Nutzer über die VBS-Benutzerverwaltung geführt werden und keine Anschlussvereinbarung mit der Bundeskanzlei nötig ist; AGOV (OIDC) ist als vorbereitete Option für externe Nutzer beschrieben und kann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2FA per E-Mail-Code, Logbuch inkl. aller Auth-Ereignisse umgesetzt und getestet; TOTP und CASL-Ableitung folgen.</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(Zugang nur mit MFA und aus zugelassenen Netzen, Si001 Fernzugriff).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Release im Wartungsfenster mit Schreibpause, PostgreSQL-Sicherung mit archivierten WAL-Segmenten (Point-in-Time-Recovery), Rückfall = Wiederherstellung auf den Zeitpunkt vor dem Release; die Rückfallgrenze (bis wann ein Rückfall ohne Datenverlust möglich ist) wird je Release festgelegt und kommuniziert. Der Rückfall wird auf dem Akzeptanzsystem geprobt. Sicherung (B1 12.8, FAQ 14): automatisch täglich und manuell vor Releases/Importen, Mehrgenerationen über zwölf Monate, RPO ein Tag, RTO zwei Tage, Integritätsprüfung jeder Sicherung (Prüfsumme und Probe-Restore), Alarm bei fehlender oder fehlerhafter Sicherung (slm 57), jährlicher Restore-Test, Kopie am Betriebsstandort und in einem zweiten Schweizer Standort, lesbarer Datendump (SQL/CSV) auf Verlangen. Monitoring: Health-Endpunkte, Metriken (Antwortzeiten, Fehlerraten, Jobs) und Alarmierung für den SLA-Nachweis (99 % Mo–Fr 07–19 Uhr). </w:t>
      </w:r>
      <w:r>
        <w:rPr>
          <w:i/>
          <w:iCs/>
        </w:rPr>
        <w:t xml:space="preserve">Prototyp:</w:t>
      </w:r>
      <w:r>
        <w:t xml:space="preserve"> Docker-Image (Node 24, pm2), Compose mit MariaDB, Health-Endpunkte,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 OAuth2 Client Credentials oder mTLS, Entscheid mit der Auftraggeberin, mit Schlüsselrotation und IP-Allowlist –,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Herkunft «ELO» mit Kennzeichen in der Maske und die Validierungsregeln des Nutzungs-Service sind umgesetzt;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der Migration (B1 9.2, FAQ 28): Die Auftraggeberin bereitet die Daten in rund drei Monaten per ETL auf und verantwortet ihre Qualität; SLIM liefert das Zielformat und den Prüfbericht; Probemigration auf dem Akzeptanzsystem mit Mengenabgleich (Schiessplätze, Stellungsräume, Zuordnungen, Nutzungen je Jahr) und fachlicher Stichprobe, Freigabe durch die Auftraggeberin, dann Produktivmigration im Wartungsfenster mit Sicherung davor (Testdaten gemäss Mitwirkungspflichten A1.1, Ziffer 6).</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FGDB aus sonARMS (Anlagenteile, Empfangspunkte, WLR-DAY/WLR-NIGHT, Betriebsdaten A9/A7) wird mit GDAL/OGR gelesen, in Staging geladen und geprüft: Quellen-IDs müssen auf bekannte Stellungsräume/Waffen abbilden, Empfangspunkte brauchen ES und EGID und werden über die sonARMS_ID (B1.2 V5) abgeglichen,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Zielstrukturen (Zustand, Empfangspunkte, WLR je Empfangspunkt × Quelle) und die Formate aus B1.4 werden bereits vom Demo-Datensatz-Generator bedient; der Importdialog (5.19) mit Prüfbericht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(kein Laden ganzer Dateien in den Speicher),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39); davon getrennt der vollständige Nutzungsexport mit allen Attributen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kein Zugriff auf Auth- und Mandantentabellen, protokolliert); der Zugriffsweg ist ein dedizierter, TLS-verschlüsselter Datenbankendpunkt im Netzsegment der Auftraggeberin oder über VPN, mit IP-Allowlist – die Datenbank ist nie öffentlich erreichbar; Details werden mit Provider und Auftraggeberin festgelegt; bundesinterne Empfänger gemäss FAQ 15. </w:t>
      </w:r>
      <w:r>
        <w:rPr>
          <w:i/>
          <w:iCs/>
        </w:rPr>
        <w:t xml:space="preserve">Prototyp:</w:t>
      </w:r>
      <w:r>
        <w:t xml:space="preserve"> Excel-Export des Logbuchs, Exportknöpfe der Fachmasken vorbereitet.</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den Pegeln je Empfangspunkt × Quelle – für Anhang 9 der LAE aus WLR_Day (Tag) und WLR_Eve (Abend), für Anhang 7 der LAFmax aus WLR_Day (B1 7.6.1/7.6.2; die Zuordnung der Dateien erfolgt über ihr Format, nicht über den Dateinamen)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61245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8192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ein Halbtag zählt 1 bei mehr als zwei Stunden Schiesszeit, sonst ½, LSV Anhang 7 Ziffer 32). Betrachtungszeitraum: Der Benutzer wählt je Berechnung die repräsentativen Jahre – Standard drei, auch nicht aufeinanderfolgende (z. B. 2020, 2023, 2025) – oder einen beliebigen Zeitraum (B1 7.4.5); die Betriebsdaten werden als Jahresmittel über diese Auswahl gebildet.</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 Bei nicht verteilbaren oder nicht zuordenbaren positiven Schusszahlen wird die betroffene Gesamtbeurteilung als unvollständig und nicht abschliessend beurteilbar gekennzeichnet (Status «nicht beurteilbar» ohne Ampelfarbe, mit Prüfhinweis auf die betroffenen Kombinationen und den Zustand). Teilberechnungen können ergänzend angezeigt werden, werden jedoch nicht als gültige Gesamtbeurteilung ausgewiesen. Eine Gleichverteilung ist ausschliesslich nach dokumentierter Freigabe durch KOMZ Lärm zulässig (Parameter nur zusammen mit Referenz und Datum des Fachentscheids setzbar, Referenz wird im Berechnungsstand mitgeführt, Ergebnis trägt das Kennzeichen «Ersatzregel angewendet»); die Import-Validierung meldet Kombinationen mit Quellen, aber ohne Betriebsdaten bereits beim FGDB-Import. </w:t>
      </w:r>
      <w:r>
        <w:rPr>
          <w:i/>
          <w:iCs/>
        </w:rPr>
        <w:t xml:space="preserve">Prototyp:</w:t>
      </w:r>
      <w:r>
        <w:t xml:space="preserve"> Verteilungsschritt, Verweigern als Standard, Status «nicht beurteilbar» bis in Detailmaske, Zähler und Export umgesetzt und getestet.</w:t>
      </w:r>
    </w:p>
    <w:p>
      <w:pPr>
        <w:pStyle w:val="ListParagraph"/>
        <w:numPr>
          <w:ilvl w:val="0"/>
          <w:numId w:val="3"/>
        </w:numPr>
        <w:spacing w:after="40"/>
      </w:pPr>
      <w:r>
        <w:t xml:space="preserve">Beurteilungspegel je Empfangspunkt (LSV): Anhang 9 mit LAE1 = energetisches Mittel der Tag-Quellen + 10·log(Schuss Tag), LAE2 analog für den Abend, Lr = 10·log(10^(0.1·LAE1) + 10^(0.1·(LAE2 + K2))) − 10·log(T) mit K1 = 5, K2 = 15, T = Bezugszeit; Anhang 7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w:t>
      </w:r>
      <w:r>
        <w:rPr>
          <w:i/>
          <w:iCs/>
        </w:rPr>
        <w:t xml:space="preserve">Prototyp:</w:t>
      </w:r>
      <w:r>
        <w:t xml:space="preserve"> Rundung auf ganze dB und PW-Teilbetrachtung umgesetzt und getestet):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die Zuordnung Quelle → Stellungsraum liegt im eingefrorenen Zustand. Der Vergleich erfolgt mit dem auf ganze dB gerundeten Beurteilungspegel (Projekthandbuch B1.2 Kapitel 10.4: 60.4 → 60 eingehalten, 60.5 → 61 überschritten), die Anzeige mit einer Dezimale; der Rundungsmodus ist Konfiguration. Ampel rot &gt; Grenzwert, orange &gt; Grenzwert − 5 dB, sonst grün. Kontingent (B1 5.10): Soll aus der Plangenehmigung je Waffe/Kaliber gegen Ist des laufenden Jahres und gegen den Durchschnitt der drei letzten Jahre (gewähltes Jahr + zwei Vorjahre); eine Waffe ohne Kontingent hat Soll 0 und ist bei Nutzung rot; Ampel-Schwellen 100 %/125 %. Grenzwerttabellen, Rundung und Schwellen liegen in der erweiterten Konfiguration.</w:t>
      </w:r>
    </w:p>
    <w:p>
      <w:pPr>
        <w:spacing w:after="80"/>
      </w:pPr>
    </w:p>
    <w:p>
      <w:pPr>
        <w:pStyle w:val="Heading3"/>
      </w:pPr>
      <w:r>
        <w:t xml:space="preserve">4.3 Nachweis der Korrektheit</w:t>
      </w:r>
    </w:p>
    <w:p>
      <w:pPr>
        <w:spacing w:after="120"/>
      </w:pPr>
      <w:r>
        <w:t xml:space="preserve">Der Berechnungskern wird gegen die Empa-Demorechnung B1.4 getestet (95 der 180 API-Tests, Stand 11.09.2026). Referenzwerte je Anhang und Ergebnisgrösse (Sollwerte aus B1.4, Toleranz: gerundet auf 0.1 dB identisch, ungerundet &lt; 10⁻⁶ dB gegen die gespeicherten Excel-Werte):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 Kern)</w:t>
            </w:r>
          </w:p>
        </w:tc>
        <w:tc>
          <w:tcPr>
            <w:shd w:fill="E7E6E6" w:val="clear"/>
            <w:tcMar>
              <w:top w:type="dxa" w:w="60"/>
              <w:left w:type="dxa" w:w="90"/>
              <w:bottom w:type="dxa" w:w="60"/>
              <w:right w:type="dxa" w:w="90"/>
            </w:tcMar>
          </w:tcPr>
          <w:p>
            <w:pPr>
              <w:spacing w:after="0"/>
            </w:pPr>
            <w:r>
              <w:rPr>
                <w:b/>
                <w:bCs/>
                <w:sz w:val="19"/>
                <w:szCs w:val="19"/>
              </w:rPr>
              <w:t xml:space="preserve">Anhang 7 Lr (Soll / Kern)</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(ungerundet 60.7332)</w:t>
            </w:r>
          </w:p>
        </w:tc>
        <w:tc>
          <w:tcPr>
            <w:tcMar>
              <w:top w:type="dxa" w:w="60"/>
              <w:left w:type="dxa" w:w="90"/>
              <w:bottom w:type="dxa" w:w="60"/>
              <w:right w:type="dxa" w:w="90"/>
            </w:tcMar>
          </w:tcPr>
          <w:p>
            <w:pPr>
              <w:spacing w:after="0"/>
            </w:pPr>
            <w:r>
              <w:rPr>
                <w:sz w:val="19"/>
                <w:szCs w:val="19"/>
              </w:rPr>
              <w:t xml:space="preserve">73.8 / 73.8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28.08 / 28.05 (Sonderfall, unten)</w:t>
            </w:r>
          </w:p>
        </w:tc>
      </w:tr>
    </w:tbl>
    <w:p>
      <w:pPr>
        <w:spacing w:after="120"/>
      </w:pPr>
    </w:p>
    <w:p>
      <w:pPr>
        <w:spacing w:after="120"/>
      </w:pPr>
      <w:r>
        <w:rPr>
          <w:b/>
          <w:bCs/>
        </w:rPr>
        <w:t xml:space="preserve">Anhang 9:</w:t>
      </w:r>
      <w:r>
        <w:t xml:space="preserve"> LAE1, LAE2 und Lr stimmen für alle zwölf Empfangspunkte überein. </w:t>
      </w:r>
      <w:r>
        <w:rPr>
          <w:b/>
          <w:bCs/>
        </w:rPr>
        <w:t xml:space="preserve">Anhang 7:</w:t>
      </w:r>
      <w:r>
        <w:t xml:space="preserve"> Li, Lri und Lr stimmen für elf Empfangspunkte überein; bei E8 liefert der Kern ungerundet 28.046 dB, die Excel-Vorlage 28.080 dB (Differenz 0.034 dB; angezeigt 28.0 gegenüber 28.1). Ursache, numerisch nachvollzogen: Die Excel-Vorlage schreibt für die fünf Waffenkategorien ohne Schüsse (b–f) 0 dB in die Lri-Zellen und summiert diese energetisch mit; 28.046 dB entsprechen 637.7 Energieeinheiten, plus fünfmal 10^0 = 642.7 Einheiten = 28.080 dB – exakt der Excel-Wert. Der Kern lässt Kategorien ohne Schüsse aus der energetischen Summe weg (Marker «keine Energie»); bei lauten Empfangspunkten ist der Effekt unsichtbar. Verbindlich ist die von der Fachstelle im Refinement bestätigte Lesart – bis dahin gilt die Excel-Vorlage als Referenz, und der Kern hält beide Varianten als getesteten Parameter bereit, damit die Entscheidung ohne Codeänderung umgesetzt wird. Die Abnahmetoleranz (absolute Abweichung je Wert) wird mit der Fachstelle festgelegt und in den Tests hinterlegt. Weitere Tests decken Werktag-/Feiertagsregeln, Halbtagzählung (auch mehrere Nutzungen im selben Halbtag), gemischte Baujahre (PW nur aus den Stellungsräumen nach 1985), fehlende Quellen, Kategorien ohne Anhang-7-Zuordnung, Schusszahl null, metamorphe Prüfungen je Anhang (Anhang 9: zehnfache Schusszahl = +10 dB bei LAE1, LAE2 und Lr, Abendzuschlag +5 dB; Anhang 7: zehnfache Schusszahl bei gleichen Halbtagen = +3 dB über 3·log M) und die Ampelschwellen inklusive der Rundungsgrenze 60.4/60.5 ab. Jeder weitere Referenzfall der Auftraggeberin wird als Test aufgenommen; die Fachverantwortlichen bestätigen die Resultate vor der Abnahme. </w:t>
      </w:r>
      <w:r>
        <w:rPr>
          <w:i/>
          <w:iCs/>
        </w:rPr>
        <w:t xml:space="preserve">Prototyp:</w:t>
      </w:r>
      <w:r>
        <w:t xml:space="preserve"> Kontrollwerte wie beschrieben belegt; die Kategorienregel (Anhang 9 alle, Anhang 7 Zivil + SAT) und halbe Feiertage sind im Kern umgesetzt und getestet, der Demo-Datensatz enthält Blaulicht- und SAT-Nutzungen.</w:t>
      </w:r>
    </w:p>
    <w:p>
      <w:pPr>
        <w:pStyle w:val="Heading3"/>
      </w:pPr>
      <w:r>
        <w:t xml:space="preserve">4.4 Performance, Skalierung und grosse Datenmengen</w:t>
      </w:r>
    </w:p>
    <w:p>
      <w:pPr>
        <w:spacing w:after="120"/>
      </w:pPr>
      <w:r>
        <w:t xml:space="preserve">Auslegung (FAQ 18/28): rund 270 Schiessplätze (120 aktive, 150 historische), bis 10'000 Stellungsräume, 50'000 Zuordnungen Waffe/Kaliber, zehn gleichzeitige Nutzer; Antwortzeiten nach B1 12.5: Suche Ø 2 s / max. 5 s, Filter 0.5 / 1 s, Registerwechsel 0.5 / 1 s, Anzeige Details Ø 2 s / max. 5 s, Berechnung Ø 5 s / max. 10 s; Vorgänge über 10 s zeigen Fortschritt und lassen sich abbrechen. Messung des Berechnungskerns mit einem synthetischen Zielmengengerüst (50 Quellen, 300 Empfangspunkte, drei Jahre mit 18'000 Nutzungen, Stand 11.09.2026): Betriebsdaten 79 ms, Pegel Anhang 9 und 7 für alle Empfangspunkte 13 ms, zusammen unter 0.1 s; dazu kommt das indizierte Lesen der Nutzungen je Schiessplatz und Zeitraum in einer Abfrage. Die Beurteilung eines Schiessplatzes bleibt damit weit unter dem Zielwert; der Nachweis unter Last folgt im Lasttest. </w:t>
      </w:r>
      <w:r>
        <w:rPr>
          <w:b/>
          <w:bCs/>
        </w:rPr>
        <w:t xml:space="preserve">Ressourcenisolation:</w:t>
      </w:r>
      <w:r>
        <w:t xml:space="preserve"> Im Zielzustand rechnet nicht der API-Prozess, sondern ein getrennter Worker-Container (Isolation gegenüber der API), darin Worker-Threads für Parallelität,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Kontext und die drei Fachmasken 5.11–5.13 umgesetzt (Bilder); Datenverwaltungsmasken 5.15–5.28 folgen nach demselben Muster mit ihrer jeweiligen Fachlogik: Schiessplatz allgemein und Stammdaten (5.15/5.16: Koordinationsabschnitt-Nr., Sachplan-Nr., Aktiv = Freigabe für die Erfassung, Flag «Gesamtbeurteilung Anhang 7», Stand SPM/MPV/Projekt, Kontingente je Waffe/Kaliber, Stellungsräume mit Koordinationsnummer und Aktivstatus), Zuordnung Waffen (5.17: Stellungsraum ↔ zulässige Kombinationen, primär per Import), Berechnungen (5.18–5.21: Immissionsberechnungen und Zustände mit genau einem gültigen und einem MGDM-Stand, Import mit Prüfbericht, Export, Ansicht der WLR- und Betriebsdaten je Stellungsraum), Waffen (5.22–5.25: Waffe/Kaliber mit Bezeichnung DE/FR/IT und sonARMS-Zuordnung, Kaliber mit ALN- und SAP-Nr., Waffe mit Kategorie und Anhang-7-Kategorie a–f, Waffenkategorie, jeweils Aktivstatus), Auswahllisten (slm 1: Werte durch den Applikationsadministrator anlegen, ändern, inaktivieren – nie löschen, solange referenziert) und erweiterte Konfiguration (5.28: globales Sperrdatum der Erfassung, Handbuch-Upload, Ampel-Schwellen und -Farben, Grenzwerte, Feiertage).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Bezug der Kartendienste gemäss den OGD-Nutzungsbedingungen von swisstopo, für den produktiven Betrieb bei Bedarf über eine Vereinbarung der Auftraggeberin (Forum 120); WMS wird live bezogen (B1 5.4.2, keine Zwischenspeicherung in SLIM), WMTS-Kacheln sind bei swisstopo vorgerendert, zusätzliche WMS-/WFS-Dienste sind konfigurierbar (URL, Layer, Stil, Sichtbarkeit). Kartenexport (slm 2) über einen serverseitigen Druckdienst: die gleiche Kartenkomponente wird in Chromium mit fester Druckauflösung und aus dem Massstab berechnetem Kartenausschnitt gerendert (massstabstreu) und mit Titel, Copyright, Datum, Massstab, Legende und Metadaten als PDF/PNG ausgegeben. Fällt der Kartendienst aus, zeigt SLIM Empfangspunkte als Liste und schematisch. Gebäude, Isophonen und Untersuchungsperimeter gemäss FAQ 13 als Erweiterung LP5 [OFFEN: Aufwandsschätzung LP5 gemäss FAQ 13 ergänzen].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Darstellungsregeln nach B1 12.3: Zahlen rechtsbündig mit Einheit hinter dem Wert und vom Fachbereich definierten Nachkommastellen, Pflichtfelder gekennzeichnet, schreibgeschützte Felder sichtbar abgesetzt, Duplikatkontrolle bei Eingaben (Stellungsraum, Waffe/Kaliber, Nutzung am selben Tag), Dateiablage per Drag-and-Drop statt Upload-Formular, konfigurierbare Schnellzugriffsleiste (Favoriten), Betrieb in mehreren Browser-Tabs (Vollansicht der Karte in neuem Tab, Sitzung geteilt), Optimierung für 1'600 × 1'200 bei Desktop. </w:t>
      </w:r>
      <w:r>
        <w:rPr>
          <w:i/>
          <w:iCs/>
        </w:rPr>
        <w:t xml:space="preserve">Prototyp:</w:t>
      </w:r>
      <w:r>
        <w:t xml:space="preserve"> Sortierung, Suche, Statusfilter, Mehrfachselektion, kompakte Ansicht mit Aktions-Icons; Spaltenauswahl und -filter folgen in der gemeinsamen Komponente.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(JSON je Fachbereich) und ein Übersetzungswerkzeug für externe Fachleute bereit, das Schlüssel, Ausgangstext und Kontext zeigt und fehlende oder veraltete Texte meldet; für IT beauftragt die Anbieterin eine Fachübersetzung mit Erfahrung in Bundesterminologie (im Angebot enthalten) [OFFEN: Büro vor Abgabe benennen]. Barrierefreiheit nach eCH-0059 / WCAG 2.1 AA: Tastaturbedienung, sichtbarer Fokus, beschriftete Steuerelemente, Ampeln zusätzlich mit Symbol und Text, Karteninhalte als Tabelle; automatisierte axe-Prüfung im Build; Prüfstandard gemäss FAQ 9 (Anlehnung an ar.admin.ch), Forum 128 offen.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Die Erfassungsmaske (slm 47/48, B1 11.2) zeigt Schiessplatz und Stellungsraum gesperrt vorbelegt, Tagesdatum editierbar, Beginn/Ende im Viertelstundenraster, Einheit mit Autovervollständigung, Nutzungskategorie mit ziviler Nutzungsart als bedingtem Pflichtfeld, Anzahl Personen, mehrere Zeilen Waffe/Kaliber mit Menge in Stück oder kg; Prüfung wie in 5.11, Erfolgs- und Fehleranzeige, Entwurf lokal in der PWA gehalten und bei Verbindungsabbruch beim nächsten Kontakt gesendet – mit Idempotenz-Schlüssel, damit Wiederholungen keine Doppelmeldung erzeugen; die Meldung selbst erfolgt mit angemeldetem Konto. </w:t>
      </w:r>
      <w:r>
        <w:rPr>
          <w:i/>
          <w:iCs/>
        </w:rPr>
        <w:t xml:space="preserve">Prototyp:</w:t>
      </w:r>
      <w:r>
        <w:t xml:space="preserve"> mobile Layouts, DE/FR/IT/EN, Themes und Fokusführung umgesetzt.</w:t>
      </w:r>
    </w:p>
    <w:p>
      <w:pPr>
        <w:spacing w:after="40" w:before="120"/>
        <w:jc w:val="center"/>
      </w:pPr>
      <w:r>
        <w:drawing>
          <wp:inline distT="0" distB="0" distL="0" distR="0">
            <wp:extent cx="122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28725" cy="2638425"/>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Import/Export, Benutzer/Rollen, Logbuch), generiertem API-Vertrag und automatisch dokumentiertem Datenmodell; Fachparameter (Rollen, Rechte, Grenzwerte, Ampelschwellen, Feiertage, Kartenlayer) sind Konfiguration; neue Masken entstehen aus Design System, Facade und generiertem Client. Qualitätssicherung: Lint, Unit- und Service-Tests (API 180, Frontend 63), End-to-End-Tests (32) und Kriterien-Tests je B1-Anforderung in jedem Build; reproduzierbares Setup per Wizard.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Trainer der Auftraggeberin (2–15 Personen, FAQ 20), 2nd/3rd Level durch die Anbieterin Mo–Fr 08–17 Uhr [OFFEN: Standort 3rd Level (E-Kriterium) benennen], Reaktion innerhalb vier Stunden, Behebungsbeginn innerhalb 24 Stunden, Behebung bei erheblichen Störungen in der Regel innerhalb 48 Stunden; Schweregrade (FAQ 4): kritisch = Produktion nicht nutzbar, hoch = Kernfunktion gestört ohne Umgehung, mittel = Umgehung vorhanden, niedrig = kosmetisch – mit abgestuften Reaktions- und Behebungszeiten; Meldeweg über Ticketsystem und Hotline, Stellvertretung im Support, Incident-/Problem-/Change-Prozess, Vor-Ort-Einsatz in Bern innerhalb eines Arbeitstags (Teil B 2.6.2/2.8); die Verfügbarkeit von 99 % wird monatlich gemessen und berichtet. Informationsschutz: Si001 wird in einer Kontrollübersicht auf die Massnahmen aus 2.4/2.5 abgebildet (Zugriffsrechte-Prozess, Anmeldemittel, Protokollierung, Break-Glass – Vorlagen aus einem bestehenden Bundesprojekt, für SLIM angepasst); Schweiz-Nachweis (E1/E5, FAQ 39–41/49): Das separate Datenhaltungskonzept inventarisiert alle Dienste mit Projekt- oder Fachdaten – Repository, CI/CD, Container-Registry, Logs und Monitoring, E-Mail-Versand, Fehlertracking, Druckdienst, Demo, allfällige KI-Werkzeuge – mit Standort und Datenkategorie; Fach- und Betriebsdaten bleiben in der Schweiz, Werkzeuge ausserhalb nur ohne Fach- und Personendaten und gemäss diesem Konzept.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(Umfang gemäss FAQ 36/38).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Nachbesserungen erfolgen in der vereinbarten Frist. Jede B1-Anforderung ist heute schon als Testfall mit Prüfschritten hinterlegt (automatisierte End-to-End-Fälle je </w:t>
      </w:r>
      <w:r>
        <w:rPr>
          <w:rFonts w:ascii="Consolas" w:cs="Consolas" w:eastAsia="Consolas" w:hAnsi="Consolas"/>
          <w:sz w:val="20"/>
          <w:szCs w:val="20"/>
          <w:shd w:fill="F2F2F2" w:val="clear"/>
        </w:rPr>
        <w:t xml:space="preserve">slm</w:t>
      </w:r>
      <w:r>
        <w:t xml:space="preserve">-Nummer, die Kontrollwerte der Berechnung als Tests erbracht); die Schlussabnahme stützt sich auf das vollständige, aus diesen Fällen erzeugte Abnahmetestprotokoll. Abweichungen von B1 laufen ausschliesslich über den Change-Request-Prozess der Beilage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(Kapitel 4.3),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11.09.2026 sind Anmeldung mit 2FA, Rollen und Objektregeln, Übersicht Schiessplätze mit Ampeln, die Masken 5.11 Schusszahlen, 5.12 Details und 5.13 Simulation, die Datenverwaltungs-Übersicht 5.14, Benutzerverwaltung und Logbuch umgesetzt; der Berechnungskern reproduziert die Kontrollwerte der Beilage B1.4 (Kapitel 4.3); 275 automatisierte Tests (API, Oberfläche, End-to-End) und ein reproduzierbarer Setup-Wizard laufen bei jedem Build. Nicht umgesetzte Masken sind in der Oberfläche als «In Vorbereitung» gekennzeichnet; der Umsetzungsstand je Anforderung steht in der Matrix (Kapitel 7, Status P). Die Risiken der verbleibenden Arbeit sind dadurch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B1.2 lässt sich mit GDAL nicht vollständig lesen/schreiben (Domänen, Beziehungen)</w:t>
            </w:r>
          </w:p>
        </w:tc>
        <w:tc>
          <w:tcPr>
            <w:tcMar>
              <w:top w:type="dxa" w:w="60"/>
              <w:left w:type="dxa" w:w="90"/>
              <w:bottom w:type="dxa" w:w="60"/>
              <w:right w:type="dxa" w:w="90"/>
            </w:tcMar>
          </w:tcPr>
          <w:p>
            <w:pPr>
              <w:spacing w:after="0"/>
            </w:pPr>
            <w:r>
              <w:rPr>
                <w:sz w:val="19"/>
                <w:szCs w:val="19"/>
              </w:rPr>
              <w:t xml:space="preserve">Lese-/Schreibprobe mit dem B1.2-Schema vor Abgabe; Rückfall: Export über PostGIS-Views + GeoPackage, FGDB-Konvertierung durch FME der Auftraggeberin</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 (bis 10'000 Stellungsräume)</w:t>
            </w:r>
          </w:p>
        </w:tc>
        <w:tc>
          <w:tcPr>
            <w:tcMar>
              <w:top w:type="dxa" w:w="60"/>
              <w:left w:type="dxa" w:w="90"/>
              <w:bottom w:type="dxa" w:w="60"/>
              <w:right w:type="dxa" w:w="90"/>
            </w:tcMar>
          </w:tcPr>
          <w:p>
            <w:pPr>
              <w:spacing w:after="0"/>
            </w:pPr>
            <w:r>
              <w:rPr>
                <w:sz w:val="19"/>
                <w:szCs w:val="19"/>
              </w:rPr>
              <w:t xml:space="preserve">Kern gemessen (&lt; 0.1 s),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Fachliche Regeln (E8, Anlagenabgrenzung 7.3, Quellengewichte)</w:t>
            </w:r>
          </w:p>
        </w:tc>
        <w:tc>
          <w:tcPr>
            <w:tcMar>
              <w:top w:type="dxa" w:w="60"/>
              <w:left w:type="dxa" w:w="90"/>
              <w:bottom w:type="dxa" w:w="60"/>
              <w:right w:type="dxa" w:w="90"/>
            </w:tcMar>
          </w:tcPr>
          <w:p>
            <w:pPr>
              <w:spacing w:after="0"/>
            </w:pPr>
            <w:r>
              <w:rPr>
                <w:sz w:val="19"/>
                <w:szCs w:val="19"/>
              </w:rPr>
              <w:t xml:space="preserve">Bestätigung durch die Fachstelle im Refinement, als Parameter/Test hinterlegt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Listen-/Schemafallback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OSS-Entscheid vor Abgabe</w:t>
            </w:r>
          </w:p>
        </w:tc>
      </w:tr>
    </w:tbl>
    <w:p>
      <w:pPr>
        <w:spacing w:after="120"/>
      </w:pPr>
    </w:p>
    <w:p>
      <w:pPr>
        <w:spacing w:after="120"/>
      </w:pPr>
      <w:r>
        <w:rPr>
          <w:b/>
          <w:bCs/>
        </w:rPr>
        <w:t xml:space="preserve">Interaktive Demonstration des Prototyps.</w:t>
      </w:r>
      <w:r>
        <w:t xml:space="preserve"> URL: https://[PLACEHOLDER] – Demo-Zugang mit eingeschränkter Rolle (nur Lesen und Simulation) und einem Konto je Rolle für den Vergleich der Berechtigungen; Zugangsdaten in der Begleitnotiz zum Angebot. Die Demo veranschaulicht den aktuellen Entwicklungsstand (Demostand «SLIM Demo», Datensatz Version 4, Software-Stand 11.09.2026 [OFFEN: Freeze-Datum und Version bei Abgabe eintragen])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ist auf Schweizer Infrastruktur erreichbar und wird mit Verfügbarkeits-Monitoring überwacht. Die vollständige Beschreibung der angebotenen Lösung ist in diesem Dokument enthalten;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Kapitel, das ihre Erfüllung beschreibt (gemäss FAQ 8 ausserhalb des Seitenbudgets, max. zwei Seiten). Status: </w:t>
      </w:r>
      <w:r>
        <w:rPr>
          <w:b/>
          <w:bCs/>
        </w:rPr>
        <w:t xml:space="preserve">P</w:t>
      </w:r>
      <w:r>
        <w:t xml:space="preserve"> = erfüllt, im Prototyp nachgewiesen (Klammer nennt Teile, die noch Zielzustand sind) · </w:t>
      </w:r>
      <w:r>
        <w:rPr>
          <w:b/>
          <w:bCs/>
        </w:rPr>
        <w:t xml:space="preserve">Z</w:t>
      </w:r>
      <w:r>
        <w:t xml:space="preserve"> = erfüllt, Umsetzung im genannten Kapitel verbindlich beschrieben · </w:t>
      </w:r>
      <w:r>
        <w:rPr>
          <w:b/>
          <w:bCs/>
        </w:rPr>
        <w:t xml:space="preserve">O</w:t>
      </w:r>
      <w:r>
        <w:t xml:space="preserve"> = Option (KANN-Anforderung, angeboten, Umsetzung in 5.4 beschrieben) · </w:t>
      </w:r>
      <w:r>
        <w:rPr>
          <w:b/>
          <w:bCs/>
        </w:rPr>
        <w:t xml:space="preserve">K</w:t>
      </w:r>
      <w:r>
        <w:t xml:space="preserve"> = Klärung mit der Auftraggeberin offen.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ID</w:t>
            </w:r>
          </w:p>
        </w:tc>
        <w:tc>
          <w:tcPr>
            <w:shd w:fill="E7E6E6" w:val="clear"/>
            <w:tcMar>
              <w:top w:type="dxa" w:w="60"/>
              <w:left w:type="dxa" w:w="90"/>
              <w:bottom w:type="dxa" w:w="60"/>
              <w:right w:type="dxa" w:w="90"/>
            </w:tcMar>
          </w:tcPr>
          <w:p>
            <w:pPr>
              <w:spacing w:after="0"/>
            </w:pPr>
            <w:r>
              <w:rPr>
                <w:b/>
                <w:bCs/>
                <w:sz w:val="19"/>
                <w:szCs w:val="19"/>
              </w:rPr>
              <w:t xml:space="preserve">Anforderung</w:t>
            </w:r>
          </w:p>
        </w:tc>
        <w:tc>
          <w:tcPr>
            <w:shd w:fill="E7E6E6" w:val="clear"/>
            <w:tcMar>
              <w:top w:type="dxa" w:w="60"/>
              <w:left w:type="dxa" w:w="90"/>
              <w:bottom w:type="dxa" w:w="60"/>
              <w:right w:type="dxa" w:w="90"/>
            </w:tcMar>
          </w:tcPr>
          <w:p>
            <w:pPr>
              <w:spacing w:after="0"/>
            </w:pPr>
            <w:r>
              <w:rPr>
                <w:b/>
                <w:bCs/>
                <w:sz w:val="19"/>
                <w:szCs w:val="19"/>
              </w:rPr>
              <w:t xml:space="preserve">Kapitel</w:t>
            </w:r>
          </w:p>
        </w:tc>
        <w:tc>
          <w:tcPr>
            <w:shd w:fill="E7E6E6" w:val="clear"/>
            <w:tcMar>
              <w:top w:type="dxa" w:w="60"/>
              <w:left w:type="dxa" w:w="90"/>
              <w:bottom w:type="dxa" w:w="60"/>
              <w:right w:type="dxa" w:w="90"/>
            </w:tcMar>
          </w:tcPr>
          <w:p>
            <w:pPr>
              <w:spacing w:after="0"/>
            </w:pPr>
            <w:r>
              <w:rPr>
                <w:b/>
                <w:bCs/>
                <w:sz w:val="19"/>
                <w:szCs w:val="19"/>
              </w:rPr>
              <w:t xml:space="preserve">Status</w:t>
            </w:r>
          </w:p>
        </w:tc>
      </w:tr>
      <w:tr>
        <w:trPr>
          <w:tblHeader w:val="false"/>
        </w:trPr>
        <w:tc>
          <w:tcPr>
            <w:tcMar>
              <w:top w:type="dxa" w:w="60"/>
              <w:left w:type="dxa" w:w="90"/>
              <w:bottom w:type="dxa" w:w="60"/>
              <w:right w:type="dxa" w:w="90"/>
            </w:tcMar>
          </w:tcPr>
          <w:p>
            <w:pPr>
              <w:spacing w:after="0"/>
            </w:pPr>
            <w:r>
              <w:rPr>
                <w:sz w:val="19"/>
                <w:szCs w:val="19"/>
              </w:rPr>
              <w:t xml:space="preserve">slm 1</w:t>
            </w:r>
          </w:p>
        </w:tc>
        <w:tc>
          <w:tcPr>
            <w:tcMar>
              <w:top w:type="dxa" w:w="60"/>
              <w:left w:type="dxa" w:w="90"/>
              <w:bottom w:type="dxa" w:w="60"/>
              <w:right w:type="dxa" w:w="90"/>
            </w:tcMar>
          </w:tcPr>
          <w:p>
            <w:pPr>
              <w:spacing w:after="0"/>
            </w:pPr>
            <w:r>
              <w:rPr>
                <w:sz w:val="19"/>
                <w:szCs w:val="19"/>
              </w:rPr>
              <w:t xml:space="preserve">Auswahllisten durch Admin pflegbar</w:t>
            </w:r>
          </w:p>
        </w:tc>
        <w:tc>
          <w:tcPr>
            <w:tcMar>
              <w:top w:type="dxa" w:w="60"/>
              <w:left w:type="dxa" w:w="90"/>
              <w:bottom w:type="dxa" w:w="60"/>
              <w:right w:type="dxa" w:w="90"/>
            </w:tcMar>
          </w:tcPr>
          <w:p>
            <w:pPr>
              <w:spacing w:after="0"/>
            </w:pPr>
            <w:r>
              <w:rPr>
                <w:sz w:val="19"/>
                <w:szCs w:val="19"/>
              </w:rPr>
              <w:t xml:space="preserve">5.3, 6.1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w:t>
            </w:r>
          </w:p>
        </w:tc>
        <w:tc>
          <w:tcPr>
            <w:tcMar>
              <w:top w:type="dxa" w:w="60"/>
              <w:left w:type="dxa" w:w="90"/>
              <w:bottom w:type="dxa" w:w="60"/>
              <w:right w:type="dxa" w:w="90"/>
            </w:tcMar>
          </w:tcPr>
          <w:p>
            <w:pPr>
              <w:spacing w:after="0"/>
            </w:pPr>
            <w:r>
              <w:rPr>
                <w:sz w:val="19"/>
                <w:szCs w:val="19"/>
              </w:rPr>
              <w:t xml:space="preserve">Kartenviewer swisstopo, LV95, Layer, PDF-Export</w:t>
            </w:r>
          </w:p>
        </w:tc>
        <w:tc>
          <w:tcPr>
            <w:tcMar>
              <w:top w:type="dxa" w:w="60"/>
              <w:left w:type="dxa" w:w="90"/>
              <w:bottom w:type="dxa" w:w="60"/>
              <w:right w:type="dxa" w:w="90"/>
            </w:tcMar>
          </w:tcPr>
          <w:p>
            <w:pPr>
              <w:spacing w:after="0"/>
            </w:pPr>
            <w:r>
              <w:rPr>
                <w:sz w:val="19"/>
                <w:szCs w:val="19"/>
              </w:rPr>
              <w:t xml:space="preserve">5.2</w:t>
            </w:r>
          </w:p>
        </w:tc>
        <w:tc>
          <w:tcPr>
            <w:tcMar>
              <w:top w:type="dxa" w:w="60"/>
              <w:left w:type="dxa" w:w="90"/>
              <w:bottom w:type="dxa" w:w="60"/>
              <w:right w:type="dxa" w:w="90"/>
            </w:tcMar>
          </w:tcPr>
          <w:p>
            <w:pPr>
              <w:spacing w:after="0"/>
            </w:pPr>
            <w:r>
              <w:rPr>
                <w:sz w:val="19"/>
                <w:szCs w:val="19"/>
              </w:rPr>
              <w:t xml:space="preserve">Z (schematische Karte P; Gebäude/Isophonen LP5 gemäss FAQ 13)</w:t>
            </w:r>
          </w:p>
        </w:tc>
      </w:tr>
      <w:tr>
        <w:trPr>
          <w:tblHeader w:val="false"/>
        </w:trPr>
        <w:tc>
          <w:tcPr>
            <w:tcMar>
              <w:top w:type="dxa" w:w="60"/>
              <w:left w:type="dxa" w:w="90"/>
              <w:bottom w:type="dxa" w:w="60"/>
              <w:right w:type="dxa" w:w="90"/>
            </w:tcMar>
          </w:tcPr>
          <w:p>
            <w:pPr>
              <w:spacing w:after="0"/>
            </w:pPr>
            <w:r>
              <w:rPr>
                <w:sz w:val="19"/>
                <w:szCs w:val="19"/>
              </w:rPr>
              <w:t xml:space="preserve">slm 3</w:t>
            </w:r>
          </w:p>
        </w:tc>
        <w:tc>
          <w:tcPr>
            <w:tcMar>
              <w:top w:type="dxa" w:w="60"/>
              <w:left w:type="dxa" w:w="90"/>
              <w:bottom w:type="dxa" w:w="60"/>
              <w:right w:type="dxa" w:w="90"/>
            </w:tcMar>
          </w:tcPr>
          <w:p>
            <w:pPr>
              <w:spacing w:after="0"/>
            </w:pPr>
            <w:r>
              <w:rPr>
                <w:sz w:val="19"/>
                <w:szCs w:val="19"/>
              </w:rPr>
              <w:t xml:space="preserve">Tabellenfunktionen (Suche, Sortierung, Filter, Selektion, Export)</w:t>
            </w:r>
          </w:p>
        </w:tc>
        <w:tc>
          <w:tcPr>
            <w:tcMar>
              <w:top w:type="dxa" w:w="60"/>
              <w:left w:type="dxa" w:w="90"/>
              <w:bottom w:type="dxa" w:w="60"/>
              <w:right w:type="dxa" w:w="90"/>
            </w:tcMar>
          </w:tcPr>
          <w:p>
            <w:pPr>
              <w:spacing w:after="0"/>
            </w:pPr>
            <w:r>
              <w:rPr>
                <w:sz w:val="19"/>
                <w:szCs w:val="19"/>
              </w:rPr>
              <w:t xml:space="preserve">5.3</w:t>
            </w:r>
          </w:p>
        </w:tc>
        <w:tc>
          <w:tcPr>
            <w:tcMar>
              <w:top w:type="dxa" w:w="60"/>
              <w:left w:type="dxa" w:w="90"/>
              <w:bottom w:type="dxa" w:w="60"/>
              <w:right w:type="dxa" w:w="90"/>
            </w:tcMar>
          </w:tcPr>
          <w:p>
            <w:pPr>
              <w:spacing w:after="0"/>
            </w:pPr>
            <w:r>
              <w:rPr>
                <w:sz w:val="19"/>
                <w:szCs w:val="19"/>
              </w:rPr>
              <w:t xml:space="preserve">Z (Suche, Sortierung, Selektion P)</w:t>
            </w:r>
          </w:p>
        </w:tc>
      </w:tr>
      <w:tr>
        <w:trPr>
          <w:tblHeader w:val="false"/>
        </w:trPr>
        <w:tc>
          <w:tcPr>
            <w:tcMar>
              <w:top w:type="dxa" w:w="60"/>
              <w:left w:type="dxa" w:w="90"/>
              <w:bottom w:type="dxa" w:w="60"/>
              <w:right w:type="dxa" w:w="90"/>
            </w:tcMar>
          </w:tcPr>
          <w:p>
            <w:pPr>
              <w:spacing w:after="0"/>
            </w:pPr>
            <w:r>
              <w:rPr>
                <w:sz w:val="19"/>
                <w:szCs w:val="19"/>
              </w:rPr>
              <w:t xml:space="preserve">slm 4</w:t>
            </w:r>
          </w:p>
        </w:tc>
        <w:tc>
          <w:tcPr>
            <w:tcMar>
              <w:top w:type="dxa" w:w="60"/>
              <w:left w:type="dxa" w:w="90"/>
              <w:bottom w:type="dxa" w:w="60"/>
              <w:right w:type="dxa" w:w="90"/>
            </w:tcMar>
          </w:tcPr>
          <w:p>
            <w:pPr>
              <w:spacing w:after="0"/>
            </w:pPr>
            <w:r>
              <w:rPr>
                <w:sz w:val="19"/>
                <w:szCs w:val="19"/>
              </w:rPr>
              <w:t xml:space="preserve">Nutzbar ohne Berechnungsgrundlage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w:t>
            </w:r>
          </w:p>
        </w:tc>
        <w:tc>
          <w:tcPr>
            <w:tcMar>
              <w:top w:type="dxa" w:w="60"/>
              <w:left w:type="dxa" w:w="90"/>
              <w:bottom w:type="dxa" w:w="60"/>
              <w:right w:type="dxa" w:w="90"/>
            </w:tcMar>
          </w:tcPr>
          <w:p>
            <w:pPr>
              <w:spacing w:after="0"/>
            </w:pPr>
            <w:r>
              <w:rPr>
                <w:sz w:val="19"/>
                <w:szCs w:val="19"/>
              </w:rPr>
              <w:t xml:space="preserve">Deep Links auf jede Entität</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6</w:t>
            </w:r>
          </w:p>
        </w:tc>
        <w:tc>
          <w:tcPr>
            <w:tcMar>
              <w:top w:type="dxa" w:w="60"/>
              <w:left w:type="dxa" w:w="90"/>
              <w:bottom w:type="dxa" w:w="60"/>
              <w:right w:type="dxa" w:w="90"/>
            </w:tcMar>
          </w:tcPr>
          <w:p>
            <w:pPr>
              <w:spacing w:after="0"/>
            </w:pPr>
            <w:r>
              <w:rPr>
                <w:sz w:val="19"/>
                <w:szCs w:val="19"/>
              </w:rPr>
              <w:t xml:space="preserve">Berechtigungsprüfung bei Deep Links</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7</w:t>
            </w:r>
          </w:p>
        </w:tc>
        <w:tc>
          <w:tcPr>
            <w:tcMar>
              <w:top w:type="dxa" w:w="60"/>
              <w:left w:type="dxa" w:w="90"/>
              <w:bottom w:type="dxa" w:w="60"/>
              <w:right w:type="dxa" w:w="90"/>
            </w:tcMar>
          </w:tcPr>
          <w:p>
            <w:pPr>
              <w:spacing w:after="0"/>
            </w:pPr>
            <w:r>
              <w:rPr>
                <w:sz w:val="19"/>
                <w:szCs w:val="19"/>
              </w:rPr>
              <w:t xml:space="preserve">Startseite 5.8</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8</w:t>
            </w:r>
          </w:p>
        </w:tc>
        <w:tc>
          <w:tcPr>
            <w:tcMar>
              <w:top w:type="dxa" w:w="60"/>
              <w:left w:type="dxa" w:w="90"/>
              <w:bottom w:type="dxa" w:w="60"/>
              <w:right w:type="dxa" w:w="90"/>
            </w:tcMar>
          </w:tcPr>
          <w:p>
            <w:pPr>
              <w:spacing w:after="0"/>
            </w:pPr>
            <w:r>
              <w:rPr>
                <w:sz w:val="19"/>
                <w:szCs w:val="19"/>
              </w:rPr>
              <w:t xml:space="preserve">Übersicht Schiessplätze 5.9 mit Ampeln</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9</w:t>
            </w:r>
          </w:p>
        </w:tc>
        <w:tc>
          <w:tcPr>
            <w:tcMar>
              <w:top w:type="dxa" w:w="60"/>
              <w:left w:type="dxa" w:w="90"/>
              <w:bottom w:type="dxa" w:w="60"/>
              <w:right w:type="dxa" w:w="90"/>
            </w:tcMar>
          </w:tcPr>
          <w:p>
            <w:pPr>
              <w:spacing w:after="0"/>
            </w:pPr>
            <w:r>
              <w:rPr>
                <w:sz w:val="19"/>
                <w:szCs w:val="19"/>
              </w:rPr>
              <w:t xml:space="preserve">Schiessplatz-Übersicht 5.10 (Ampeln, Stand SPM/MPV/Projekt, Kontingente, Karte)</w:t>
            </w:r>
          </w:p>
        </w:tc>
        <w:tc>
          <w:tcPr>
            <w:tcMar>
              <w:top w:type="dxa" w:w="60"/>
              <w:left w:type="dxa" w:w="90"/>
              <w:bottom w:type="dxa" w:w="60"/>
              <w:right w:type="dxa" w:w="90"/>
            </w:tcMar>
          </w:tcPr>
          <w:p>
            <w:pPr>
              <w:spacing w:after="0"/>
            </w:pPr>
            <w:r>
              <w:rPr>
                <w:sz w:val="19"/>
                <w:szCs w:val="19"/>
              </w:rPr>
              <w:t xml:space="preserve">4.2, 5.1, 5.2</w:t>
            </w:r>
          </w:p>
        </w:tc>
        <w:tc>
          <w:tcPr>
            <w:tcMar>
              <w:top w:type="dxa" w:w="60"/>
              <w:left w:type="dxa" w:w="90"/>
              <w:bottom w:type="dxa" w:w="60"/>
              <w:right w:type="dxa" w:w="90"/>
            </w:tcMar>
          </w:tcPr>
          <w:p>
            <w:pPr>
              <w:spacing w:after="0"/>
            </w:pPr>
            <w:r>
              <w:rPr>
                <w:sz w:val="19"/>
                <w:szCs w:val="19"/>
              </w:rPr>
              <w:t xml:space="preserve">Z (Ampeln, Kontext P)</w:t>
            </w:r>
          </w:p>
        </w:tc>
      </w:tr>
      <w:tr>
        <w:trPr>
          <w:tblHeader w:val="false"/>
        </w:trPr>
        <w:tc>
          <w:tcPr>
            <w:tcMar>
              <w:top w:type="dxa" w:w="60"/>
              <w:left w:type="dxa" w:w="90"/>
              <w:bottom w:type="dxa" w:w="60"/>
              <w:right w:type="dxa" w:w="90"/>
            </w:tcMar>
          </w:tcPr>
          <w:p>
            <w:pPr>
              <w:spacing w:after="0"/>
            </w:pPr>
            <w:r>
              <w:rPr>
                <w:sz w:val="19"/>
                <w:szCs w:val="19"/>
              </w:rPr>
              <w:t xml:space="preserve">slm 10</w:t>
            </w:r>
          </w:p>
        </w:tc>
        <w:tc>
          <w:tcPr>
            <w:tcMar>
              <w:top w:type="dxa" w:w="60"/>
              <w:left w:type="dxa" w:w="90"/>
              <w:bottom w:type="dxa" w:w="60"/>
              <w:right w:type="dxa" w:w="90"/>
            </w:tcMar>
          </w:tcPr>
          <w:p>
            <w:pPr>
              <w:spacing w:after="0"/>
            </w:pPr>
            <w:r>
              <w:rPr>
                <w:sz w:val="19"/>
                <w:szCs w:val="19"/>
              </w:rPr>
              <w:t xml:space="preserve">Nutzungen und Schusszahlen 5.11 inkl. Dezimalmengen</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 (Spaltenfilter, Export Z)</w:t>
            </w:r>
          </w:p>
        </w:tc>
      </w:tr>
      <w:tr>
        <w:trPr>
          <w:tblHeader w:val="false"/>
        </w:trPr>
        <w:tc>
          <w:tcPr>
            <w:tcMar>
              <w:top w:type="dxa" w:w="60"/>
              <w:left w:type="dxa" w:w="90"/>
              <w:bottom w:type="dxa" w:w="60"/>
              <w:right w:type="dxa" w:w="90"/>
            </w:tcMar>
          </w:tcPr>
          <w:p>
            <w:pPr>
              <w:spacing w:after="0"/>
            </w:pPr>
            <w:r>
              <w:rPr>
                <w:sz w:val="19"/>
                <w:szCs w:val="19"/>
              </w:rPr>
              <w:t xml:space="preserve">slm 11</w:t>
            </w:r>
          </w:p>
        </w:tc>
        <w:tc>
          <w:tcPr>
            <w:tcMar>
              <w:top w:type="dxa" w:w="60"/>
              <w:left w:type="dxa" w:w="90"/>
              <w:bottom w:type="dxa" w:w="60"/>
              <w:right w:type="dxa" w:w="90"/>
            </w:tcMar>
          </w:tcPr>
          <w:p>
            <w:pPr>
              <w:spacing w:after="0"/>
            </w:pPr>
            <w:r>
              <w:rPr>
                <w:sz w:val="19"/>
                <w:szCs w:val="19"/>
              </w:rPr>
              <w:t xml:space="preserve">Empfangspunkte / Details 5.12</w:t>
            </w:r>
          </w:p>
        </w:tc>
        <w:tc>
          <w:tcPr>
            <w:tcMar>
              <w:top w:type="dxa" w:w="60"/>
              <w:left w:type="dxa" w:w="90"/>
              <w:bottom w:type="dxa" w:w="60"/>
              <w:right w:type="dxa" w:w="90"/>
            </w:tcMar>
          </w:tcPr>
          <w:p>
            <w:pPr>
              <w:spacing w:after="0"/>
            </w:pPr>
            <w:r>
              <w:rPr>
                <w:sz w:val="19"/>
                <w:szCs w:val="19"/>
              </w:rPr>
              <w:t xml:space="preserve">4, 5.2</w:t>
            </w:r>
          </w:p>
        </w:tc>
        <w:tc>
          <w:tcPr>
            <w:tcMar>
              <w:top w:type="dxa" w:w="60"/>
              <w:left w:type="dxa" w:w="90"/>
              <w:bottom w:type="dxa" w:w="60"/>
              <w:right w:type="dxa" w:w="90"/>
            </w:tcMar>
          </w:tcPr>
          <w:p>
            <w:pPr>
              <w:spacing w:after="0"/>
            </w:pPr>
            <w:r>
              <w:rPr>
                <w:sz w:val="19"/>
                <w:szCs w:val="19"/>
              </w:rPr>
              <w:t xml:space="preserve">P (Kartenviewer, Berechnungsstand Z)</w:t>
            </w:r>
          </w:p>
        </w:tc>
      </w:tr>
      <w:tr>
        <w:trPr>
          <w:tblHeader w:val="false"/>
        </w:trPr>
        <w:tc>
          <w:tcPr>
            <w:tcMar>
              <w:top w:type="dxa" w:w="60"/>
              <w:left w:type="dxa" w:w="90"/>
              <w:bottom w:type="dxa" w:w="60"/>
              <w:right w:type="dxa" w:w="90"/>
            </w:tcMar>
          </w:tcPr>
          <w:p>
            <w:pPr>
              <w:spacing w:after="0"/>
            </w:pPr>
            <w:r>
              <w:rPr>
                <w:sz w:val="19"/>
                <w:szCs w:val="19"/>
              </w:rPr>
              <w:t xml:space="preserve">slm 12</w:t>
            </w:r>
          </w:p>
        </w:tc>
        <w:tc>
          <w:tcPr>
            <w:tcMar>
              <w:top w:type="dxa" w:w="60"/>
              <w:left w:type="dxa" w:w="90"/>
              <w:bottom w:type="dxa" w:w="60"/>
              <w:right w:type="dxa" w:w="90"/>
            </w:tcMar>
          </w:tcPr>
          <w:p>
            <w:pPr>
              <w:spacing w:after="0"/>
            </w:pPr>
            <w:r>
              <w:rPr>
                <w:sz w:val="19"/>
                <w:szCs w:val="19"/>
              </w:rPr>
              <w:t xml:space="preserve">Simulation 5.13</w:t>
            </w:r>
          </w:p>
        </w:tc>
        <w:tc>
          <w:tcPr>
            <w:tcMar>
              <w:top w:type="dxa" w:w="60"/>
              <w:left w:type="dxa" w:w="90"/>
              <w:bottom w:type="dxa" w:w="60"/>
              <w:right w:type="dxa" w:w="90"/>
            </w:tcMar>
          </w:tcPr>
          <w:p>
            <w:pPr>
              <w:spacing w:after="0"/>
            </w:pPr>
            <w:r>
              <w:rPr>
                <w:sz w:val="19"/>
                <w:szCs w:val="19"/>
              </w:rPr>
              <w:t xml:space="preserve">4, 5.1</w:t>
            </w:r>
          </w:p>
        </w:tc>
        <w:tc>
          <w:tcPr>
            <w:tcMar>
              <w:top w:type="dxa" w:w="60"/>
              <w:left w:type="dxa" w:w="90"/>
              <w:bottom w:type="dxa" w:w="60"/>
              <w:right w:type="dxa" w:w="90"/>
            </w:tcMar>
          </w:tcPr>
          <w:p>
            <w:pPr>
              <w:spacing w:after="0"/>
            </w:pPr>
            <w:r>
              <w:rPr>
                <w:sz w:val="19"/>
                <w:szCs w:val="19"/>
              </w:rPr>
              <w:t xml:space="preserve">P (Quellengewichte Z; Zuordnung LP1a/LP1b K)</w:t>
            </w:r>
          </w:p>
        </w:tc>
      </w:tr>
      <w:tr>
        <w:trPr>
          <w:tblHeader w:val="false"/>
        </w:trPr>
        <w:tc>
          <w:tcPr>
            <w:tcMar>
              <w:top w:type="dxa" w:w="60"/>
              <w:left w:type="dxa" w:w="90"/>
              <w:bottom w:type="dxa" w:w="60"/>
              <w:right w:type="dxa" w:w="90"/>
            </w:tcMar>
          </w:tcPr>
          <w:p>
            <w:pPr>
              <w:spacing w:after="0"/>
            </w:pPr>
            <w:r>
              <w:rPr>
                <w:sz w:val="19"/>
                <w:szCs w:val="19"/>
              </w:rPr>
              <w:t xml:space="preserve">slm 13</w:t>
            </w:r>
          </w:p>
        </w:tc>
        <w:tc>
          <w:tcPr>
            <w:tcMar>
              <w:top w:type="dxa" w:w="60"/>
              <w:left w:type="dxa" w:w="90"/>
              <w:bottom w:type="dxa" w:w="60"/>
              <w:right w:type="dxa" w:w="90"/>
            </w:tcMar>
          </w:tcPr>
          <w:p>
            <w:pPr>
              <w:spacing w:after="0"/>
            </w:pPr>
            <w:r>
              <w:rPr>
                <w:sz w:val="19"/>
                <w:szCs w:val="19"/>
              </w:rPr>
              <w:t xml:space="preserve">Datenverwaltung Schiessplatz – Übersicht 5.14</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14</w:t>
            </w:r>
          </w:p>
        </w:tc>
        <w:tc>
          <w:tcPr>
            <w:tcMar>
              <w:top w:type="dxa" w:w="60"/>
              <w:left w:type="dxa" w:w="90"/>
              <w:bottom w:type="dxa" w:w="60"/>
              <w:right w:type="dxa" w:w="90"/>
            </w:tcMar>
          </w:tcPr>
          <w:p>
            <w:pPr>
              <w:spacing w:after="0"/>
            </w:pPr>
            <w:r>
              <w:rPr>
                <w:sz w:val="19"/>
                <w:szCs w:val="19"/>
              </w:rPr>
              <w:t xml:space="preserve">Allgemein – Übersicht 5.15 (Formular, Stellungsräume)</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15</w:t>
            </w:r>
          </w:p>
        </w:tc>
        <w:tc>
          <w:tcPr>
            <w:tcMar>
              <w:top w:type="dxa" w:w="60"/>
              <w:left w:type="dxa" w:w="90"/>
              <w:bottom w:type="dxa" w:w="60"/>
              <w:right w:type="dxa" w:w="90"/>
            </w:tcMar>
          </w:tcPr>
          <w:p>
            <w:pPr>
              <w:spacing w:after="0"/>
            </w:pPr>
            <w:r>
              <w:rPr>
                <w:sz w:val="19"/>
                <w:szCs w:val="19"/>
              </w:rPr>
              <w:t xml:space="preserve">Stellungsräume pflegen</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16</w:t>
            </w:r>
          </w:p>
        </w:tc>
        <w:tc>
          <w:tcPr>
            <w:tcMar>
              <w:top w:type="dxa" w:w="60"/>
              <w:left w:type="dxa" w:w="90"/>
              <w:bottom w:type="dxa" w:w="60"/>
              <w:right w:type="dxa" w:w="90"/>
            </w:tcMar>
          </w:tcPr>
          <w:p>
            <w:pPr>
              <w:spacing w:after="0"/>
            </w:pPr>
            <w:r>
              <w:rPr>
                <w:sz w:val="19"/>
                <w:szCs w:val="19"/>
              </w:rPr>
              <w:t xml:space="preserve">Stammdaten 5.16 inkl. Kontingente, Flag Anhang 7</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Z (Datenmodell, Flag P)</w:t>
            </w:r>
          </w:p>
        </w:tc>
      </w:tr>
      <w:tr>
        <w:trPr>
          <w:tblHeader w:val="false"/>
        </w:trPr>
        <w:tc>
          <w:tcPr>
            <w:tcMar>
              <w:top w:type="dxa" w:w="60"/>
              <w:left w:type="dxa" w:w="90"/>
              <w:bottom w:type="dxa" w:w="60"/>
              <w:right w:type="dxa" w:w="90"/>
            </w:tcMar>
          </w:tcPr>
          <w:p>
            <w:pPr>
              <w:spacing w:after="0"/>
            </w:pPr>
            <w:r>
              <w:rPr>
                <w:sz w:val="19"/>
                <w:szCs w:val="19"/>
              </w:rPr>
              <w:t xml:space="preserve">slm 17</w:t>
            </w:r>
          </w:p>
        </w:tc>
        <w:tc>
          <w:tcPr>
            <w:tcMar>
              <w:top w:type="dxa" w:w="60"/>
              <w:left w:type="dxa" w:w="90"/>
              <w:bottom w:type="dxa" w:w="60"/>
              <w:right w:type="dxa" w:w="90"/>
            </w:tcMar>
          </w:tcPr>
          <w:p>
            <w:pPr>
              <w:spacing w:after="0"/>
            </w:pPr>
            <w:r>
              <w:rPr>
                <w:sz w:val="19"/>
                <w:szCs w:val="19"/>
              </w:rPr>
              <w:t xml:space="preserve">Zuordnung Waffen 5.17</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18</w:t>
            </w:r>
          </w:p>
        </w:tc>
        <w:tc>
          <w:tcPr>
            <w:tcMar>
              <w:top w:type="dxa" w:w="60"/>
              <w:left w:type="dxa" w:w="90"/>
              <w:bottom w:type="dxa" w:w="60"/>
              <w:right w:type="dxa" w:w="90"/>
            </w:tcMar>
          </w:tcPr>
          <w:p>
            <w:pPr>
              <w:spacing w:after="0"/>
            </w:pPr>
            <w:r>
              <w:rPr>
                <w:sz w:val="19"/>
                <w:szCs w:val="19"/>
              </w:rPr>
              <w:t xml:space="preserve">Berechnungen – Übersicht 5.18 (Zustände, gültig/MGDM)</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19</w:t>
            </w:r>
          </w:p>
        </w:tc>
        <w:tc>
          <w:tcPr>
            <w:tcMar>
              <w:top w:type="dxa" w:w="60"/>
              <w:left w:type="dxa" w:w="90"/>
              <w:bottom w:type="dxa" w:w="60"/>
              <w:right w:type="dxa" w:w="90"/>
            </w:tcMar>
          </w:tcPr>
          <w:p>
            <w:pPr>
              <w:spacing w:after="0"/>
            </w:pPr>
            <w:r>
              <w:rPr>
                <w:sz w:val="19"/>
                <w:szCs w:val="19"/>
              </w:rPr>
              <w:t xml:space="preserve">Berechnungen – Import 5.19 (FGDB, WLR, Betriebsdaten)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20</w:t>
            </w:r>
          </w:p>
        </w:tc>
        <w:tc>
          <w:tcPr>
            <w:tcMar>
              <w:top w:type="dxa" w:w="60"/>
              <w:left w:type="dxa" w:w="90"/>
              <w:bottom w:type="dxa" w:w="60"/>
              <w:right w:type="dxa" w:w="90"/>
            </w:tcMar>
          </w:tcPr>
          <w:p>
            <w:pPr>
              <w:spacing w:after="0"/>
            </w:pPr>
            <w:r>
              <w:rPr>
                <w:sz w:val="19"/>
                <w:szCs w:val="19"/>
              </w:rPr>
              <w:t xml:space="preserve">Berechnungen – Export 5.20 (GeoDB, alle Schusszahlen CSV)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21</w:t>
            </w:r>
          </w:p>
        </w:tc>
        <w:tc>
          <w:tcPr>
            <w:tcMar>
              <w:top w:type="dxa" w:w="60"/>
              <w:left w:type="dxa" w:w="90"/>
              <w:bottom w:type="dxa" w:w="60"/>
              <w:right w:type="dxa" w:w="90"/>
            </w:tcMar>
          </w:tcPr>
          <w:p>
            <w:pPr>
              <w:spacing w:after="0"/>
            </w:pPr>
            <w:r>
              <w:rPr>
                <w:sz w:val="19"/>
                <w:szCs w:val="19"/>
              </w:rPr>
              <w:t xml:space="preserve">Berechnungen – Details 5.21 (WLR, Betriebsdaten je Stellungsraum)</w:t>
            </w:r>
          </w:p>
        </w:tc>
        <w:tc>
          <w:tcPr>
            <w:tcMar>
              <w:top w:type="dxa" w:w="60"/>
              <w:left w:type="dxa" w:w="90"/>
              <w:bottom w:type="dxa" w:w="60"/>
              <w:right w:type="dxa" w:w="90"/>
            </w:tcMar>
          </w:tcPr>
          <w:p>
            <w:pPr>
              <w:spacing w:after="0"/>
            </w:pPr>
            <w:r>
              <w:rPr>
                <w:sz w:val="19"/>
                <w:szCs w:val="19"/>
              </w:rPr>
              <w:t xml:space="preserve">3.2, 4.1</w:t>
            </w:r>
          </w:p>
        </w:tc>
        <w:tc>
          <w:tcPr>
            <w:tcMar>
              <w:top w:type="dxa" w:w="60"/>
              <w:left w:type="dxa" w:w="90"/>
              <w:bottom w:type="dxa" w:w="60"/>
              <w:right w:type="dxa" w:w="90"/>
            </w:tcMar>
          </w:tcPr>
          <w:p>
            <w:pPr>
              <w:spacing w:after="0"/>
            </w:pPr>
            <w:r>
              <w:rPr>
                <w:sz w:val="19"/>
                <w:szCs w:val="19"/>
              </w:rPr>
              <w:t xml:space="preserve">Z (Formate P)</w:t>
            </w:r>
          </w:p>
        </w:tc>
      </w:tr>
      <w:tr>
        <w:trPr>
          <w:tblHeader w:val="false"/>
        </w:trPr>
        <w:tc>
          <w:tcPr>
            <w:tcMar>
              <w:top w:type="dxa" w:w="60"/>
              <w:left w:type="dxa" w:w="90"/>
              <w:bottom w:type="dxa" w:w="60"/>
              <w:right w:type="dxa" w:w="90"/>
            </w:tcMar>
          </w:tcPr>
          <w:p>
            <w:pPr>
              <w:spacing w:after="0"/>
            </w:pPr>
            <w:r>
              <w:rPr>
                <w:sz w:val="19"/>
                <w:szCs w:val="19"/>
              </w:rPr>
              <w:t xml:space="preserve">slm 22</w:t>
            </w:r>
          </w:p>
        </w:tc>
        <w:tc>
          <w:tcPr>
            <w:tcMar>
              <w:top w:type="dxa" w:w="60"/>
              <w:left w:type="dxa" w:w="90"/>
              <w:bottom w:type="dxa" w:w="60"/>
              <w:right w:type="dxa" w:w="90"/>
            </w:tcMar>
          </w:tcPr>
          <w:p>
            <w:pPr>
              <w:spacing w:after="0"/>
            </w:pPr>
            <w:r>
              <w:rPr>
                <w:sz w:val="19"/>
                <w:szCs w:val="19"/>
              </w:rPr>
              <w:t xml:space="preserve">Waffe/Kaliber 5.22 inkl. sonARMS-Zuordnung</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23</w:t>
            </w:r>
          </w:p>
        </w:tc>
        <w:tc>
          <w:tcPr>
            <w:tcMar>
              <w:top w:type="dxa" w:w="60"/>
              <w:left w:type="dxa" w:w="90"/>
              <w:bottom w:type="dxa" w:w="60"/>
              <w:right w:type="dxa" w:w="90"/>
            </w:tcMar>
          </w:tcPr>
          <w:p>
            <w:pPr>
              <w:spacing w:after="0"/>
            </w:pPr>
            <w:r>
              <w:rPr>
                <w:sz w:val="19"/>
                <w:szCs w:val="19"/>
              </w:rPr>
              <w:t xml:space="preserve">Kaliber 5.23</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24</w:t>
            </w:r>
          </w:p>
        </w:tc>
        <w:tc>
          <w:tcPr>
            <w:tcMar>
              <w:top w:type="dxa" w:w="60"/>
              <w:left w:type="dxa" w:w="90"/>
              <w:bottom w:type="dxa" w:w="60"/>
              <w:right w:type="dxa" w:w="90"/>
            </w:tcMar>
          </w:tcPr>
          <w:p>
            <w:pPr>
              <w:spacing w:after="0"/>
            </w:pPr>
            <w:r>
              <w:rPr>
                <w:sz w:val="19"/>
                <w:szCs w:val="19"/>
              </w:rPr>
              <w:t xml:space="preserve">Waffe 5.24 inkl. Kategorie Anhang 7</w:t>
            </w:r>
          </w:p>
        </w:tc>
        <w:tc>
          <w:tcPr>
            <w:tcMar>
              <w:top w:type="dxa" w:w="60"/>
              <w:left w:type="dxa" w:w="90"/>
              <w:bottom w:type="dxa" w:w="60"/>
              <w:right w:type="dxa" w:w="90"/>
            </w:tcMar>
          </w:tcPr>
          <w:p>
            <w:pPr>
              <w:spacing w:after="0"/>
            </w:pPr>
            <w:r>
              <w:rPr>
                <w:sz w:val="19"/>
                <w:szCs w:val="19"/>
              </w:rPr>
              <w:t xml:space="preserve">5.1, 4.2</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25</w:t>
            </w:r>
          </w:p>
        </w:tc>
        <w:tc>
          <w:tcPr>
            <w:tcMar>
              <w:top w:type="dxa" w:w="60"/>
              <w:left w:type="dxa" w:w="90"/>
              <w:bottom w:type="dxa" w:w="60"/>
              <w:right w:type="dxa" w:w="90"/>
            </w:tcMar>
          </w:tcPr>
          <w:p>
            <w:pPr>
              <w:spacing w:after="0"/>
            </w:pPr>
            <w:r>
              <w:rPr>
                <w:sz w:val="19"/>
                <w:szCs w:val="19"/>
              </w:rPr>
              <w:t xml:space="preserve">Waffenkategorie 5.25</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26</w:t>
            </w:r>
          </w:p>
        </w:tc>
        <w:tc>
          <w:tcPr>
            <w:tcMar>
              <w:top w:type="dxa" w:w="60"/>
              <w:left w:type="dxa" w:w="90"/>
              <w:bottom w:type="dxa" w:w="60"/>
              <w:right w:type="dxa" w:w="90"/>
            </w:tcMar>
          </w:tcPr>
          <w:p>
            <w:pPr>
              <w:spacing w:after="0"/>
            </w:pPr>
            <w:r>
              <w:rPr>
                <w:sz w:val="19"/>
                <w:szCs w:val="19"/>
              </w:rPr>
              <w:t xml:space="preserve">Benutzerverwaltung 5.26</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(Schiessplatz-Zuordnung im Formular, CASL Z)</w:t>
            </w:r>
          </w:p>
        </w:tc>
      </w:tr>
      <w:tr>
        <w:trPr>
          <w:tblHeader w:val="false"/>
        </w:trPr>
        <w:tc>
          <w:tcPr>
            <w:tcMar>
              <w:top w:type="dxa" w:w="60"/>
              <w:left w:type="dxa" w:w="90"/>
              <w:bottom w:type="dxa" w:w="60"/>
              <w:right w:type="dxa" w:w="90"/>
            </w:tcMar>
          </w:tcPr>
          <w:p>
            <w:pPr>
              <w:spacing w:after="0"/>
            </w:pPr>
            <w:r>
              <w:rPr>
                <w:sz w:val="19"/>
                <w:szCs w:val="19"/>
              </w:rPr>
              <w:t xml:space="preserve">slm 27</w:t>
            </w:r>
          </w:p>
        </w:tc>
        <w:tc>
          <w:tcPr>
            <w:tcMar>
              <w:top w:type="dxa" w:w="60"/>
              <w:left w:type="dxa" w:w="90"/>
              <w:bottom w:type="dxa" w:w="60"/>
              <w:right w:type="dxa" w:w="90"/>
            </w:tcMar>
          </w:tcPr>
          <w:p>
            <w:pPr>
              <w:spacing w:after="0"/>
            </w:pPr>
            <w:r>
              <w:rPr>
                <w:sz w:val="19"/>
                <w:szCs w:val="19"/>
              </w:rPr>
              <w:t xml:space="preserve">Erweiterte Konfiguration 5.28 (Sperrdatum, Handbuch, Ampel-Schwellen)</w:t>
            </w:r>
          </w:p>
        </w:tc>
        <w:tc>
          <w:tcPr>
            <w:tcMar>
              <w:top w:type="dxa" w:w="60"/>
              <w:left w:type="dxa" w:w="90"/>
              <w:bottom w:type="dxa" w:w="60"/>
              <w:right w:type="dxa" w:w="90"/>
            </w:tcMar>
          </w:tcPr>
          <w:p>
            <w:pPr>
              <w:spacing w:after="0"/>
            </w:pPr>
            <w:r>
              <w:rPr>
                <w:sz w:val="19"/>
                <w:szCs w:val="19"/>
              </w:rPr>
              <w:t xml:space="preserve">4.2, 6.1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28</w:t>
            </w:r>
          </w:p>
        </w:tc>
        <w:tc>
          <w:tcPr>
            <w:tcMar>
              <w:top w:type="dxa" w:w="60"/>
              <w:left w:type="dxa" w:w="90"/>
              <w:bottom w:type="dxa" w:w="60"/>
              <w:right w:type="dxa" w:w="90"/>
            </w:tcMar>
          </w:tcPr>
          <w:p>
            <w:pPr>
              <w:spacing w:after="0"/>
            </w:pPr>
            <w:r>
              <w:rPr>
                <w:sz w:val="19"/>
                <w:szCs w:val="19"/>
              </w:rPr>
              <w:t xml:space="preserve">ELO-Schnittstelle: Anlageninformationen (GET)</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(Modell P)</w:t>
            </w:r>
          </w:p>
        </w:tc>
      </w:tr>
      <w:tr>
        <w:trPr>
          <w:tblHeader w:val="false"/>
        </w:trPr>
        <w:tc>
          <w:tcPr>
            <w:tcMar>
              <w:top w:type="dxa" w:w="60"/>
              <w:left w:type="dxa" w:w="90"/>
              <w:bottom w:type="dxa" w:w="60"/>
              <w:right w:type="dxa" w:w="90"/>
            </w:tcMar>
          </w:tcPr>
          <w:p>
            <w:pPr>
              <w:spacing w:after="0"/>
            </w:pPr>
            <w:r>
              <w:rPr>
                <w:sz w:val="19"/>
                <w:szCs w:val="19"/>
              </w:rPr>
              <w:t xml:space="preserve">slm 29</w:t>
            </w:r>
          </w:p>
        </w:tc>
        <w:tc>
          <w:tcPr>
            <w:tcMar>
              <w:top w:type="dxa" w:w="60"/>
              <w:left w:type="dxa" w:w="90"/>
              <w:bottom w:type="dxa" w:w="60"/>
              <w:right w:type="dxa" w:w="90"/>
            </w:tcMar>
          </w:tcPr>
          <w:p>
            <w:pPr>
              <w:spacing w:after="0"/>
            </w:pPr>
            <w:r>
              <w:rPr>
                <w:sz w:val="19"/>
                <w:szCs w:val="19"/>
              </w:rPr>
              <w:t xml:space="preserve">ELO-Schnittstelle: Nutzung melden (POST) mit Validierung</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(Validierungsregeln P)</w:t>
            </w:r>
          </w:p>
        </w:tc>
      </w:tr>
      <w:tr>
        <w:trPr>
          <w:tblHeader w:val="false"/>
        </w:trPr>
        <w:tc>
          <w:tcPr>
            <w:tcMar>
              <w:top w:type="dxa" w:w="60"/>
              <w:left w:type="dxa" w:w="90"/>
              <w:bottom w:type="dxa" w:w="60"/>
              <w:right w:type="dxa" w:w="90"/>
            </w:tcMar>
          </w:tcPr>
          <w:p>
            <w:pPr>
              <w:spacing w:after="0"/>
            </w:pPr>
            <w:r>
              <w:rPr>
                <w:sz w:val="19"/>
                <w:szCs w:val="19"/>
              </w:rPr>
              <w:t xml:space="preserve">slm 30</w:t>
            </w:r>
          </w:p>
        </w:tc>
        <w:tc>
          <w:tcPr>
            <w:tcMar>
              <w:top w:type="dxa" w:w="60"/>
              <w:left w:type="dxa" w:w="90"/>
              <w:bottom w:type="dxa" w:w="60"/>
              <w:right w:type="dxa" w:w="90"/>
            </w:tcMar>
          </w:tcPr>
          <w:p>
            <w:pPr>
              <w:spacing w:after="0"/>
            </w:pPr>
            <w:r>
              <w:rPr>
                <w:sz w:val="19"/>
                <w:szCs w:val="19"/>
              </w:rPr>
              <w:t xml:space="preserve">ELO-Schnittstelle: Sicherheit, Fehlerbehandlung</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31</w:t>
            </w:r>
          </w:p>
        </w:tc>
        <w:tc>
          <w:tcPr>
            <w:tcMar>
              <w:top w:type="dxa" w:w="60"/>
              <w:left w:type="dxa" w:w="90"/>
              <w:bottom w:type="dxa" w:w="60"/>
              <w:right w:type="dxa" w:w="90"/>
            </w:tcMar>
          </w:tcPr>
          <w:p>
            <w:pPr>
              <w:spacing w:after="0"/>
            </w:pPr>
            <w:r>
              <w:rPr>
                <w:sz w:val="19"/>
                <w:szCs w:val="19"/>
              </w:rPr>
              <w:t xml:space="preserve">LSV-Betriebsdaten aus Nutzungen (7.4)</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32</w:t>
            </w:r>
          </w:p>
        </w:tc>
        <w:tc>
          <w:tcPr>
            <w:tcMar>
              <w:top w:type="dxa" w:w="60"/>
              <w:left w:type="dxa" w:w="90"/>
              <w:bottom w:type="dxa" w:w="60"/>
              <w:right w:type="dxa" w:w="90"/>
            </w:tcMar>
          </w:tcPr>
          <w:p>
            <w:pPr>
              <w:spacing w:after="0"/>
            </w:pPr>
            <w:r>
              <w:rPr>
                <w:sz w:val="19"/>
                <w:szCs w:val="19"/>
              </w:rPr>
              <w:t xml:space="preserve">Verteilung auf Quellen (7.5)</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P (eine Quelle je Kombination; Gewichte Z)</w:t>
            </w:r>
          </w:p>
        </w:tc>
      </w:tr>
      <w:tr>
        <w:trPr>
          <w:tblHeader w:val="false"/>
        </w:trPr>
        <w:tc>
          <w:tcPr>
            <w:tcMar>
              <w:top w:type="dxa" w:w="60"/>
              <w:left w:type="dxa" w:w="90"/>
              <w:bottom w:type="dxa" w:w="60"/>
              <w:right w:type="dxa" w:w="90"/>
            </w:tcMar>
          </w:tcPr>
          <w:p>
            <w:pPr>
              <w:spacing w:after="0"/>
            </w:pPr>
            <w:r>
              <w:rPr>
                <w:sz w:val="19"/>
                <w:szCs w:val="19"/>
              </w:rPr>
              <w:t xml:space="preserve">slm 33</w:t>
            </w:r>
          </w:p>
        </w:tc>
        <w:tc>
          <w:tcPr>
            <w:tcMar>
              <w:top w:type="dxa" w:w="60"/>
              <w:left w:type="dxa" w:w="90"/>
              <w:bottom w:type="dxa" w:w="60"/>
              <w:right w:type="dxa" w:w="90"/>
            </w:tcMar>
          </w:tcPr>
          <w:p>
            <w:pPr>
              <w:spacing w:after="0"/>
            </w:pPr>
            <w:r>
              <w:rPr>
                <w:sz w:val="19"/>
                <w:szCs w:val="19"/>
              </w:rPr>
              <w:t xml:space="preserve">Beurteilungspegel Anhang 9 und 7 (7.6)</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34</w:t>
            </w:r>
          </w:p>
        </w:tc>
        <w:tc>
          <w:tcPr>
            <w:tcMar>
              <w:top w:type="dxa" w:w="60"/>
              <w:left w:type="dxa" w:w="90"/>
              <w:bottom w:type="dxa" w:w="60"/>
              <w:right w:type="dxa" w:w="90"/>
            </w:tcMar>
          </w:tcPr>
          <w:p>
            <w:pPr>
              <w:spacing w:after="0"/>
            </w:pPr>
            <w:r>
              <w:rPr>
                <w:sz w:val="19"/>
                <w:szCs w:val="19"/>
              </w:rPr>
              <w:t xml:space="preserve">Grenzwertvergleich und Ampeln (7.7)</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35</w:t>
            </w:r>
          </w:p>
        </w:tc>
        <w:tc>
          <w:tcPr>
            <w:tcMar>
              <w:top w:type="dxa" w:w="60"/>
              <w:left w:type="dxa" w:w="90"/>
              <w:bottom w:type="dxa" w:w="60"/>
              <w:right w:type="dxa" w:w="90"/>
            </w:tcMar>
          </w:tcPr>
          <w:p>
            <w:pPr>
              <w:spacing w:after="0"/>
            </w:pPr>
            <w:r>
              <w:rPr>
                <w:sz w:val="19"/>
                <w:szCs w:val="19"/>
              </w:rPr>
              <w:t xml:space="preserve">Rollen, Rechte, Anmeldung mit MFA</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(TOTP Z; AGOV Option, 2.4)</w:t>
            </w:r>
          </w:p>
        </w:tc>
      </w:tr>
      <w:tr>
        <w:trPr>
          <w:tblHeader w:val="false"/>
        </w:trPr>
        <w:tc>
          <w:tcPr>
            <w:tcMar>
              <w:top w:type="dxa" w:w="60"/>
              <w:left w:type="dxa" w:w="90"/>
              <w:bottom w:type="dxa" w:w="60"/>
              <w:right w:type="dxa" w:w="90"/>
            </w:tcMar>
          </w:tcPr>
          <w:p>
            <w:pPr>
              <w:spacing w:after="0"/>
            </w:pPr>
            <w:r>
              <w:rPr>
                <w:sz w:val="19"/>
                <w:szCs w:val="19"/>
              </w:rPr>
              <w:t xml:space="preserve">slm 36</w:t>
            </w:r>
          </w:p>
        </w:tc>
        <w:tc>
          <w:tcPr>
            <w:tcMar>
              <w:top w:type="dxa" w:w="60"/>
              <w:left w:type="dxa" w:w="90"/>
              <w:bottom w:type="dxa" w:w="60"/>
              <w:right w:type="dxa" w:w="90"/>
            </w:tcMar>
          </w:tcPr>
          <w:p>
            <w:pPr>
              <w:spacing w:after="0"/>
            </w:pPr>
            <w:r>
              <w:rPr>
                <w:sz w:val="19"/>
                <w:szCs w:val="19"/>
              </w:rPr>
              <w:t xml:space="preserve">Initialer Stammdatenimport</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37</w:t>
            </w:r>
          </w:p>
        </w:tc>
        <w:tc>
          <w:tcPr>
            <w:tcMar>
              <w:top w:type="dxa" w:w="60"/>
              <w:left w:type="dxa" w:w="90"/>
              <w:bottom w:type="dxa" w:w="60"/>
              <w:right w:type="dxa" w:w="90"/>
            </w:tcMar>
          </w:tcPr>
          <w:p>
            <w:pPr>
              <w:spacing w:after="0"/>
            </w:pPr>
            <w:r>
              <w:rPr>
                <w:sz w:val="19"/>
                <w:szCs w:val="19"/>
              </w:rPr>
              <w:t xml:space="preserve">Excel-Import Schusszahlen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38</w:t>
            </w:r>
          </w:p>
        </w:tc>
        <w:tc>
          <w:tcPr>
            <w:tcMar>
              <w:top w:type="dxa" w:w="60"/>
              <w:left w:type="dxa" w:w="90"/>
              <w:bottom w:type="dxa" w:w="60"/>
              <w:right w:type="dxa" w:w="90"/>
            </w:tcMar>
          </w:tcPr>
          <w:p>
            <w:pPr>
              <w:spacing w:after="0"/>
            </w:pPr>
            <w:r>
              <w:rPr>
                <w:sz w:val="19"/>
                <w:szCs w:val="19"/>
              </w:rPr>
              <w:t xml:space="preserve">Geodatenbank mit Views für MGDM/ImmoGIS</w:t>
            </w:r>
          </w:p>
        </w:tc>
        <w:tc>
          <w:tcPr>
            <w:tcMar>
              <w:top w:type="dxa" w:w="60"/>
              <w:left w:type="dxa" w:w="90"/>
              <w:bottom w:type="dxa" w:w="60"/>
              <w:right w:type="dxa" w:w="90"/>
            </w:tcMar>
          </w:tcPr>
          <w:p>
            <w:pPr>
              <w:spacing w:after="0"/>
            </w:pPr>
            <w:r>
              <w:rPr>
                <w:sz w:val="19"/>
                <w:szCs w:val="19"/>
              </w:rPr>
              <w:t xml:space="preserve">2.3, 3.4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39</w:t>
            </w:r>
          </w:p>
        </w:tc>
        <w:tc>
          <w:tcPr>
            <w:tcMar>
              <w:top w:type="dxa" w:w="60"/>
              <w:left w:type="dxa" w:w="90"/>
              <w:bottom w:type="dxa" w:w="60"/>
              <w:right w:type="dxa" w:w="90"/>
            </w:tcMar>
          </w:tcPr>
          <w:p>
            <w:pPr>
              <w:spacing w:after="0"/>
            </w:pPr>
            <w:r>
              <w:rPr>
                <w:sz w:val="19"/>
                <w:szCs w:val="19"/>
              </w:rPr>
              <w:t xml:space="preserve">Alle Exporte mindestens CSV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 (Logbuch-Export P)</w:t>
            </w:r>
          </w:p>
        </w:tc>
      </w:tr>
      <w:tr>
        <w:trPr>
          <w:tblHeader w:val="false"/>
        </w:trPr>
        <w:tc>
          <w:tcPr>
            <w:tcMar>
              <w:top w:type="dxa" w:w="60"/>
              <w:left w:type="dxa" w:w="90"/>
              <w:bottom w:type="dxa" w:w="60"/>
              <w:right w:type="dxa" w:w="90"/>
            </w:tcMar>
          </w:tcPr>
          <w:p>
            <w:pPr>
              <w:spacing w:after="0"/>
            </w:pPr>
            <w:r>
              <w:rPr>
                <w:sz w:val="19"/>
                <w:szCs w:val="19"/>
              </w:rPr>
              <w:t xml:space="preserve">slm 40</w:t>
            </w:r>
          </w:p>
        </w:tc>
        <w:tc>
          <w:tcPr>
            <w:tcMar>
              <w:top w:type="dxa" w:w="60"/>
              <w:left w:type="dxa" w:w="90"/>
              <w:bottom w:type="dxa" w:w="60"/>
              <w:right w:type="dxa" w:w="90"/>
            </w:tcMar>
          </w:tcPr>
          <w:p>
            <w:pPr>
              <w:spacing w:after="0"/>
            </w:pPr>
            <w:r>
              <w:rPr>
                <w:sz w:val="19"/>
                <w:szCs w:val="19"/>
              </w:rPr>
              <w:t xml:space="preserve">Export Nutzungen gemäss B1.6</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41</w:t>
            </w:r>
          </w:p>
        </w:tc>
        <w:tc>
          <w:tcPr>
            <w:tcMar>
              <w:top w:type="dxa" w:w="60"/>
              <w:left w:type="dxa" w:w="90"/>
              <w:bottom w:type="dxa" w:w="60"/>
              <w:right w:type="dxa" w:w="90"/>
            </w:tcMar>
          </w:tcPr>
          <w:p>
            <w:pPr>
              <w:spacing w:after="0"/>
            </w:pPr>
            <w:r>
              <w:rPr>
                <w:sz w:val="19"/>
                <w:szCs w:val="19"/>
              </w:rPr>
              <w:t xml:space="preserve">Export Gesamtstatistik MPV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42</w:t>
            </w:r>
          </w:p>
        </w:tc>
        <w:tc>
          <w:tcPr>
            <w:tcMar>
              <w:top w:type="dxa" w:w="60"/>
              <w:left w:type="dxa" w:w="90"/>
              <w:bottom w:type="dxa" w:w="60"/>
              <w:right w:type="dxa" w:w="90"/>
            </w:tcMar>
          </w:tcPr>
          <w:p>
            <w:pPr>
              <w:spacing w:after="0"/>
            </w:pPr>
            <w:r>
              <w:rPr>
                <w:sz w:val="19"/>
                <w:szCs w:val="19"/>
              </w:rPr>
              <w:t xml:space="preserve">Übergeordnete Struktur zeitlich unabhängig</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43</w:t>
            </w:r>
          </w:p>
        </w:tc>
        <w:tc>
          <w:tcPr>
            <w:tcMar>
              <w:top w:type="dxa" w:w="60"/>
              <w:left w:type="dxa" w:w="90"/>
              <w:bottom w:type="dxa" w:w="60"/>
              <w:right w:type="dxa" w:w="90"/>
            </w:tcMar>
          </w:tcPr>
          <w:p>
            <w:pPr>
              <w:spacing w:after="0"/>
            </w:pPr>
            <w:r>
              <w:rPr>
                <w:sz w:val="19"/>
                <w:szCs w:val="19"/>
              </w:rPr>
              <w:t xml:space="preserve">Berechnungsstruktur je Immissionsberechnung/Zustand (ZustandsID)</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(Quellengewichte Z)</w:t>
            </w:r>
          </w:p>
        </w:tc>
      </w:tr>
      <w:tr>
        <w:trPr>
          <w:tblHeader w:val="false"/>
        </w:trPr>
        <w:tc>
          <w:tcPr>
            <w:tcMar>
              <w:top w:type="dxa" w:w="60"/>
              <w:left w:type="dxa" w:w="90"/>
              <w:bottom w:type="dxa" w:w="60"/>
              <w:right w:type="dxa" w:w="90"/>
            </w:tcMar>
          </w:tcPr>
          <w:p>
            <w:pPr>
              <w:spacing w:after="0"/>
            </w:pPr>
            <w:r>
              <w:rPr>
                <w:sz w:val="19"/>
                <w:szCs w:val="19"/>
              </w:rPr>
              <w:t xml:space="preserve">slm 44</w:t>
            </w:r>
          </w:p>
        </w:tc>
        <w:tc>
          <w:tcPr>
            <w:tcMar>
              <w:top w:type="dxa" w:w="60"/>
              <w:left w:type="dxa" w:w="90"/>
              <w:bottom w:type="dxa" w:w="60"/>
              <w:right w:type="dxa" w:w="90"/>
            </w:tcMar>
          </w:tcPr>
          <w:p>
            <w:pPr>
              <w:spacing w:after="0"/>
            </w:pPr>
            <w:r>
              <w:rPr>
                <w:sz w:val="19"/>
                <w:szCs w:val="19"/>
              </w:rPr>
              <w:t xml:space="preserve">Nutzungsperiode × Berechnungsstand frei kombinierbar</w:t>
            </w:r>
          </w:p>
        </w:tc>
        <w:tc>
          <w:tcPr>
            <w:tcMar>
              <w:top w:type="dxa" w:w="60"/>
              <w:left w:type="dxa" w:w="90"/>
              <w:bottom w:type="dxa" w:w="60"/>
              <w:right w:type="dxa" w:w="90"/>
            </w:tcMar>
          </w:tcPr>
          <w:p>
            <w:pPr>
              <w:spacing w:after="0"/>
            </w:pPr>
            <w:r>
              <w:rPr>
                <w:sz w:val="19"/>
                <w:szCs w:val="19"/>
              </w:rPr>
              <w:t xml:space="preserve">2.3, 4.1</w:t>
            </w:r>
          </w:p>
        </w:tc>
        <w:tc>
          <w:tcPr>
            <w:tcMar>
              <w:top w:type="dxa" w:w="60"/>
              <w:left w:type="dxa" w:w="90"/>
              <w:bottom w:type="dxa" w:w="60"/>
              <w:right w:type="dxa" w:w="90"/>
            </w:tcMar>
          </w:tcPr>
          <w:p>
            <w:pPr>
              <w:spacing w:after="0"/>
            </w:pPr>
            <w:r>
              <w:rPr>
                <w:sz w:val="19"/>
                <w:szCs w:val="19"/>
              </w:rPr>
              <w:t xml:space="preserve">P (Berechnungsstand Z)</w:t>
            </w:r>
          </w:p>
        </w:tc>
      </w:tr>
      <w:tr>
        <w:trPr>
          <w:tblHeader w:val="false"/>
        </w:trPr>
        <w:tc>
          <w:tcPr>
            <w:tcMar>
              <w:top w:type="dxa" w:w="60"/>
              <w:left w:type="dxa" w:w="90"/>
              <w:bottom w:type="dxa" w:w="60"/>
              <w:right w:type="dxa" w:w="90"/>
            </w:tcMar>
          </w:tcPr>
          <w:p>
            <w:pPr>
              <w:spacing w:after="0"/>
            </w:pPr>
            <w:r>
              <w:rPr>
                <w:sz w:val="19"/>
                <w:szCs w:val="19"/>
              </w:rPr>
              <w:t xml:space="preserve">slm 45</w:t>
            </w:r>
          </w:p>
        </w:tc>
        <w:tc>
          <w:tcPr>
            <w:tcMar>
              <w:top w:type="dxa" w:w="60"/>
              <w:left w:type="dxa" w:w="90"/>
              <w:bottom w:type="dxa" w:w="60"/>
              <w:right w:type="dxa" w:w="90"/>
            </w:tcMar>
          </w:tcPr>
          <w:p>
            <w:pPr>
              <w:spacing w:after="0"/>
            </w:pPr>
            <w:r>
              <w:rPr>
                <w:sz w:val="19"/>
                <w:szCs w:val="19"/>
              </w:rPr>
              <w:t xml:space="preserve">Stellungsraum-Abgleich beim Import, Abbruch mit Warnung</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 (Regel P)</w:t>
            </w:r>
          </w:p>
        </w:tc>
      </w:tr>
      <w:tr>
        <w:trPr>
          <w:tblHeader w:val="false"/>
        </w:trPr>
        <w:tc>
          <w:tcPr>
            <w:tcMar>
              <w:top w:type="dxa" w:w="60"/>
              <w:left w:type="dxa" w:w="90"/>
              <w:bottom w:type="dxa" w:w="60"/>
              <w:right w:type="dxa" w:w="90"/>
            </w:tcMar>
          </w:tcPr>
          <w:p>
            <w:pPr>
              <w:spacing w:after="0"/>
            </w:pPr>
            <w:r>
              <w:rPr>
                <w:sz w:val="19"/>
                <w:szCs w:val="19"/>
              </w:rPr>
              <w:t xml:space="preserve">slm 46</w:t>
            </w:r>
          </w:p>
        </w:tc>
        <w:tc>
          <w:tcPr>
            <w:tcMar>
              <w:top w:type="dxa" w:w="60"/>
              <w:left w:type="dxa" w:w="90"/>
              <w:bottom w:type="dxa" w:w="60"/>
              <w:right w:type="dxa" w:w="90"/>
            </w:tcMar>
          </w:tcPr>
          <w:p>
            <w:pPr>
              <w:spacing w:after="0"/>
            </w:pPr>
            <w:r>
              <w:rPr>
                <w:sz w:val="19"/>
                <w:szCs w:val="19"/>
              </w:rPr>
              <w:t xml:space="preserve">QR-Einstieg je Stellungsraum (Option Kap. 11)</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47</w:t>
            </w:r>
          </w:p>
        </w:tc>
        <w:tc>
          <w:tcPr>
            <w:tcMar>
              <w:top w:type="dxa" w:w="60"/>
              <w:left w:type="dxa" w:w="90"/>
              <w:bottom w:type="dxa" w:w="60"/>
              <w:right w:type="dxa" w:w="90"/>
            </w:tcMar>
          </w:tcPr>
          <w:p>
            <w:pPr>
              <w:spacing w:after="0"/>
            </w:pPr>
            <w:r>
              <w:rPr>
                <w:sz w:val="19"/>
                <w:szCs w:val="19"/>
              </w:rPr>
              <w:t xml:space="preserve">Erfassungsmaske über QR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48</w:t>
            </w:r>
          </w:p>
        </w:tc>
        <w:tc>
          <w:tcPr>
            <w:tcMar>
              <w:top w:type="dxa" w:w="60"/>
              <w:left w:type="dxa" w:w="90"/>
              <w:bottom w:type="dxa" w:w="60"/>
              <w:right w:type="dxa" w:w="90"/>
            </w:tcMar>
          </w:tcPr>
          <w:p>
            <w:pPr>
              <w:spacing w:after="0"/>
            </w:pPr>
            <w:r>
              <w:rPr>
                <w:sz w:val="19"/>
                <w:szCs w:val="19"/>
              </w:rPr>
              <w:t xml:space="preserve">Offline-Entwürfe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49</w:t>
            </w:r>
          </w:p>
        </w:tc>
        <w:tc>
          <w:tcPr>
            <w:tcMar>
              <w:top w:type="dxa" w:w="60"/>
              <w:left w:type="dxa" w:w="90"/>
              <w:bottom w:type="dxa" w:w="60"/>
              <w:right w:type="dxa" w:w="90"/>
            </w:tcMar>
          </w:tcPr>
          <w:p>
            <w:pPr>
              <w:spacing w:after="0"/>
            </w:pPr>
            <w:r>
              <w:rPr>
                <w:sz w:val="19"/>
                <w:szCs w:val="19"/>
              </w:rPr>
              <w:t xml:space="preserve">Signierte QR-Codes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50</w:t>
            </w:r>
          </w:p>
        </w:tc>
        <w:tc>
          <w:tcPr>
            <w:tcMar>
              <w:top w:type="dxa" w:w="60"/>
              <w:left w:type="dxa" w:w="90"/>
              <w:bottom w:type="dxa" w:w="60"/>
              <w:right w:type="dxa" w:w="90"/>
            </w:tcMar>
          </w:tcPr>
          <w:p>
            <w:pPr>
              <w:spacing w:after="0"/>
            </w:pPr>
            <w:r>
              <w:rPr>
                <w:sz w:val="19"/>
                <w:szCs w:val="19"/>
              </w:rPr>
              <w:t xml:space="preserve">Persistente Einstellungen, Favoriten, Ausblenden nicht autorisierter Funktionen</w:t>
            </w:r>
          </w:p>
        </w:tc>
        <w:tc>
          <w:tcPr>
            <w:tcMar>
              <w:top w:type="dxa" w:w="60"/>
              <w:left w:type="dxa" w:w="90"/>
              <w:bottom w:type="dxa" w:w="60"/>
              <w:right w:type="dxa" w:w="90"/>
            </w:tcMar>
          </w:tcPr>
          <w:p>
            <w:pPr>
              <w:spacing w:after="0"/>
            </w:pPr>
            <w:r>
              <w:rPr>
                <w:sz w:val="19"/>
                <w:szCs w:val="19"/>
              </w:rPr>
              <w:t xml:space="preserve">5.1, 5.3</w:t>
            </w:r>
          </w:p>
        </w:tc>
        <w:tc>
          <w:tcPr>
            <w:tcMar>
              <w:top w:type="dxa" w:w="60"/>
              <w:left w:type="dxa" w:w="90"/>
              <w:bottom w:type="dxa" w:w="60"/>
              <w:right w:type="dxa" w:w="90"/>
            </w:tcMar>
          </w:tcPr>
          <w:p>
            <w:pPr>
              <w:spacing w:after="0"/>
            </w:pPr>
            <w:r>
              <w:rPr>
                <w:sz w:val="19"/>
                <w:szCs w:val="19"/>
              </w:rPr>
              <w:t xml:space="preserve">P (Favoriten, CASL Z)</w:t>
            </w:r>
          </w:p>
        </w:tc>
      </w:tr>
      <w:tr>
        <w:trPr>
          <w:tblHeader w:val="false"/>
        </w:trPr>
        <w:tc>
          <w:tcPr>
            <w:tcMar>
              <w:top w:type="dxa" w:w="60"/>
              <w:left w:type="dxa" w:w="90"/>
              <w:bottom w:type="dxa" w:w="60"/>
              <w:right w:type="dxa" w:w="90"/>
            </w:tcMar>
          </w:tcPr>
          <w:p>
            <w:pPr>
              <w:spacing w:after="0"/>
            </w:pPr>
            <w:r>
              <w:rPr>
                <w:sz w:val="19"/>
                <w:szCs w:val="19"/>
              </w:rPr>
              <w:t xml:space="preserve">slm 51</w:t>
            </w:r>
          </w:p>
        </w:tc>
        <w:tc>
          <w:tcPr>
            <w:tcMar>
              <w:top w:type="dxa" w:w="60"/>
              <w:left w:type="dxa" w:w="90"/>
              <w:bottom w:type="dxa" w:w="60"/>
              <w:right w:type="dxa" w:w="90"/>
            </w:tcMar>
          </w:tcPr>
          <w:p>
            <w:pPr>
              <w:spacing w:after="0"/>
            </w:pPr>
            <w:r>
              <w:rPr>
                <w:sz w:val="19"/>
                <w:szCs w:val="19"/>
              </w:rPr>
              <w:t xml:space="preserve">Deutsche Bezeichnungen der DB-Objekte</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(Tabellen; Spalten Z)</w:t>
            </w:r>
          </w:p>
        </w:tc>
      </w:tr>
      <w:tr>
        <w:trPr>
          <w:tblHeader w:val="false"/>
        </w:trPr>
        <w:tc>
          <w:tcPr>
            <w:tcMar>
              <w:top w:type="dxa" w:w="60"/>
              <w:left w:type="dxa" w:w="90"/>
              <w:bottom w:type="dxa" w:w="60"/>
              <w:right w:type="dxa" w:w="90"/>
            </w:tcMar>
          </w:tcPr>
          <w:p>
            <w:pPr>
              <w:spacing w:after="0"/>
            </w:pPr>
            <w:r>
              <w:rPr>
                <w:sz w:val="19"/>
                <w:szCs w:val="19"/>
              </w:rPr>
              <w:t xml:space="preserve">slm 52</w:t>
            </w:r>
          </w:p>
        </w:tc>
        <w:tc>
          <w:tcPr>
            <w:tcMar>
              <w:top w:type="dxa" w:w="60"/>
              <w:left w:type="dxa" w:w="90"/>
              <w:bottom w:type="dxa" w:w="60"/>
              <w:right w:type="dxa" w:w="90"/>
            </w:tcMar>
          </w:tcPr>
          <w:p>
            <w:pPr>
              <w:spacing w:after="0"/>
            </w:pPr>
            <w:r>
              <w:rPr>
                <w:sz w:val="19"/>
                <w:szCs w:val="19"/>
              </w:rPr>
              <w:t xml:space="preserve">Ergonomie, Barrierefreiheit</w:t>
            </w:r>
          </w:p>
        </w:tc>
        <w:tc>
          <w:tcPr>
            <w:tcMar>
              <w:top w:type="dxa" w:w="60"/>
              <w:left w:type="dxa" w:w="90"/>
              <w:bottom w:type="dxa" w:w="60"/>
              <w:right w:type="dxa" w:w="90"/>
            </w:tcMar>
          </w:tcPr>
          <w:p>
            <w:pPr>
              <w:spacing w:after="0"/>
            </w:pPr>
            <w:r>
              <w:rPr>
                <w:sz w:val="19"/>
                <w:szCs w:val="19"/>
              </w:rPr>
              <w:t xml:space="preserve">5.4, 6.3</w:t>
            </w:r>
          </w:p>
        </w:tc>
        <w:tc>
          <w:tcPr>
            <w:tcMar>
              <w:top w:type="dxa" w:w="60"/>
              <w:left w:type="dxa" w:w="90"/>
              <w:bottom w:type="dxa" w:w="60"/>
              <w:right w:type="dxa" w:w="90"/>
            </w:tcMar>
          </w:tcPr>
          <w:p>
            <w:pPr>
              <w:spacing w:after="0"/>
            </w:pPr>
            <w:r>
              <w:rPr>
                <w:sz w:val="19"/>
                <w:szCs w:val="19"/>
              </w:rPr>
              <w:t xml:space="preserve">Z (Grundlagen P; Standard FAQ 9)</w:t>
            </w:r>
          </w:p>
        </w:tc>
      </w:tr>
      <w:tr>
        <w:trPr>
          <w:tblHeader w:val="false"/>
        </w:trPr>
        <w:tc>
          <w:tcPr>
            <w:tcMar>
              <w:top w:type="dxa" w:w="60"/>
              <w:left w:type="dxa" w:w="90"/>
              <w:bottom w:type="dxa" w:w="60"/>
              <w:right w:type="dxa" w:w="90"/>
            </w:tcMar>
          </w:tcPr>
          <w:p>
            <w:pPr>
              <w:spacing w:after="0"/>
            </w:pPr>
            <w:r>
              <w:rPr>
                <w:sz w:val="19"/>
                <w:szCs w:val="19"/>
              </w:rPr>
              <w:t xml:space="preserve">slm 53</w:t>
            </w:r>
          </w:p>
        </w:tc>
        <w:tc>
          <w:tcPr>
            <w:tcMar>
              <w:top w:type="dxa" w:w="60"/>
              <w:left w:type="dxa" w:w="90"/>
              <w:bottom w:type="dxa" w:w="60"/>
              <w:right w:type="dxa" w:w="90"/>
            </w:tcMar>
          </w:tcPr>
          <w:p>
            <w:pPr>
              <w:spacing w:after="0"/>
            </w:pPr>
            <w:r>
              <w:rPr>
                <w:sz w:val="19"/>
                <w:szCs w:val="19"/>
              </w:rPr>
              <w:t xml:space="preserve">Handbuch und kontextsensitive Hilfe</w:t>
            </w:r>
          </w:p>
        </w:tc>
        <w:tc>
          <w:tcPr>
            <w:tcMar>
              <w:top w:type="dxa" w:w="60"/>
              <w:left w:type="dxa" w:w="90"/>
              <w:bottom w:type="dxa" w:w="60"/>
              <w:right w:type="dxa" w:w="90"/>
            </w:tcMar>
          </w:tcPr>
          <w:p>
            <w:pPr>
              <w:spacing w:after="0"/>
            </w:pPr>
            <w:r>
              <w:rPr>
                <w:sz w:val="19"/>
                <w:szCs w:val="19"/>
              </w:rPr>
              <w:t xml:space="preserve">6.4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54</w:t>
            </w:r>
          </w:p>
        </w:tc>
        <w:tc>
          <w:tcPr>
            <w:tcMar>
              <w:top w:type="dxa" w:w="60"/>
              <w:left w:type="dxa" w:w="90"/>
              <w:bottom w:type="dxa" w:w="60"/>
              <w:right w:type="dxa" w:w="90"/>
            </w:tcMar>
          </w:tcPr>
          <w:p>
            <w:pPr>
              <w:spacing w:after="0"/>
            </w:pPr>
            <w:r>
              <w:rPr>
                <w:sz w:val="19"/>
                <w:szCs w:val="19"/>
              </w:rPr>
              <w:t xml:space="preserve">Performance, Ressourcenisolation, 10 Nutzer</w:t>
            </w:r>
          </w:p>
        </w:tc>
        <w:tc>
          <w:tcPr>
            <w:tcMar>
              <w:top w:type="dxa" w:w="60"/>
              <w:left w:type="dxa" w:w="90"/>
              <w:bottom w:type="dxa" w:w="60"/>
              <w:right w:type="dxa" w:w="90"/>
            </w:tcMar>
          </w:tcPr>
          <w:p>
            <w:pPr>
              <w:spacing w:after="0"/>
            </w:pPr>
            <w:r>
              <w:rPr>
                <w:sz w:val="19"/>
                <w:szCs w:val="19"/>
              </w:rPr>
              <w:t xml:space="preserve">4.4, 6.2</w:t>
            </w:r>
          </w:p>
        </w:tc>
        <w:tc>
          <w:tcPr>
            <w:tcMar>
              <w:top w:type="dxa" w:w="60"/>
              <w:left w:type="dxa" w:w="90"/>
              <w:bottom w:type="dxa" w:w="60"/>
              <w:right w:type="dxa" w:w="90"/>
            </w:tcMar>
          </w:tcPr>
          <w:p>
            <w:pPr>
              <w:spacing w:after="0"/>
            </w:pPr>
            <w:r>
              <w:rPr>
                <w:sz w:val="19"/>
                <w:szCs w:val="19"/>
              </w:rPr>
              <w:t xml:space="preserve">Z (Kernmessung P)</w:t>
            </w:r>
          </w:p>
        </w:tc>
      </w:tr>
      <w:tr>
        <w:trPr>
          <w:tblHeader w:val="false"/>
        </w:trPr>
        <w:tc>
          <w:tcPr>
            <w:tcMar>
              <w:top w:type="dxa" w:w="60"/>
              <w:left w:type="dxa" w:w="90"/>
              <w:bottom w:type="dxa" w:w="60"/>
              <w:right w:type="dxa" w:w="90"/>
            </w:tcMar>
          </w:tcPr>
          <w:p>
            <w:pPr>
              <w:spacing w:after="0"/>
            </w:pPr>
            <w:r>
              <w:rPr>
                <w:sz w:val="19"/>
                <w:szCs w:val="19"/>
              </w:rPr>
              <w:t xml:space="preserve">slm 55</w:t>
            </w:r>
          </w:p>
        </w:tc>
        <w:tc>
          <w:tcPr>
            <w:tcMar>
              <w:top w:type="dxa" w:w="60"/>
              <w:left w:type="dxa" w:w="90"/>
              <w:bottom w:type="dxa" w:w="60"/>
              <w:right w:type="dxa" w:w="90"/>
            </w:tcMar>
          </w:tcPr>
          <w:p>
            <w:pPr>
              <w:spacing w:after="0"/>
            </w:pPr>
            <w:r>
              <w:rPr>
                <w:sz w:val="19"/>
                <w:szCs w:val="19"/>
              </w:rPr>
              <w:t xml:space="preserve">Wartbarkeit, Konfiguration ohne Rekompilierung</w:t>
            </w:r>
          </w:p>
        </w:tc>
        <w:tc>
          <w:tcPr>
            <w:tcMar>
              <w:top w:type="dxa" w:w="60"/>
              <w:left w:type="dxa" w:w="90"/>
              <w:bottom w:type="dxa" w:w="60"/>
              <w:right w:type="dxa" w:w="90"/>
            </w:tcMar>
          </w:tcPr>
          <w:p>
            <w:pPr>
              <w:spacing w:after="0"/>
            </w:pPr>
            <w:r>
              <w:rPr>
                <w:sz w:val="19"/>
                <w:szCs w:val="19"/>
              </w:rPr>
              <w:t xml:space="preserve">6.1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Authentifizierung, Break-Glass, Login-Logging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(Break-Glass-Prozess Z)</w:t>
            </w:r>
          </w:p>
        </w:tc>
      </w:tr>
      <w:tr>
        <w:trPr>
          <w:tblHeader w:val="false"/>
        </w:trPr>
        <w:tc>
          <w:tcPr>
            <w:tcMar>
              <w:top w:type="dxa" w:w="60"/>
              <w:left w:type="dxa" w:w="90"/>
              <w:bottom w:type="dxa" w:w="60"/>
              <w:right w:type="dxa" w:w="90"/>
            </w:tcMar>
          </w:tcPr>
          <w:p>
            <w:pPr>
              <w:spacing w:after="0"/>
            </w:pPr>
            <w:r>
              <w:rPr>
                <w:sz w:val="19"/>
                <w:szCs w:val="19"/>
              </w:rPr>
              <w:t xml:space="preserve">slm 57</w:t>
            </w:r>
          </w:p>
        </w:tc>
        <w:tc>
          <w:tcPr>
            <w:tcMar>
              <w:top w:type="dxa" w:w="60"/>
              <w:left w:type="dxa" w:w="90"/>
              <w:bottom w:type="dxa" w:w="60"/>
              <w:right w:type="dxa" w:w="90"/>
            </w:tcMar>
          </w:tcPr>
          <w:p>
            <w:pPr>
              <w:spacing w:after="0"/>
            </w:pPr>
            <w:r>
              <w:rPr>
                <w:sz w:val="19"/>
                <w:szCs w:val="19"/>
              </w:rPr>
              <w:t xml:space="preserve">Backupüberwachung mit Alarm</w:t>
            </w:r>
          </w:p>
        </w:tc>
        <w:tc>
          <w:tcPr>
            <w:tcMar>
              <w:top w:type="dxa" w:w="60"/>
              <w:left w:type="dxa" w:w="90"/>
              <w:bottom w:type="dxa" w:w="60"/>
              <w:right w:type="dxa" w:w="90"/>
            </w:tcMar>
          </w:tcPr>
          <w:p>
            <w:pPr>
              <w:spacing w:after="0"/>
            </w:pPr>
            <w:r>
              <w:rPr>
                <w:sz w:val="19"/>
                <w:szCs w:val="19"/>
              </w:rPr>
              <w:t xml:space="preserve">2.5</w:t>
            </w:r>
          </w:p>
        </w:tc>
        <w:tc>
          <w:tcPr>
            <w:tcMar>
              <w:top w:type="dxa" w:w="60"/>
              <w:left w:type="dxa" w:w="90"/>
              <w:bottom w:type="dxa" w:w="60"/>
              <w:right w:type="dxa" w:w="90"/>
            </w:tcMar>
          </w:tcPr>
          <w:p>
            <w:pPr>
              <w:spacing w:after="0"/>
            </w:pPr>
            <w:r>
              <w:rPr>
                <w:sz w:val="19"/>
                <w:szCs w:val="19"/>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3b539b8b7fc55c608f72cbbcd7f9433823ddf8.png"/><Relationship Id="rId9" Type="http://schemas.openxmlformats.org/officeDocument/2006/relationships/image" Target="media/b01bb62c4e6cb2af1790dd71622662e378f9b2ad.png"/><Relationship Id="rId10" Type="http://schemas.openxmlformats.org/officeDocument/2006/relationships/image" Target="media/2f4934436884b84698e3bdac92c4b1b723c0285b.png"/><Relationship Id="rId11" Type="http://schemas.openxmlformats.org/officeDocument/2006/relationships/image" Target="media/1e93139d99ebf89de9ccbc87ce420af7abe31182.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2026-09-11T21:55:48.820Z</dcterms:created>
  <dcterms:modified xsi:type="dcterms:W3CDTF">2026-09-11T21:55:48.820Z</dcterms:modified>
</cp:coreProperties>
</file>

<file path=docProps/custom.xml><?xml version="1.0" encoding="utf-8"?>
<Properties xmlns="http://schemas.openxmlformats.org/officeDocument/2006/custom-properties" xmlns:vt="http://schemas.openxmlformats.org/officeDocument/2006/docPropsVTypes"/>
</file>