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Deutsch, Französisch und Italienisch (Englisch zusätzlich).</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vorbestehenden, in einem produktiven Bundessystem erprobten Komponenten; SLIM läuft als eigene Instanz mit eigener Datenbank, eigenen Geheimnissen und eigenen Fachberechtigungen.</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924425"/>
                    </a:xfrm>
                    <a:prstGeom prst="rect">
                      <a:avLst/>
                    </a:prstGeom>
                  </pic:spPr>
                </pic:pic>
              </a:graphicData>
            </a:graphic>
          </wp:inline>
        </w:drawing>
      </w:r>
    </w:p>
    <w:p>
      <w:pPr>
        <w:spacing w:after="120"/>
      </w:pPr>
      <w:r>
        <w:t xml:space="preserve">Die Skizze zeigt die Zielarchitektur; gestrichelte Elemente fehlen im Prototyp noch (Kartenviewer, Import/Export, Worker-Container, Views), die Datenbank läuft im Prototyp auf SQLite/MariaDB statt PostgreSQL/PostGIS.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(vorbestehende Komponenten, produktiv erprobt)</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(Nachweis je Komponente: produktiv erprobt / in SLIM integriert / in SLIM getestet); SLIM ergänzt die Fachrollen und betreibt eine eigene Instanz</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räumliche Indizes, lesende Views für MGDM/ImmoGIS, FGDB-Austausch über GDAL. PostGIS (GPL) wird ausschliesslich als unveränderter Datenbankdienst genutzt – keine Verlinkung mit SLIM-Code, keine Copyleft-Wirkung. Der Prototyp läuft über TypeORM heute auf SQLite/MariaDB; der Treiber ist Konfiguration (</w:t>
            </w:r>
            <w:r>
              <w:rPr>
                <w:rFonts w:ascii="Consolas" w:cs="Consolas" w:eastAsia="Consolas" w:hAnsi="Consolas"/>
                <w:sz w:val="19"/>
                <w:szCs w:val="19"/>
                <w:shd w:fill="F2F2F2" w:val="clear"/>
              </w:rPr>
              <w:t xml:space="preserve">pg</w:t>
            </w:r>
            <w:r>
              <w:rPr>
                <w:sz w:val="19"/>
                <w:szCs w:val="19"/>
              </w:rPr>
              <w:t xml:space="preserve"> installiert), die Umstellung auf PostgreSQL/PostGIS ist der nächste Schritt vor Abgabe</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(OpenFileGDB-Treiber mit Schreibunterstützung inkl. Domänen und Beziehungsklassen), ExcelJS</w:t>
            </w:r>
          </w:p>
        </w:tc>
        <w:tc>
          <w:tcPr>
            <w:tcMar>
              <w:top w:type="dxa" w:w="60"/>
              <w:left w:type="dxa" w:w="90"/>
              <w:bottom w:type="dxa" w:w="60"/>
              <w:right w:type="dxa" w:w="90"/>
            </w:tcMar>
          </w:tcPr>
          <w:p>
            <w:pPr>
              <w:spacing w:after="0"/>
            </w:pPr>
            <w:r>
              <w:rPr>
                <w:sz w:val="19"/>
                <w:szCs w:val="19"/>
              </w:rPr>
              <w:t xml:space="preserve">Lesen und Schreiben von File-Geodatabases nach dem Schema B1.2 sowie Excel mit Standardbibliotheken; Lese-/Schreibprobe mit dem B1.2-Schema vor Abgabe</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vorbestehende Software im Sinne von Art. 6.2.4 der Vertragsbedingungen: Sie wird in der SBOM deklariert, die Auftraggeberin erhält daran ein zeitlich unbefristetes, übertragbares Nutzungsrecht für Betrieb, Wartung und Weiterentwicklung sowie den Quellcode als Teil der Lieferung (Art. 6.1.7); eine Freigabe unter einer Open-Source-Lizenz (MIT/Apache) wird geprüft [OFFEN: Rechteinhaberin, Lizenztext und OSS-Entscheid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Hierarchie nach B1 5.18 und Kapitel 10: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genau ein Zustand je Schiessplatz ist «aktuell gültig» und genau einer «Stand MGDM» (Datenbank-Constraint); die Zustände tragen Quellen, Empfangspunkte und WLR-Werte je Empfangspunkt × Quelle. Davon getrennt sind die veränderlichen Auswahlzeiger (gültig/MGDM) und die unveränderlichen Berechnungsstände (Ergebnisläufe).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wie 1104.020, ZustandsID, QuellenID, sonARMS_ID) bleiben als eigene Attribute erhalten; interne Schlüssel sind UUIDs. Physische Datenbankobjekte werden deutsch benannt (B1 12.2, slm 51: </w:t>
      </w:r>
      <w:r>
        <w:rPr>
          <w:rFonts w:ascii="Consolas" w:cs="Consolas" w:eastAsia="Consolas" w:hAnsi="Consolas"/>
          <w:sz w:val="20"/>
          <w:szCs w:val="20"/>
          <w:shd w:fill="F2F2F2" w:val="clear"/>
        </w:rPr>
        <w:t xml:space="preserve">schiessplatz</w:t>
      </w:r>
      <w:r>
        <w:t xml:space="preserve">, </w:t>
      </w:r>
      <w:r>
        <w:rPr>
          <w:rFonts w:ascii="Consolas" w:cs="Consolas" w:eastAsia="Consolas" w:hAnsi="Consolas"/>
          <w:sz w:val="20"/>
          <w:szCs w:val="20"/>
          <w:shd w:fill="F2F2F2" w:val="clear"/>
        </w:rPr>
        <w:t xml:space="preserve">stellungsraum</w:t>
      </w:r>
      <w:r>
        <w:t xml:space="preserve">, </w:t>
      </w:r>
      <w:r>
        <w:rPr>
          <w:rFonts w:ascii="Consolas" w:cs="Consolas" w:eastAsia="Consolas" w:hAnsi="Consolas"/>
          <w:sz w:val="20"/>
          <w:szCs w:val="20"/>
          <w:shd w:fill="F2F2F2" w:val="clear"/>
        </w:rPr>
        <w:t xml:space="preserve">nutzung</w:t>
      </w:r>
      <w:r>
        <w:t xml:space="preserve">, …) – die englischen Klassennamen des Codes und der Skizze sind logische Namen, die Abbildung erfolgt in der Entity-Definition und wird per Migration getestet.</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Stellungsräume lassen sich zu Anlagen gruppieren; die Beurteilung erfolgt wahlweise je Anlage oder platzweit (B1 7.3, Abgrenzung im Refinement zu entscheiden). Jede Tabelle trägt </w:t>
      </w:r>
      <w:r>
        <w:rPr>
          <w:rFonts w:ascii="Consolas" w:cs="Consolas" w:eastAsia="Consolas" w:hAnsi="Consolas"/>
          <w:sz w:val="20"/>
          <w:szCs w:val="20"/>
          <w:shd w:fill="F2F2F2" w:val="clear"/>
        </w:rPr>
        <w:t xml:space="preserve">tenantId</w:t>
      </w:r>
      <w:r>
        <w:t xml:space="preserve"> – der Mandant trennt Umgebungen innerhalb von SLIM (Demo, Akzeptanz, Produktion); SLIM hat eine eigene Instanz und Datenbank ohne gemeinsame Laufzeit mit ELO –, Zeitstempel und Löschmarke; das Schema wird per Migration versioniert und als ERD automatisch dokumentiert. </w:t>
      </w:r>
      <w:r>
        <w:rPr>
          <w:i/>
          <w:iCs/>
        </w:rPr>
        <w:t xml:space="preserve">Prototyp:</w:t>
      </w:r>
      <w:r>
        <w:t xml:space="preserve"> Kernmodell (Schiessplatz, Stellungsraum, Kombination, Zustand, Empfangspunkt, WLR, Nutzung) umgesetzt mit genau einer Quelle je Kombination, ganzzahligen Schusszahlen, englischen Tabellennamen und Live-Berechnung; Berechnungshierarchie, Quellengewichte, Dezimalmengen, deutsche Tabellennamen und Berechnungsstand sind Zielzustand. Der Demo-Datensatz «SLIM Demo» mit neun Schiessplätzen wird aus diesem Modell erzeugt.</w:t>
      </w:r>
    </w:p>
    <w:p>
      <w:pPr>
        <w:spacing w:after="160" w:before="120"/>
        <w:jc w:val="center"/>
      </w:pPr>
      <w:r>
        <w:drawing>
          <wp:inline distT="0" distB="0" distL="0" distR="0">
            <wp:extent cx="47815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6193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Zwei-Faktor-Anmeldung – im Zielzustand mit TOTP-App (RFC 6238; Enrollment per QR-Code bei der ersten Anmeldung, Seeds verschlüsselt gespeichert, Wiederherstellung über einmalige Backup-Codes oder Rücksetzung durch den Applikationsadministrator im Vier-Augen-Prinzip, kein E-Mail-Umweg um den zweiten Faktor); der E-Mail-Code des Prototyps wird damit abgelöst –, damit ist «MFA oder AGOV» erfüllt. Entscheid der Anbieterin gemäss FAQ 27: MFA in SLIM, weil alle Nutzer über die VBS-Benutzerverwaltung geführt werden und keine Anschlussvereinbarung mit der Bundeskanzlei nötig ist; AGOV (OIDC) ist als vorbereitete Option für externe Nutzer beschrieben und kann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per E-Mail-Code, Logbuch inkl. aller Auth-Ereignisse umgesetzt und getestet; TOTP und CASL-Ableitung folgen.</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(Zugang nur mit MFA und aus zugelassenen Netzen, Si001 Fernzugriff).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Release im Wartungsfenster mit Schreibpause, PostgreSQL-Sicherung mit archivierten WAL-Segmenten (Point-in-Time-Recovery), Rückfall = Wiederherstellung auf den Zeitpunkt vor dem Release; die Rückfallgrenze (bis wann ein Rückfall ohne Datenverlust möglich ist) wird je Release festgelegt und kommuniziert. Der Rückfall wird auf dem Akzeptanzsystem geprobt. Sicherung (B1 12.8, FAQ 14): automatisch täglich und manuell vor Releases/Importen, Mehrgenerationen über zwölf Monate, RPO ein Tag, RTO zwei Tage, Integritätsprüfung jeder Sicherung (Prüfsumme und Probe-Restore), Alarm bei fehlender oder fehlerhafter Sicherung (slm 57), jährlicher Restore-Test, Kopie am Betriebsstandort und in einem zweiten Schweizer Standort, lesbarer Datendump (SQL/CSV) auf Verlangen.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 OAuth2 Client Credentials oder mTLS, Entscheid mit der Auftraggeberin, mit Schlüsselrotation und IP-Allowlist –,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der Migration (B1 9.2, FAQ 28): Die Auftraggeberin bereitet die Daten in rund drei Monaten per ETL auf und verantwortet ihre Qualität; SLIM liefert das Zielformat und den Prüfbericht; Probemigration auf dem Akzeptanzsystem mit Mengenabgleich (Schiessplätze, Stellungsräume, Zuordnungen, Nutzungen je Jahr) und fachlicher Stichprobe, Freigabe durch die Auftraggeberin, dann Produktivmigration im Wartungsfenster mit Sicherung davor (Testdaten gemäss Mitwirkungspflichten A1.1, Ziffer 6).</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und werden über die sonARMS_ID (B1.2 V5) abgeglichen,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(kein Laden ganzer Dateien in den Speicher),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39); davon getrennt der vollständige Nutzungsexport mit allen Attributen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kein Zugriff auf Auth- und Mandantentabellen, protokolliert); der Zugriffsweg ist ein dedizierter, TLS-verschlüsselter Datenbankendpunkt im Netzsegment der Auftraggeberin oder über VPN, mit IP-Allowlist – die Datenbank ist nie öffentlich erreichbar; Details werden mit Provider und Auftraggeberin festgelegt;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den Pegeln je Empfangspunkt × Quelle – für Anhang 9 der LAE aus WLR_Day (Tag) und WLR_Eve (Abend), für Anhang 7 der LAFmax aus WLR_Day (B1 7.6.1/7.6.2; die Zuordnung der Dateien erfolgt über ihr Format, nicht über den Dateinamen)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ein Halbtag zählt 1 bei mehr als zwei Stunden Schiesszeit, sonst ½, LSV Anhang 7 Ziffer 32). Betrachtungszeitraum: Der Benutzer wählt je Berechnung die repräsentativen Jahre – Standard drei, auch nicht aufeinanderfolgende (z. B. 2020, 2023, 2025) – oder einen beliebigen Zeitraum (B1 7.4.5); die Betriebsdaten werden als Jahresmittel über diese Auswahl gebildet.</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 Sind alle Gewichte einer Kombination null (keine Betriebsdaten in der Grundlage), wird gleichverteilt und der Fall im Prüfbericht des Zustands gemeldet.</w:t>
      </w:r>
    </w:p>
    <w:p>
      <w:pPr>
        <w:pStyle w:val="ListParagraph"/>
        <w:numPr>
          <w:ilvl w:val="0"/>
          <w:numId w:val="3"/>
        </w:numPr>
        <w:spacing w:after="40"/>
      </w:pPr>
      <w:r>
        <w:t xml:space="preserve">Beurteilungspegel je Empfangspunkt (LSV): Anhang 9 mit LAE1 = energetisches Mittel der Tag-Quellen + 10·log(Schuss Tag), LAE2 analog für den Abend, Lr = 10·log(10^(0.1·LAE1) + 10^(0.1·(LAE2 + K2))) − 10·log(T) mit K1 = 5, K2 = 15, T = Bezugszeit; Anhang 7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die Zuordnung Quelle → Stellungsraum liegt im eingefrorenen Zustand. Der Vergleich erfolgt mit dem auf ganze dB gerundeten Beurteilungspegel (Projekthandbuch B1.2 Kapitel 10.4: 60.4 → 60 eingehalten, 60.5 → 61 überschritten), die Anzeige mit einer Dezimale; der Rundungsmodus ist Konfiguration. Ampel rot &gt; Grenzwert, orange &gt; Grenzwert − 5 dB, sonst grün. Kontingent (B1 5.10): Soll aus der Plangenehmigung je Waffe/Kaliber gegen Ist des laufenden Jahres und gegen den Durchschnitt der drei letzten Jahre (gewähltes Jahr + zwei Vorjahre); eine Waffe ohne Kontingent hat Soll 0 und ist bei Nutzung rot; Ampel-Schwellen 100 %/125 %. Grenzwerttabellen, Rundung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der 180 API-Tests, Stand 11.09.2026). Referenzwerte je Anhang und Ergebnisgrösse (Sollwerte aus B1.4, Toleranz: gerundet auf 0.1 dB identisch, ungerundet &lt; 10⁻⁶ dB gegen die gespeicherten Excel-Werte):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 Kern)</w:t>
            </w:r>
          </w:p>
        </w:tc>
        <w:tc>
          <w:tcPr>
            <w:shd w:fill="E7E6E6" w:val="clear"/>
            <w:tcMar>
              <w:top w:type="dxa" w:w="60"/>
              <w:left w:type="dxa" w:w="90"/>
              <w:bottom w:type="dxa" w:w="60"/>
              <w:right w:type="dxa" w:w="90"/>
            </w:tcMar>
          </w:tcPr>
          <w:p>
            <w:pPr>
              <w:spacing w:after="0"/>
            </w:pPr>
            <w:r>
              <w:rPr>
                <w:b/>
                <w:bCs/>
                <w:sz w:val="19"/>
                <w:szCs w:val="19"/>
              </w:rPr>
              <w:t xml:space="preserve">Anhang 7 Lr (Soll / Kern)</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(ungerundet 60.7332)</w:t>
            </w:r>
          </w:p>
        </w:tc>
        <w:tc>
          <w:tcPr>
            <w:tcMar>
              <w:top w:type="dxa" w:w="60"/>
              <w:left w:type="dxa" w:w="90"/>
              <w:bottom w:type="dxa" w:w="60"/>
              <w:right w:type="dxa" w:w="90"/>
            </w:tcMar>
          </w:tcPr>
          <w:p>
            <w:pPr>
              <w:spacing w:after="0"/>
            </w:pPr>
            <w:r>
              <w:rPr>
                <w:sz w:val="19"/>
                <w:szCs w:val="19"/>
              </w:rPr>
              <w:t xml:space="preserve">73.8 / 73.8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28.08 / 28.05 (Sonderfall, unten)</w:t>
            </w:r>
          </w:p>
        </w:tc>
      </w:tr>
    </w:tbl>
    <w:p>
      <w:pPr>
        <w:spacing w:after="120"/>
      </w:pPr>
    </w:p>
    <w:p>
      <w:pPr>
        <w:spacing w:after="120"/>
      </w:pPr>
      <w:r>
        <w:rPr>
          <w:b/>
          <w:bCs/>
        </w:rPr>
        <w:t xml:space="preserve">Anhang 9:</w:t>
      </w:r>
      <w:r>
        <w:t xml:space="preserve"> LAE1, LAE2 und Lr stimmen für alle zwölf Empfangspunkte überein. </w:t>
      </w:r>
      <w:r>
        <w:rPr>
          <w:b/>
          <w:bCs/>
        </w:rPr>
        <w:t xml:space="preserve">Anhang 7:</w:t>
      </w:r>
      <w:r>
        <w:t xml:space="preserve"> Li, Lri und Lr stimmen für elf Empfangspunkte überein; bei E8 liefert der Kern ungerundet 28.046 dB, die Excel-Vorlage 28.080 dB (Differenz 0.034 dB; angezeigt 28.0 gegenüber 28.1). Ursache, numerisch nachvollzogen: Die Excel-Vorlage schreibt für die fünf Waffenkategorien ohne Schüsse (b–f) 0 dB in die Lri-Zellen und summiert diese energetisch mit; 28.046 dB entsprechen 637.7 Energieeinheiten, plus fünfmal 10^0 = 642.7 Einheiten = 28.080 dB – exakt der Excel-Wert. Der Kern lässt Kategorien ohne Schüsse aus der energetischen Summe weg (Marker «keine Energie»); bei lauten Empfangspunkten ist der Effekt unsichtbar. Verbindlich ist die von der Fachstelle im Refinement bestätigte Lesart – bis dahin gilt die Excel-Vorlage als Referenz, und der Kern hält beide Varianten als getesteten Parameter bereit, damit die Entscheidung ohne Codeänderung umgesetzt wird. Die Abnahmetoleranz (absolute Abweichung je Wert) wird mit der Fachstelle festgelegt und in den Tests hinterlegt. Weitere Tests decken Werktag-/Feiertagsregeln, Halbtagzählung (auch mehrere Nutzungen im selben Halbtag), gemischte Baujahre (PW nur aus den Stellungsräumen nach 1985), fehlende Quellen, Kategorien ohne Anhang-7-Zuordnung, Schusszahl null, metamorphe Prüfungen je Anhang (Anhang 9: zehnfache Schusszahl = +10 dB bei LAE1, LAE2 und Lr, Abendzuschlag +5 dB; Anhang 7: zehnfache Schusszahl bei gleichen Halbtagen = +3 dB über 3·log M) und die Ampelschwellen inklusive der Rundungsgrenze 60.4/60.5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(FAQ 18/28): rund 270 Schiessplätze (120 aktive, 150 historische), bis 10'000 Stellungsräume, 50'000 Zuordnungen Waffe/Kaliber, zehn gleichzeitige Nutzer; Antwortzeiten nach B1 12.5: Suche Ø 2 s / max. 5 s, Filter 0.5 / 1 s, Registerwechsel 0.5 / 1 s, Anzeige Details Ø 2 s / max. 5 s, Berechnung Ø 5 s / max. 10 s; Vorgänge über 10 s zeigen Fortschritt und lassen sich abbrechen. Messung des Berechnungskerns mit einem synthetischen Zielmengengerüst (50 Quellen, 300 Empfangspunkte, drei Jahre mit 18'000 Nutzungen, Stand 11.09.2026): Betriebsdaten 79 ms, Pegel Anhang 9 und 7 für alle Empfangspunkte 13 ms, zusammen unter 0.1 s; dazu kommt das indizierte Lesen der Nutzungen je Schiessplatz und Zeitraum in einer Abfrage. Die Beurteilung eines Schiessplatzes bleibt damit weit unter dem Zielwert; der Nachweis unter Last folgt im Lasttest. </w:t>
      </w:r>
      <w:r>
        <w:rPr>
          <w:b/>
          <w:bCs/>
        </w:rPr>
        <w:t xml:space="preserve">Ressourcenisolation:</w:t>
      </w:r>
      <w:r>
        <w:t xml:space="preserve"> Im Zielzustand rechnet nicht der API-Prozess, sondern ein getrennter Worker-Container (Isolation gegenüber der API), darin Worker-Threads für Parallelität,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5.15–5.28 folgen nach demselben Muster mit ihrer jeweiligen Fachlogik: Schiessplatz allgemein und Stammdaten (5.15/5.16: Koordinationsabschnitt-Nr., Sachplan-Nr., Aktiv = Freigabe für die Erfassung, Flag «Gesamtbeurteilung Anhang 7», Stand SPM/MPV/Projekt, Kontingente je Waffe/Kaliber, Stellungsräume mit Koordinationsnummer und Aktivstatus), Zuordnung Waffen (5.17: Stellungsraum ↔ zulässige Kombinationen, primär per Import), Berechnungen (5.18–5.21: Immissionsberechnungen und Zustände mit genau einem gültigen und einem MGDM-Stand, Import mit Prüfbericht, Export, Ansicht der WLR- und Betriebsdaten je Stellungsraum), Waffen (5.22–5.25: Waffe/Kaliber mit Bezeichnung DE/FR/IT und sonARMS-Zuordnung, Kaliber mit ALN- und SAP-Nr., Waffe mit Kategorie und Anhang-7-Kategorie a–f, Waffenkategorie, jeweils Aktivstatus), Auswahllisten (slm 1: Werte durch den Applikationsadministrator anlegen, ändern, inaktivieren – nie löschen, solange referenziert) und erweiterte Konfiguration (5.28: globales Sperrdatum der Erfassung, Handbuch-Upload, Ampel-Schwellen und -Farben, Grenzwerte, Feiertage).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Bezug der Kartendienste gemäss den OGD-Nutzungsbedingungen von swisstopo, für den produktiven Betrieb bei Bedarf über eine Vereinbarung der Auftraggeberin (Forum 120); WMS wird live bezogen (B1 5.4.2, keine Zwischenspeicherung in SLIM), WMTS-Kacheln sind bei swisstopo vorgerendert, zusätzliche WMS-/WFS-Dienste sind konfigurierbar (URL, Layer, Stil, Sichtbarkeit). Kartenexport (slm 2) über einen serverseitigen Druckdienst: die gleiche Kartenkomponente wird in Chromium mit fester Druckauflösung und aus dem Massstab berechnetem Kartenausschnitt gerendert (massstabstreu) und mit Titel, Copyright, Datum, Massstab, Legende und Metadaten als PDF/PNG ausgegeben. Fällt der Kartendienst aus, zeigt SLIM Empfangspunkte als Liste und schematisch. Gebäude, Isophonen und Untersuchungsperimeter gemäss FAQ 13 als Erweiterung LP5 [OFFEN: Aufwandsschätzung LP5 gemäss FAQ 13 ergänzen].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Darstellungsregeln nach B1 12.3: Zahlen rechtsbündig mit Einheit hinter dem Wert und vom Fachbereich definierten Nachkommastellen, Pflichtfelder gekennzeichnet, schreibgeschützte Felder sichtbar abgesetzt, Duplikatkontrolle bei Eingaben (Stellungsraum, Waffe/Kaliber, Nutzung am selben Tag), Dateiablage per Drag-and-Drop statt Upload-Formular, konfigurierbare Schnellzugriffsleiste (Favoriten), Betrieb in mehreren Browser-Tabs (Vollansicht der Karte in neuem Tab, Sitzung geteilt), Optimierung für 1'600 × 1'200 bei Desktop.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(JSON je Fachbereich) und ein Übersetzungswerkzeug für externe Fachleute bereit, das Schlüssel, Ausgangstext und Kontext zeigt und fehlende oder veraltete Texte meldet; für IT beauftragt die Anbieterin eine Fachübersetzung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 (Anlehnung an ar.admin.ch), Forum 128 offen.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Die Erfassungsmaske (slm 47/48, B1 11.2) zeigt Schiessplatz und Stellungsraum gesperrt vorbelegt, Tagesdatum editierbar, Beginn/Ende im Viertelstundenraster, Einheit mit Autovervollständigung, Nutzungskategorie mit ziviler Nutzungsart als bedingtem Pflichtfeld, Anzahl Personen, mehrere Zeilen Waffe/Kaliber mit Menge in Stück oder kg; Prüfung wie in 5.11, Erfolgs- und Fehleranzeige, Entwurf lokal in der PWA gehalten und bei Verbindungsabbruch beim nächsten Kontakt gesendet – mit Idempotenz-Schlüssel, damit Wiederholungen keine Doppelmeldung erzeugen; die Meldung selbst erfolgt mit angemeldetem Konto. </w:t>
      </w:r>
      <w:r>
        <w:rPr>
          <w:i/>
          <w:iCs/>
        </w:rPr>
        <w:t xml:space="preserve">Prototyp:</w:t>
      </w:r>
      <w:r>
        <w:t xml:space="preserve"> mobile Layouts, DE/FR/IT/EN,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Trainer der Auftraggeberin (2–15 Personen, FAQ 20), 2nd/3rd Level durch die Anbieterin Mo–Fr 08–17 Uhr [OFFEN: Standort 3rd Level (E-Kriterium) benennen], Reaktion innerhalb vier Stunden, Behebungsbeginn innerhalb 24 Stunden, Behebung bei erheblichen Störungen in der Regel innerhalb 48 Stunden; Schweregrade (FAQ 4): kritisch = Produktion nicht nutzbar, hoch = Kernfunktion gestört ohne Umgehung, mittel = Umgehung vorhanden, niedrig = kosmetisch – mit abgestuften Reaktions- und Behebungszeiten; Meldeweg über Ticketsystem und Hotline, Stellvertretung im Support, Incident-/Problem-/Change-Prozess, Vor-Ort-Einsatz in Bern innerhalb eines Arbeitstags (Teil B 2.6.2/2.8); die Verfügbarkeit von 99 % wird monatlich gemessen und berichtet. Informationsschutz: Si001 wird in einer Kontrollübersicht auf die Massnahmen aus 2.4/2.5 abgebildet (Zugriffsrechte-Prozess, Anmeldemittel, Protokollierung, Break-Glass – Vorlagen aus einem bestehenden Bundesprojekt, für SLIM angepasst); Schweiz-Nachweis (E1/E5, FAQ 39–41/49): Das separate Datenhaltungskonzept inventarisiert alle Dienste mit Projekt- oder Fachdaten – Repository, CI/CD, Container-Registry, Logs und Monitoring, E-Mail-Versand, Fehlertracking, Druckdienst, Demo, allfällige KI-Werkzeuge – mit Standort und Datenkategorie; Fach- und Betriebsdaten bleiben in der Schweiz, Werkzeuge ausserhalb nur ohne Fach- und Personendaten und gemäss diesem Konzept.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 mit Prüfschritten hinterlegt (automatisierte End-to-End-Fälle je </w:t>
      </w:r>
      <w:r>
        <w:rPr>
          <w:rFonts w:ascii="Consolas" w:cs="Consolas" w:eastAsia="Consolas" w:hAnsi="Consolas"/>
          <w:sz w:val="20"/>
          <w:szCs w:val="20"/>
          <w:shd w:fill="F2F2F2" w:val="clear"/>
        </w:rPr>
        <w:t xml:space="preserve">slm</w:t>
      </w:r>
      <w:r>
        <w:t xml:space="preserve">-Nummer, die Kontrollwerte der Berechnung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B1.2 lässt sich mit GDAL nicht vollständig lesen/schreiben (Domänen, Beziehungen)</w:t>
            </w:r>
          </w:p>
        </w:tc>
        <w:tc>
          <w:tcPr>
            <w:tcMar>
              <w:top w:type="dxa" w:w="60"/>
              <w:left w:type="dxa" w:w="90"/>
              <w:bottom w:type="dxa" w:w="60"/>
              <w:right w:type="dxa" w:w="90"/>
            </w:tcMar>
          </w:tcPr>
          <w:p>
            <w:pPr>
              <w:spacing w:after="0"/>
            </w:pPr>
            <w:r>
              <w:rPr>
                <w:sz w:val="19"/>
                <w:szCs w:val="19"/>
              </w:rPr>
              <w:t xml:space="preserve">Lese-/Schreibprobe mit dem B1.2-Schema vor Abgabe; Rückfall: Export über PostGIS-Views + GeoPackage, FGDB-Konvertierung durch FME der Auftraggeberin</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 (bis 10'000 Stellungsräume)</w:t>
            </w:r>
          </w:p>
        </w:tc>
        <w:tc>
          <w:tcPr>
            <w:tcMar>
              <w:top w:type="dxa" w:w="60"/>
              <w:left w:type="dxa" w:w="90"/>
              <w:bottom w:type="dxa" w:w="60"/>
              <w:right w:type="dxa" w:w="90"/>
            </w:tcMar>
          </w:tcPr>
          <w:p>
            <w:pPr>
              <w:spacing w:after="0"/>
            </w:pPr>
            <w:r>
              <w:rPr>
                <w:sz w:val="19"/>
                <w:szCs w:val="19"/>
              </w:rPr>
              <w:t xml:space="preserve">Kern gemessen (&lt; 0.1 s),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Fachliche Regeln (E8, Anlagenabgrenzung 7.3, Quellengewichte)</w:t>
            </w:r>
          </w:p>
        </w:tc>
        <w:tc>
          <w:tcPr>
            <w:tcMar>
              <w:top w:type="dxa" w:w="60"/>
              <w:left w:type="dxa" w:w="90"/>
              <w:bottom w:type="dxa" w:w="60"/>
              <w:right w:type="dxa" w:w="90"/>
            </w:tcMar>
          </w:tcPr>
          <w:p>
            <w:pPr>
              <w:spacing w:after="0"/>
            </w:pPr>
            <w:r>
              <w:rPr>
                <w:sz w:val="19"/>
                <w:szCs w:val="19"/>
              </w:rPr>
              <w:t xml:space="preserve">Bestätigung durch die Fachstelle im Refinement, als Parameter/Test hinterlegt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Listen-/Schemafallback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OSS-Entscheid vor Abgabe</w:t>
            </w:r>
          </w:p>
        </w:tc>
      </w:tr>
    </w:tbl>
    <w:p>
      <w:pPr>
        <w:spacing w:after="120"/>
      </w:pP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Datensatz Version 4, Software-Stand 11.09.2026 [OFFEN: Freeze-Datum und Version bei Abgabe eintragen])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ist auf Schweizer Infrastruktur erreichbar und wird mit Verfügbarkeits-Monitoring überwacht. Die vollständige Beschreibung der angebotenen Lösung ist in diesem Dokument enthalten;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Kapitel, das ihre Erfüllung beschreibt (gemäss FAQ 8 ausserhalb des Seitenbudgets, max. zwei Seiten). Status: </w:t>
      </w:r>
      <w:r>
        <w:rPr>
          <w:b/>
          <w:bCs/>
        </w:rPr>
        <w:t xml:space="preserve">P</w:t>
      </w:r>
      <w:r>
        <w:t xml:space="preserve"> = erfüllt, im Prototyp nachgewiesen (Klammer nennt Teile, die noch Zielzustand sind) · </w:t>
      </w:r>
      <w:r>
        <w:rPr>
          <w:b/>
          <w:bCs/>
        </w:rPr>
        <w:t xml:space="preserve">Z</w:t>
      </w:r>
      <w:r>
        <w:t xml:space="preserve"> = erfüllt, Umsetzung im genannten Kapitel verbindlich beschrieben · </w:t>
      </w:r>
      <w:r>
        <w:rPr>
          <w:b/>
          <w:bCs/>
        </w:rPr>
        <w:t xml:space="preserve">O</w:t>
      </w:r>
      <w:r>
        <w:t xml:space="preserve"> = Option (KANN-Anforderung, angeboten, Umsetzung in 5.4 beschrieben) ·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 durch Admin pflegbar</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swisstopo, LV95, Layer, PDF-Export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LP5 gemäss FAQ 13)</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 (Suche, Sortierung, Filter, Selektion, Export)</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w:t>
            </w:r>
          </w:p>
        </w:tc>
        <w:tc>
          <w:tcPr>
            <w:tcMar>
              <w:top w:type="dxa" w:w="60"/>
              <w:left w:type="dxa" w:w="90"/>
              <w:bottom w:type="dxa" w:w="60"/>
              <w:right w:type="dxa" w:w="90"/>
            </w:tcMar>
          </w:tcPr>
          <w:p>
            <w:pPr>
              <w:spacing w:after="0"/>
            </w:pPr>
            <w:r>
              <w:rPr>
                <w:sz w:val="19"/>
                <w:szCs w:val="19"/>
              </w:rPr>
              <w:t xml:space="preserve">Deep Links auf jede Entität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6</w:t>
            </w:r>
          </w:p>
        </w:tc>
        <w:tc>
          <w:tcPr>
            <w:tcMar>
              <w:top w:type="dxa" w:w="60"/>
              <w:left w:type="dxa" w:w="90"/>
              <w:bottom w:type="dxa" w:w="60"/>
              <w:right w:type="dxa" w:w="90"/>
            </w:tcMar>
          </w:tcPr>
          <w:p>
            <w:pPr>
              <w:spacing w:after="0"/>
            </w:pPr>
            <w:r>
              <w:rPr>
                <w:sz w:val="19"/>
                <w:szCs w:val="19"/>
              </w:rPr>
              <w:t xml:space="preserve">Berechtigungsprüfung bei Deep Links</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w:t>
            </w:r>
          </w:p>
        </w:tc>
        <w:tc>
          <w:tcPr>
            <w:tcMar>
              <w:top w:type="dxa" w:w="60"/>
              <w:left w:type="dxa" w:w="90"/>
              <w:bottom w:type="dxa" w:w="60"/>
              <w:right w:type="dxa" w:w="90"/>
            </w:tcMar>
          </w:tcPr>
          <w:p>
            <w:pPr>
              <w:spacing w:after="0"/>
            </w:pPr>
            <w:r>
              <w:rPr>
                <w:sz w:val="19"/>
                <w:szCs w:val="19"/>
              </w:rPr>
              <w:t xml:space="preserve">Startseite 5.8</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8</w:t>
            </w:r>
          </w:p>
        </w:tc>
        <w:tc>
          <w:tcPr>
            <w:tcMar>
              <w:top w:type="dxa" w:w="60"/>
              <w:left w:type="dxa" w:w="90"/>
              <w:bottom w:type="dxa" w:w="60"/>
              <w:right w:type="dxa" w:w="90"/>
            </w:tcMar>
          </w:tcPr>
          <w:p>
            <w:pPr>
              <w:spacing w:after="0"/>
            </w:pPr>
            <w:r>
              <w:rPr>
                <w:sz w:val="19"/>
                <w:szCs w:val="19"/>
              </w:rPr>
              <w:t xml:space="preserve">Übersicht Schiessplätze 5.9 mit Ampeln</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 (Ampeln, Stand SPM/MPV/Projekt, Kontingente, Karte)</w:t>
            </w:r>
          </w:p>
        </w:tc>
        <w:tc>
          <w:tcPr>
            <w:tcMar>
              <w:top w:type="dxa" w:w="60"/>
              <w:left w:type="dxa" w:w="90"/>
              <w:bottom w:type="dxa" w:w="60"/>
              <w:right w:type="dxa" w:w="90"/>
            </w:tcMar>
          </w:tcPr>
          <w:p>
            <w:pPr>
              <w:spacing w:after="0"/>
            </w:pPr>
            <w:r>
              <w:rPr>
                <w:sz w:val="19"/>
                <w:szCs w:val="19"/>
              </w:rPr>
              <w:t xml:space="preserve">4.2, 5.1, 5.2</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w:t>
            </w:r>
          </w:p>
        </w:tc>
        <w:tc>
          <w:tcPr>
            <w:tcMar>
              <w:top w:type="dxa" w:w="60"/>
              <w:left w:type="dxa" w:w="90"/>
              <w:bottom w:type="dxa" w:w="60"/>
              <w:right w:type="dxa" w:w="90"/>
            </w:tcMar>
          </w:tcPr>
          <w:p>
            <w:pPr>
              <w:spacing w:after="0"/>
            </w:pPr>
            <w:r>
              <w:rPr>
                <w:sz w:val="19"/>
                <w:szCs w:val="19"/>
              </w:rPr>
              <w:t xml:space="preserve">Datenverwaltung Schiessplatz – Übersicht 5.14</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14</w:t>
            </w:r>
          </w:p>
        </w:tc>
        <w:tc>
          <w:tcPr>
            <w:tcMar>
              <w:top w:type="dxa" w:w="60"/>
              <w:left w:type="dxa" w:w="90"/>
              <w:bottom w:type="dxa" w:w="60"/>
              <w:right w:type="dxa" w:w="90"/>
            </w:tcMar>
          </w:tcPr>
          <w:p>
            <w:pPr>
              <w:spacing w:after="0"/>
            </w:pPr>
            <w:r>
              <w:rPr>
                <w:sz w:val="19"/>
                <w:szCs w:val="19"/>
              </w:rPr>
              <w:t xml:space="preserve">Allgemein – Übersicht 5.15 (Formular, Stellungsräume)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15</w:t>
            </w:r>
          </w:p>
        </w:tc>
        <w:tc>
          <w:tcPr>
            <w:tcMar>
              <w:top w:type="dxa" w:w="60"/>
              <w:left w:type="dxa" w:w="90"/>
              <w:bottom w:type="dxa" w:w="60"/>
              <w:right w:type="dxa" w:w="90"/>
            </w:tcMar>
          </w:tcPr>
          <w:p>
            <w:pPr>
              <w:spacing w:after="0"/>
            </w:pPr>
            <w:r>
              <w:rPr>
                <w:sz w:val="19"/>
                <w:szCs w:val="19"/>
              </w:rPr>
              <w:t xml:space="preserve">Stellungsräume pflegen</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16</w:t>
            </w:r>
          </w:p>
        </w:tc>
        <w:tc>
          <w:tcPr>
            <w:tcMar>
              <w:top w:type="dxa" w:w="60"/>
              <w:left w:type="dxa" w:w="90"/>
              <w:bottom w:type="dxa" w:w="60"/>
              <w:right w:type="dxa" w:w="90"/>
            </w:tcMar>
          </w:tcPr>
          <w:p>
            <w:pPr>
              <w:spacing w:after="0"/>
            </w:pPr>
            <w:r>
              <w:rPr>
                <w:sz w:val="19"/>
                <w:szCs w:val="19"/>
              </w:rPr>
              <w:t xml:space="preserve">Stammdaten 5.16 inkl. Kontingente, Flag Anhang 7</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Z (Datenmodell, Flag P)</w:t>
            </w:r>
          </w:p>
        </w:tc>
      </w:tr>
      <w:tr>
        <w:trPr>
          <w:tblHeader w:val="false"/>
        </w:trPr>
        <w:tc>
          <w:tcPr>
            <w:tcMar>
              <w:top w:type="dxa" w:w="60"/>
              <w:left w:type="dxa" w:w="90"/>
              <w:bottom w:type="dxa" w:w="60"/>
              <w:right w:type="dxa" w:w="90"/>
            </w:tcMar>
          </w:tcPr>
          <w:p>
            <w:pPr>
              <w:spacing w:after="0"/>
            </w:pPr>
            <w:r>
              <w:rPr>
                <w:sz w:val="19"/>
                <w:szCs w:val="19"/>
              </w:rPr>
              <w:t xml:space="preserve">slm 17</w:t>
            </w:r>
          </w:p>
        </w:tc>
        <w:tc>
          <w:tcPr>
            <w:tcMar>
              <w:top w:type="dxa" w:w="60"/>
              <w:left w:type="dxa" w:w="90"/>
              <w:bottom w:type="dxa" w:w="60"/>
              <w:right w:type="dxa" w:w="90"/>
            </w:tcMar>
          </w:tcPr>
          <w:p>
            <w:pPr>
              <w:spacing w:after="0"/>
            </w:pPr>
            <w:r>
              <w:rPr>
                <w:sz w:val="19"/>
                <w:szCs w:val="19"/>
              </w:rPr>
              <w:t xml:space="preserve">Zuordnung Waffen 5.17</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18</w:t>
            </w:r>
          </w:p>
        </w:tc>
        <w:tc>
          <w:tcPr>
            <w:tcMar>
              <w:top w:type="dxa" w:w="60"/>
              <w:left w:type="dxa" w:w="90"/>
              <w:bottom w:type="dxa" w:w="60"/>
              <w:right w:type="dxa" w:w="90"/>
            </w:tcMar>
          </w:tcPr>
          <w:p>
            <w:pPr>
              <w:spacing w:after="0"/>
            </w:pPr>
            <w:r>
              <w:rPr>
                <w:sz w:val="19"/>
                <w:szCs w:val="19"/>
              </w:rPr>
              <w:t xml:space="preserve">Berechnungen – Übersicht 5.18 (Zustände, gültig/MGDM)</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Z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Berechnungen – Import 5.19 (FGDB, WLR, Betriebsdaten)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Berechnungen – Export 5.20 (GeoDB, alle Schusszahlen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Berechnungen – Details 5.21 (WLR, Betriebsdaten je Stellungsraum)</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w:t>
            </w:r>
          </w:p>
        </w:tc>
        <w:tc>
          <w:tcPr>
            <w:tcMar>
              <w:top w:type="dxa" w:w="60"/>
              <w:left w:type="dxa" w:w="90"/>
              <w:bottom w:type="dxa" w:w="60"/>
              <w:right w:type="dxa" w:w="90"/>
            </w:tcMar>
          </w:tcPr>
          <w:p>
            <w:pPr>
              <w:spacing w:after="0"/>
            </w:pPr>
            <w:r>
              <w:rPr>
                <w:sz w:val="19"/>
                <w:szCs w:val="19"/>
              </w:rPr>
              <w:t xml:space="preserve">Waffe/Kaliber 5.22 inkl. sonARMS-Zuordnung</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23</w:t>
            </w:r>
          </w:p>
        </w:tc>
        <w:tc>
          <w:tcPr>
            <w:tcMar>
              <w:top w:type="dxa" w:w="60"/>
              <w:left w:type="dxa" w:w="90"/>
              <w:bottom w:type="dxa" w:w="60"/>
              <w:right w:type="dxa" w:w="90"/>
            </w:tcMar>
          </w:tcPr>
          <w:p>
            <w:pPr>
              <w:spacing w:after="0"/>
            </w:pPr>
            <w:r>
              <w:rPr>
                <w:sz w:val="19"/>
                <w:szCs w:val="19"/>
              </w:rPr>
              <w:t xml:space="preserve">Kaliber 5.23</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24</w:t>
            </w:r>
          </w:p>
        </w:tc>
        <w:tc>
          <w:tcPr>
            <w:tcMar>
              <w:top w:type="dxa" w:w="60"/>
              <w:left w:type="dxa" w:w="90"/>
              <w:bottom w:type="dxa" w:w="60"/>
              <w:right w:type="dxa" w:w="90"/>
            </w:tcMar>
          </w:tcPr>
          <w:p>
            <w:pPr>
              <w:spacing w:after="0"/>
            </w:pPr>
            <w:r>
              <w:rPr>
                <w:sz w:val="19"/>
                <w:szCs w:val="19"/>
              </w:rPr>
              <w:t xml:space="preserve">Waffe 5.24 inkl. Kategorie Anhang 7</w:t>
            </w:r>
          </w:p>
        </w:tc>
        <w:tc>
          <w:tcPr>
            <w:tcMar>
              <w:top w:type="dxa" w:w="60"/>
              <w:left w:type="dxa" w:w="90"/>
              <w:bottom w:type="dxa" w:w="60"/>
              <w:right w:type="dxa" w:w="90"/>
            </w:tcMar>
          </w:tcPr>
          <w:p>
            <w:pPr>
              <w:spacing w:after="0"/>
            </w:pPr>
            <w:r>
              <w:rPr>
                <w:sz w:val="19"/>
                <w:szCs w:val="19"/>
              </w:rPr>
              <w:t xml:space="preserve">5.1, 4.2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25</w:t>
            </w:r>
          </w:p>
        </w:tc>
        <w:tc>
          <w:tcPr>
            <w:tcMar>
              <w:top w:type="dxa" w:w="60"/>
              <w:left w:type="dxa" w:w="90"/>
              <w:bottom w:type="dxa" w:w="60"/>
              <w:right w:type="dxa" w:w="90"/>
            </w:tcMar>
          </w:tcPr>
          <w:p>
            <w:pPr>
              <w:spacing w:after="0"/>
            </w:pPr>
            <w:r>
              <w:rPr>
                <w:sz w:val="19"/>
                <w:szCs w:val="19"/>
              </w:rPr>
              <w:t xml:space="preserve">Waffenkategorie 5.25</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 5.26</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 5.28 (Sperrdatum, Handbuch, Ampel-Schwellen)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w:t>
            </w:r>
          </w:p>
        </w:tc>
        <w:tc>
          <w:tcPr>
            <w:tcMar>
              <w:top w:type="dxa" w:w="60"/>
              <w:left w:type="dxa" w:w="90"/>
              <w:bottom w:type="dxa" w:w="60"/>
              <w:right w:type="dxa" w:w="90"/>
            </w:tcMar>
          </w:tcPr>
          <w:p>
            <w:pPr>
              <w:spacing w:after="0"/>
            </w:pPr>
            <w:r>
              <w:rPr>
                <w:sz w:val="19"/>
                <w:szCs w:val="19"/>
              </w:rPr>
              <w:t xml:space="preserve">ELO-Schnittstelle: Anlageninformationen (GET)</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P)</w:t>
            </w:r>
          </w:p>
        </w:tc>
      </w:tr>
      <w:tr>
        <w:trPr>
          <w:tblHeader w:val="false"/>
        </w:trPr>
        <w:tc>
          <w:tcPr>
            <w:tcMar>
              <w:top w:type="dxa" w:w="60"/>
              <w:left w:type="dxa" w:w="90"/>
              <w:bottom w:type="dxa" w:w="60"/>
              <w:right w:type="dxa" w:w="90"/>
            </w:tcMar>
          </w:tcPr>
          <w:p>
            <w:pPr>
              <w:spacing w:after="0"/>
            </w:pPr>
            <w:r>
              <w:rPr>
                <w:sz w:val="19"/>
                <w:szCs w:val="19"/>
              </w:rPr>
              <w:t xml:space="preserve">slm 29</w:t>
            </w:r>
          </w:p>
        </w:tc>
        <w:tc>
          <w:tcPr>
            <w:tcMar>
              <w:top w:type="dxa" w:w="60"/>
              <w:left w:type="dxa" w:w="90"/>
              <w:bottom w:type="dxa" w:w="60"/>
              <w:right w:type="dxa" w:w="90"/>
            </w:tcMar>
          </w:tcPr>
          <w:p>
            <w:pPr>
              <w:spacing w:after="0"/>
            </w:pPr>
            <w:r>
              <w:rPr>
                <w:sz w:val="19"/>
                <w:szCs w:val="19"/>
              </w:rPr>
              <w:t xml:space="preserve">ELO-Schnittstelle: Nutzung melden (POST) mit Validierung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(Validierungsregeln P)</w:t>
            </w:r>
          </w:p>
        </w:tc>
      </w:tr>
      <w:tr>
        <w:trPr>
          <w:tblHeader w:val="false"/>
        </w:trPr>
        <w:tc>
          <w:tcPr>
            <w:tcMar>
              <w:top w:type="dxa" w:w="60"/>
              <w:left w:type="dxa" w:w="90"/>
              <w:bottom w:type="dxa" w:w="60"/>
              <w:right w:type="dxa" w:w="90"/>
            </w:tcMar>
          </w:tcPr>
          <w:p>
            <w:pPr>
              <w:spacing w:after="0"/>
            </w:pPr>
            <w:r>
              <w:rPr>
                <w:sz w:val="19"/>
                <w:szCs w:val="19"/>
              </w:rPr>
              <w:t xml:space="preserve">slm 30</w:t>
            </w:r>
          </w:p>
        </w:tc>
        <w:tc>
          <w:tcPr>
            <w:tcMar>
              <w:top w:type="dxa" w:w="60"/>
              <w:left w:type="dxa" w:w="90"/>
              <w:bottom w:type="dxa" w:w="60"/>
              <w:right w:type="dxa" w:w="90"/>
            </w:tcMar>
          </w:tcPr>
          <w:p>
            <w:pPr>
              <w:spacing w:after="0"/>
            </w:pPr>
            <w:r>
              <w:rPr>
                <w:sz w:val="19"/>
                <w:szCs w:val="19"/>
              </w:rPr>
              <w:t xml:space="preserve">ELO-Schnittstelle: Sicherheit, Fehlerbehandlung</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 aus Nutzungen (7.4)</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Verteilung auf Quellen (7.5)</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w:t>
            </w:r>
          </w:p>
        </w:tc>
        <w:tc>
          <w:tcPr>
            <w:tcMar>
              <w:top w:type="dxa" w:w="60"/>
              <w:left w:type="dxa" w:w="90"/>
              <w:bottom w:type="dxa" w:w="60"/>
              <w:right w:type="dxa" w:w="90"/>
            </w:tcMar>
          </w:tcPr>
          <w:p>
            <w:pPr>
              <w:spacing w:after="0"/>
            </w:pPr>
            <w:r>
              <w:rPr>
                <w:sz w:val="19"/>
                <w:szCs w:val="19"/>
              </w:rPr>
              <w:t xml:space="preserve">Beurteilungspegel Anhang 9 und 7 (7.6)</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34</w:t>
            </w:r>
          </w:p>
        </w:tc>
        <w:tc>
          <w:tcPr>
            <w:tcMar>
              <w:top w:type="dxa" w:w="60"/>
              <w:left w:type="dxa" w:w="90"/>
              <w:bottom w:type="dxa" w:w="60"/>
              <w:right w:type="dxa" w:w="90"/>
            </w:tcMar>
          </w:tcPr>
          <w:p>
            <w:pPr>
              <w:spacing w:after="0"/>
            </w:pPr>
            <w:r>
              <w:rPr>
                <w:sz w:val="19"/>
                <w:szCs w:val="19"/>
              </w:rPr>
              <w:t xml:space="preserve">Grenzwertvergleich und Ampeln (7.7)</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 (Rundung ganze dB Z)</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Rechte, Anmeldung mit MFA</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(TOTP Z; AGOV Option, 2.4)</w:t>
            </w:r>
          </w:p>
        </w:tc>
      </w:tr>
      <w:tr>
        <w:trPr>
          <w:tblHeader w:val="false"/>
        </w:trPr>
        <w:tc>
          <w:tcPr>
            <w:tcMar>
              <w:top w:type="dxa" w:w="60"/>
              <w:left w:type="dxa" w:w="90"/>
              <w:bottom w:type="dxa" w:w="60"/>
              <w:right w:type="dxa" w:w="90"/>
            </w:tcMar>
          </w:tcPr>
          <w:p>
            <w:pPr>
              <w:spacing w:after="0"/>
            </w:pPr>
            <w:r>
              <w:rPr>
                <w:sz w:val="19"/>
                <w:szCs w:val="19"/>
              </w:rPr>
              <w:t xml:space="preserve">slm 36</w:t>
            </w:r>
          </w:p>
        </w:tc>
        <w:tc>
          <w:tcPr>
            <w:tcMar>
              <w:top w:type="dxa" w:w="60"/>
              <w:left w:type="dxa" w:w="90"/>
              <w:bottom w:type="dxa" w:w="60"/>
              <w:right w:type="dxa" w:w="90"/>
            </w:tcMar>
          </w:tcPr>
          <w:p>
            <w:pPr>
              <w:spacing w:after="0"/>
            </w:pPr>
            <w:r>
              <w:rPr>
                <w:sz w:val="19"/>
                <w:szCs w:val="19"/>
              </w:rPr>
              <w:t xml:space="preserve">Initialer Stammdatenimport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37</w:t>
            </w:r>
          </w:p>
        </w:tc>
        <w:tc>
          <w:tcPr>
            <w:tcMar>
              <w:top w:type="dxa" w:w="60"/>
              <w:left w:type="dxa" w:w="90"/>
              <w:bottom w:type="dxa" w:w="60"/>
              <w:right w:type="dxa" w:w="90"/>
            </w:tcMar>
          </w:tcPr>
          <w:p>
            <w:pPr>
              <w:spacing w:after="0"/>
            </w:pPr>
            <w:r>
              <w:rPr>
                <w:sz w:val="19"/>
                <w:szCs w:val="19"/>
              </w:rPr>
              <w:t xml:space="preserve">Excel-Import 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mit Views für MGDM/ImmoGIS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w:t>
            </w:r>
          </w:p>
        </w:tc>
        <w:tc>
          <w:tcPr>
            <w:tcMar>
              <w:top w:type="dxa" w:w="60"/>
              <w:left w:type="dxa" w:w="90"/>
              <w:bottom w:type="dxa" w:w="60"/>
              <w:right w:type="dxa" w:w="90"/>
            </w:tcMar>
          </w:tcPr>
          <w:p>
            <w:pPr>
              <w:spacing w:after="0"/>
            </w:pPr>
            <w:r>
              <w:rPr>
                <w:sz w:val="19"/>
                <w:szCs w:val="19"/>
              </w:rPr>
              <w:t xml:space="preserve">Alle Exporte mindestens CSV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40</w:t>
            </w:r>
          </w:p>
        </w:tc>
        <w:tc>
          <w:tcPr>
            <w:tcMar>
              <w:top w:type="dxa" w:w="60"/>
              <w:left w:type="dxa" w:w="90"/>
              <w:bottom w:type="dxa" w:w="60"/>
              <w:right w:type="dxa" w:w="90"/>
            </w:tcMar>
          </w:tcPr>
          <w:p>
            <w:pPr>
              <w:spacing w:after="0"/>
            </w:pPr>
            <w:r>
              <w:rPr>
                <w:sz w:val="19"/>
                <w:szCs w:val="19"/>
              </w:rPr>
              <w:t xml:space="preserve">Export Nutzungen gemäss B1.6</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41</w:t>
            </w:r>
          </w:p>
        </w:tc>
        <w:tc>
          <w:tcPr>
            <w:tcMar>
              <w:top w:type="dxa" w:w="60"/>
              <w:left w:type="dxa" w:w="90"/>
              <w:bottom w:type="dxa" w:w="60"/>
              <w:right w:type="dxa" w:w="90"/>
            </w:tcMar>
          </w:tcPr>
          <w:p>
            <w:pPr>
              <w:spacing w:after="0"/>
            </w:pPr>
            <w:r>
              <w:rPr>
                <w:sz w:val="19"/>
                <w:szCs w:val="19"/>
              </w:rPr>
              <w:t xml:space="preserve">Export Gesamtstatistik MPV</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42</w:t>
            </w:r>
          </w:p>
        </w:tc>
        <w:tc>
          <w:tcPr>
            <w:tcMar>
              <w:top w:type="dxa" w:w="60"/>
              <w:left w:type="dxa" w:w="90"/>
              <w:bottom w:type="dxa" w:w="60"/>
              <w:right w:type="dxa" w:w="90"/>
            </w:tcMar>
          </w:tcPr>
          <w:p>
            <w:pPr>
              <w:spacing w:after="0"/>
            </w:pPr>
            <w:r>
              <w:rPr>
                <w:sz w:val="19"/>
                <w:szCs w:val="19"/>
              </w:rPr>
              <w:t xml:space="preserve">Übergeordnete Struktur zeitlich unabhängig</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43</w:t>
            </w:r>
          </w:p>
        </w:tc>
        <w:tc>
          <w:tcPr>
            <w:tcMar>
              <w:top w:type="dxa" w:w="60"/>
              <w:left w:type="dxa" w:w="90"/>
              <w:bottom w:type="dxa" w:w="60"/>
              <w:right w:type="dxa" w:w="90"/>
            </w:tcMar>
          </w:tcPr>
          <w:p>
            <w:pPr>
              <w:spacing w:after="0"/>
            </w:pPr>
            <w:r>
              <w:rPr>
                <w:sz w:val="19"/>
                <w:szCs w:val="19"/>
              </w:rPr>
              <w:t xml:space="preserve">Berechnungsstruktur je Zustand (ZustandsID)</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(Quellengewichte Z)</w:t>
            </w:r>
          </w:p>
        </w:tc>
      </w:tr>
      <w:tr>
        <w:trPr>
          <w:tblHeader w:val="false"/>
        </w:trPr>
        <w:tc>
          <w:tcPr>
            <w:tcMar>
              <w:top w:type="dxa" w:w="60"/>
              <w:left w:type="dxa" w:w="90"/>
              <w:bottom w:type="dxa" w:w="60"/>
              <w:right w:type="dxa" w:w="90"/>
            </w:tcMar>
          </w:tcPr>
          <w:p>
            <w:pPr>
              <w:spacing w:after="0"/>
            </w:pPr>
            <w:r>
              <w:rPr>
                <w:sz w:val="19"/>
                <w:szCs w:val="19"/>
              </w:rPr>
              <w:t xml:space="preserve">slm 44</w:t>
            </w:r>
          </w:p>
        </w:tc>
        <w:tc>
          <w:tcPr>
            <w:tcMar>
              <w:top w:type="dxa" w:w="60"/>
              <w:left w:type="dxa" w:w="90"/>
              <w:bottom w:type="dxa" w:w="60"/>
              <w:right w:type="dxa" w:w="90"/>
            </w:tcMar>
          </w:tcPr>
          <w:p>
            <w:pPr>
              <w:spacing w:after="0"/>
            </w:pPr>
            <w:r>
              <w:rPr>
                <w:sz w:val="19"/>
                <w:szCs w:val="19"/>
              </w:rPr>
              <w:t xml:space="preserve">Nutzungsperiode × Berechnungsstand frei kombinierbar</w:t>
            </w:r>
          </w:p>
        </w:tc>
        <w:tc>
          <w:tcPr>
            <w:tcMar>
              <w:top w:type="dxa" w:w="60"/>
              <w:left w:type="dxa" w:w="90"/>
              <w:bottom w:type="dxa" w:w="60"/>
              <w:right w:type="dxa" w:w="90"/>
            </w:tcMar>
          </w:tcPr>
          <w:p>
            <w:pPr>
              <w:spacing w:after="0"/>
            </w:pPr>
            <w:r>
              <w:rPr>
                <w:sz w:val="19"/>
                <w:szCs w:val="19"/>
              </w:rPr>
              <w:t xml:space="preserve">2.3, 4.1</w:t>
            </w:r>
          </w:p>
        </w:tc>
        <w:tc>
          <w:tcPr>
            <w:tcMar>
              <w:top w:type="dxa" w:w="60"/>
              <w:left w:type="dxa" w:w="90"/>
              <w:bottom w:type="dxa" w:w="60"/>
              <w:right w:type="dxa" w:w="90"/>
            </w:tcMar>
          </w:tcPr>
          <w:p>
            <w:pPr>
              <w:spacing w:after="0"/>
            </w:pPr>
            <w:r>
              <w:rPr>
                <w:sz w:val="19"/>
                <w:szCs w:val="19"/>
              </w:rPr>
              <w:t xml:space="preserve">P (Berechnungsstand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 Abbruch mit Warnung</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w:t>
            </w:r>
          </w:p>
        </w:tc>
        <w:tc>
          <w:tcPr>
            <w:tcMar>
              <w:top w:type="dxa" w:w="60"/>
              <w:left w:type="dxa" w:w="90"/>
              <w:bottom w:type="dxa" w:w="60"/>
              <w:right w:type="dxa" w:w="90"/>
            </w:tcMar>
          </w:tcPr>
          <w:p>
            <w:pPr>
              <w:spacing w:after="0"/>
            </w:pPr>
            <w:r>
              <w:rPr>
                <w:sz w:val="19"/>
                <w:szCs w:val="19"/>
              </w:rPr>
              <w:t xml:space="preserve">QR-Einstieg je Stellungsraum (Option Kap. 11)</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47</w:t>
            </w:r>
          </w:p>
        </w:tc>
        <w:tc>
          <w:tcPr>
            <w:tcMar>
              <w:top w:type="dxa" w:w="60"/>
              <w:left w:type="dxa" w:w="90"/>
              <w:bottom w:type="dxa" w:w="60"/>
              <w:right w:type="dxa" w:w="90"/>
            </w:tcMar>
          </w:tcPr>
          <w:p>
            <w:pPr>
              <w:spacing w:after="0"/>
            </w:pPr>
            <w:r>
              <w:rPr>
                <w:sz w:val="19"/>
                <w:szCs w:val="19"/>
              </w:rPr>
              <w:t xml:space="preserve">Erfassungsmaske über QR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48</w:t>
            </w:r>
          </w:p>
        </w:tc>
        <w:tc>
          <w:tcPr>
            <w:tcMar>
              <w:top w:type="dxa" w:w="60"/>
              <w:left w:type="dxa" w:w="90"/>
              <w:bottom w:type="dxa" w:w="60"/>
              <w:right w:type="dxa" w:w="90"/>
            </w:tcMar>
          </w:tcPr>
          <w:p>
            <w:pPr>
              <w:spacing w:after="0"/>
            </w:pPr>
            <w:r>
              <w:rPr>
                <w:sz w:val="19"/>
                <w:szCs w:val="19"/>
              </w:rPr>
              <w:t xml:space="preserve">Offline-Entwürfe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49</w:t>
            </w:r>
          </w:p>
        </w:tc>
        <w:tc>
          <w:tcPr>
            <w:tcMar>
              <w:top w:type="dxa" w:w="60"/>
              <w:left w:type="dxa" w:w="90"/>
              <w:bottom w:type="dxa" w:w="60"/>
              <w:right w:type="dxa" w:w="90"/>
            </w:tcMar>
          </w:tcPr>
          <w:p>
            <w:pPr>
              <w:spacing w:after="0"/>
            </w:pPr>
            <w:r>
              <w:rPr>
                <w:sz w:val="19"/>
                <w:szCs w:val="19"/>
              </w:rPr>
              <w:t xml:space="preserve">Signierte QR-Codes (Option)</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w:t>
            </w:r>
          </w:p>
        </w:tc>
        <w:tc>
          <w:tcPr>
            <w:tcMar>
              <w:top w:type="dxa" w:w="60"/>
              <w:left w:type="dxa" w:w="90"/>
              <w:bottom w:type="dxa" w:w="60"/>
              <w:right w:type="dxa" w:w="90"/>
            </w:tcMar>
          </w:tcPr>
          <w:p>
            <w:pPr>
              <w:spacing w:after="0"/>
            </w:pPr>
            <w:r>
              <w:rPr>
                <w:sz w:val="19"/>
                <w:szCs w:val="19"/>
              </w:rPr>
              <w:t xml:space="preserve">Persistente Einstellungen, Favoriten, Ausblenden nicht autorisierter Funktionen</w:t>
            </w:r>
          </w:p>
        </w:tc>
        <w:tc>
          <w:tcPr>
            <w:tcMar>
              <w:top w:type="dxa" w:w="60"/>
              <w:left w:type="dxa" w:w="90"/>
              <w:bottom w:type="dxa" w:w="60"/>
              <w:right w:type="dxa" w:w="90"/>
            </w:tcMar>
          </w:tcPr>
          <w:p>
            <w:pPr>
              <w:spacing w:after="0"/>
            </w:pPr>
            <w:r>
              <w:rPr>
                <w:sz w:val="19"/>
                <w:szCs w:val="19"/>
              </w:rPr>
              <w:t xml:space="preserve">5.1, 5.3</w:t>
            </w:r>
          </w:p>
        </w:tc>
        <w:tc>
          <w:tcPr>
            <w:tcMar>
              <w:top w:type="dxa" w:w="60"/>
              <w:left w:type="dxa" w:w="90"/>
              <w:bottom w:type="dxa" w:w="60"/>
              <w:right w:type="dxa" w:w="90"/>
            </w:tcMar>
          </w:tcPr>
          <w:p>
            <w:pPr>
              <w:spacing w:after="0"/>
            </w:pPr>
            <w:r>
              <w:rPr>
                <w:sz w:val="19"/>
                <w:szCs w:val="19"/>
              </w:rPr>
              <w:t xml:space="preserve">P (Favoriten, CASL Z)</w:t>
            </w:r>
          </w:p>
        </w:tc>
      </w:tr>
      <w:tr>
        <w:trPr>
          <w:tblHeader w:val="false"/>
        </w:trPr>
        <w:tc>
          <w:tcPr>
            <w:tcMar>
              <w:top w:type="dxa" w:w="60"/>
              <w:left w:type="dxa" w:w="90"/>
              <w:bottom w:type="dxa" w:w="60"/>
              <w:right w:type="dxa" w:w="90"/>
            </w:tcMar>
          </w:tcPr>
          <w:p>
            <w:pPr>
              <w:spacing w:after="0"/>
            </w:pPr>
            <w:r>
              <w:rPr>
                <w:sz w:val="19"/>
                <w:szCs w:val="19"/>
              </w:rPr>
              <w:t xml:space="preserve">slm 51</w:t>
            </w:r>
          </w:p>
        </w:tc>
        <w:tc>
          <w:tcPr>
            <w:tcMar>
              <w:top w:type="dxa" w:w="60"/>
              <w:left w:type="dxa" w:w="90"/>
              <w:bottom w:type="dxa" w:w="60"/>
              <w:right w:type="dxa" w:w="90"/>
            </w:tcMar>
          </w:tcPr>
          <w:p>
            <w:pPr>
              <w:spacing w:after="0"/>
            </w:pPr>
            <w:r>
              <w:rPr>
                <w:sz w:val="19"/>
                <w:szCs w:val="19"/>
              </w:rPr>
              <w:t xml:space="preserve">Deutsche Bezeichnungen der DB-Objekte</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Z (Modell P, Umbenennung mit Migration)</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Standard FAQ 9)</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kontextsensitive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 10 Nutzer</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(Kernmessung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 Konfiguration ohne Rekompilierung</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Break-Glass, Login-Logging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 mit Alarm</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3b539b8b7fc55c608f72cbbcd7f9433823ddf8.png"/><Relationship Id="rId9" Type="http://schemas.openxmlformats.org/officeDocument/2006/relationships/image" Target="media/b01bb62c4e6cb2af1790dd71622662e378f9b2ad.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2026-09-11T21:07:27.805Z</dcterms:created>
  <dcterms:modified xsi:type="dcterms:W3CDTF">2026-09-11T21:07:27.806Z</dcterms:modified>
</cp:coreProperties>
</file>

<file path=docProps/custom.xml><?xml version="1.0" encoding="utf-8"?>
<Properties xmlns="http://schemas.openxmlformats.org/officeDocument/2006/custom-properties" xmlns:vt="http://schemas.openxmlformats.org/officeDocument/2006/docPropsVTypes"/>
</file>