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3600"/>
      </w:pPr>
      <w:r>
        <w:rPr>
          <w:b/>
          <w:bCs/>
          <w:sz w:val="56"/>
          <w:szCs w:val="56"/>
        </w:rPr>
        <w:t xml:space="preserve">Lösungskonzept SLIM</w:t>
      </w:r>
    </w:p>
    <w:p>
      <w:pPr>
        <w:spacing w:after="240"/>
      </w:pPr>
      <w:r>
        <w:rPr>
          <w:color w:val="555555"/>
          <w:sz w:val="23"/>
          <w:szCs w:val="23"/>
        </w:rPr>
        <w:t xml:space="preserve">Stand 11.9.2026</w:t>
      </w:r>
    </w:p>
    <w:p>
      <w:r>
        <w:br w:type="page"/>
      </w:r>
    </w:p>
    <w:p>
      <w:pPr>
        <w:pStyle w:val="Heading1"/>
      </w:pPr>
      <w:r>
        <w:t xml:space="preserve">Inhalt</w:t>
      </w:r>
    </w:p>
    <w:sdt>
      <w:sdtPr>
        <w:alias w:val="Inhalt"/>
      </w:sdtPr>
      <w:sdtContent>
        <w:p>
          <w:r>
            <w:fldChar w:fldCharType="begin" w:dirty="true"/>
            <w:instrText xml:space="preserve">TOC \h \o "1-3"</w:instrText>
            <w:fldChar w:fldCharType="separate"/>
          </w:r>
        </w:p>
        <w:p>
          <w:r>
            <w:fldChar w:fldCharType="end"/>
          </w:r>
        </w:p>
      </w:sdtContent>
    </w:sdt>
    <w:p>
      <w:r>
        <w:br w:type="page"/>
      </w:r>
    </w:p>
    <w:p>
      <w:pPr>
        <w:pStyle w:val="Heading2"/>
      </w:pPr>
      <w:r>
        <w:t xml:space="preserve">1 Management Summary</w:t>
      </w:r>
    </w:p>
    <w:p>
      <w:pPr>
        <w:spacing w:after="120"/>
      </w:pPr>
      <w:r>
        <w:t xml:space="preserve">Die Auftraggeberin braucht ein Werkzeug, das die Schiessplatznutzung des VBS erfasst, daraus die Beurteilungspegel nach Anhang 7 und 9 LSV ableitet, die Einhaltung von Grenzwerten und Kontingenten je Schiessplatz und Empfangspunkt sichtbar macht und Massnahmen simulierbar hält – nachvollziehbar für Fachspezialisten, einfach für Schiessplatz-Verantwortliche und Interessenten, auf jedem Gerät, in vier Sprachen.</w:t>
      </w:r>
    </w:p>
    <w:p>
      <w:pPr>
        <w:spacing w:after="120"/>
      </w:pPr>
      <w:r>
        <w:t xml:space="preserve">SLIM ist eine Webapplikation aus Standardkomponenten (Angular, NestJS, PostgreSQL/PostGIS, OpenLayers mit swisstopo-Karten, NGINX), die auf einer Schweizer Betriebsplattform in Containern läuft. Sie übernimmt Schusszahlen manuell, per Excel und über die REST-Schnittstelle von ELO, hält die akustischen Grundlagen aus sonARMS als versionierte Zustände und rechnet die Beurteilung bei jeder Anfrage aus Nutzungen und Zustand neu – reproduzierbar und ohne Nachbau der Ausbreitungssoftware. Berechtigungen, Mandanten, Zwei-Faktor-Anmeldung und Logbuch kommen aus einer erprobten Plattform, die bereits ELO trägt.</w:t>
      </w:r>
    </w:p>
    <w:p>
      <w:pPr>
        <w:spacing w:after="120"/>
      </w:pPr>
      <w:r>
        <w:t xml:space="preserve">Wesentliche Vorteile: Der Berechnungskern ist gegen die Empa-Referenzdaten der Beilage B1.4 geprüft; Ergebnisse und ein dokumentierter Sonderfall stehen in Kapitel 4.3. Die zentralen Masken (Schusszahlen, Details, Simulation) laufen als Prototyp, abgesichert durch 275 automatisierte Tests (Stand 11.09.2026, Testbericht im Repository); das Projektteam kennt ELO und die gemeinsame Plattform aus der Entwicklung [OFFEN: Verhältnis der einreichenden Firma zu ELO vor Abgabe prüfen und Formulierung anpassen] – die Schnittstelle wird dennoch mit der Auftraggeberin abgestimmt und mit Integrationstests über beide Systeme abgenommen.</w:t>
      </w:r>
    </w:p>
    <w:p>
      <w:pPr>
        <w:pStyle w:val="Heading2"/>
      </w:pPr>
      <w:r>
        <w:t xml:space="preserve">2 Architektur und Technologie</w:t>
      </w:r>
    </w:p>
    <w:p>
      <w:pPr>
        <w:pStyle w:val="Heading3"/>
      </w:pPr>
      <w:r>
        <w:t xml:space="preserve">2.1 Komponenten, Schichten und Schnittstellen</w:t>
      </w:r>
    </w:p>
    <w:p>
      <w:pPr>
        <w:spacing w:after="160" w:before="120"/>
        <w:jc w:val="center"/>
      </w:pPr>
      <w:r>
        <w:drawing>
          <wp:inline distT="0" distB="0" distL="0" distR="0">
            <wp:extent cx="6124575"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4867275"/>
                    </a:xfrm>
                    <a:prstGeom prst="rect">
                      <a:avLst/>
                    </a:prstGeom>
                  </pic:spPr>
                </pic:pic>
              </a:graphicData>
            </a:graphic>
          </wp:inline>
        </w:drawing>
      </w:r>
    </w:p>
    <w:p>
      <w:pPr>
        <w:spacing w:after="120"/>
      </w:pPr>
      <w:r>
        <w:t xml:space="preserve">Gestrichelt = Zielzustand, noch nicht im Prototyp; alles andere läuft heute. Drei Schichten mit klaren Verträgen: Die </w:t>
      </w:r>
      <w:r>
        <w:rPr>
          <w:b/>
          <w:bCs/>
        </w:rPr>
        <w:t xml:space="preserve">Oberfläche</w:t>
      </w:r>
      <w:r>
        <w:t xml:space="preserve"> enthält keine autoritative Fach- oder Berechtigungslogik; sie ruft die aus der OpenAPI-Spezifikation generierten Services auf. Die </w:t>
      </w:r>
      <w:r>
        <w:rPr>
          <w:b/>
          <w:bCs/>
        </w:rPr>
        <w:t xml:space="preserve">API</w:t>
      </w:r>
      <w:r>
        <w:t xml:space="preserve"> prüft auf jeder Route Authentifizierung, Mandant, App-Recht der Rolle, Objektregel und Replay-Schutz, validiert die Eingaben und delegiert an Fachmodule (</w:t>
      </w:r>
      <w:r>
        <w:rPr>
          <w:rFonts w:ascii="Consolas" w:cs="Consolas" w:eastAsia="Consolas" w:hAnsi="Consolas"/>
          <w:sz w:val="20"/>
          <w:szCs w:val="20"/>
          <w:shd w:fill="F2F2F2" w:val="clear"/>
        </w:rPr>
        <w:t xml:space="preserve">area</w:t>
      </w:r>
      <w:r>
        <w:t xml:space="preserve">, </w:t>
      </w:r>
      <w:r>
        <w:rPr>
          <w:rFonts w:ascii="Consolas" w:cs="Consolas" w:eastAsia="Consolas" w:hAnsi="Consolas"/>
          <w:sz w:val="20"/>
          <w:szCs w:val="20"/>
          <w:shd w:fill="F2F2F2" w:val="clear"/>
        </w:rPr>
        <w:t xml:space="preserve">usage</w:t>
      </w:r>
      <w:r>
        <w:t xml:space="preserve">, </w:t>
      </w:r>
      <w:r>
        <w:rPr>
          <w:rFonts w:ascii="Consolas" w:cs="Consolas" w:eastAsia="Consolas" w:hAnsi="Consolas"/>
          <w:sz w:val="20"/>
          <w:szCs w:val="20"/>
          <w:shd w:fill="F2F2F2" w:val="clear"/>
        </w:rPr>
        <w:t xml:space="preserve">calculation</w:t>
      </w:r>
      <w:r>
        <w:t xml:space="preserve">, </w:t>
      </w:r>
      <w:r>
        <w:rPr>
          <w:rFonts w:ascii="Consolas" w:cs="Consolas" w:eastAsia="Consolas" w:hAnsi="Consolas"/>
          <w:sz w:val="20"/>
          <w:szCs w:val="20"/>
          <w:shd w:fill="F2F2F2" w:val="clear"/>
        </w:rPr>
        <w:t xml:space="preserve">import/export</w:t>
      </w:r>
      <w:r>
        <w:t xml:space="preserve">). Der </w:t>
      </w:r>
      <w:r>
        <w:rPr>
          <w:b/>
          <w:bCs/>
        </w:rPr>
        <w:t xml:space="preserve">Berechnungskern</w:t>
      </w:r>
      <w:r>
        <w:t xml:space="preserve"> ist eine abhängigkeitsfreie Bibliothek, die API und Tests identisch verwenden. Externe Schnittstellen: ELO (REST, Kapitel 3.1), swisstopo-Kartendienste (WMS/WMTS, Kapitel 5.2), nachgelagerte Systeme über Datenbank-Views (Kapitel 3.4).</w:t>
      </w:r>
    </w:p>
    <w:p>
      <w:pPr>
        <w:pStyle w:val="Heading3"/>
      </w:pPr>
      <w:r>
        <w:t xml:space="preserve">2.2 Technologieentscheidungen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Entscheid</w:t>
            </w:r>
          </w:p>
        </w:tc>
        <w:tc>
          <w:tcPr>
            <w:shd w:fill="E7E6E6" w:val="clear"/>
            <w:tcMar>
              <w:top w:type="dxa" w:w="60"/>
              <w:left w:type="dxa" w:w="90"/>
              <w:bottom w:type="dxa" w:w="60"/>
              <w:right w:type="dxa" w:w="90"/>
            </w:tcMar>
          </w:tcPr>
          <w:p>
            <w:pPr>
              <w:spacing w:after="0"/>
            </w:pPr>
            <w:r>
              <w:rPr>
                <w:b/>
                <w:bCs/>
                <w:sz w:val="19"/>
                <w:szCs w:val="19"/>
              </w:rPr>
              <w:t xml:space="preserve">Begründung</w:t>
            </w:r>
          </w:p>
        </w:tc>
      </w:tr>
      <w:tr>
        <w:trPr>
          <w:tblHeader w:val="false"/>
        </w:trPr>
        <w:tc>
          <w:tcPr>
            <w:tcMar>
              <w:top w:type="dxa" w:w="60"/>
              <w:left w:type="dxa" w:w="90"/>
              <w:bottom w:type="dxa" w:w="60"/>
              <w:right w:type="dxa" w:w="90"/>
            </w:tcMar>
          </w:tcPr>
          <w:p>
            <w:pPr>
              <w:spacing w:after="0"/>
            </w:pPr>
            <w:r>
              <w:rPr>
                <w:sz w:val="19"/>
                <w:szCs w:val="19"/>
              </w:rPr>
              <w:t xml:space="preserve">Angular 22, Standalone-Komponenten, Signals, PWA</w:t>
            </w:r>
          </w:p>
        </w:tc>
        <w:tc>
          <w:tcPr>
            <w:tcMar>
              <w:top w:type="dxa" w:w="60"/>
              <w:left w:type="dxa" w:w="90"/>
              <w:bottom w:type="dxa" w:w="60"/>
              <w:right w:type="dxa" w:w="90"/>
            </w:tcMar>
          </w:tcPr>
          <w:p>
            <w:pPr>
              <w:spacing w:after="0"/>
            </w:pPr>
            <w:r>
              <w:rPr>
                <w:sz w:val="19"/>
                <w:szCs w:val="19"/>
              </w:rPr>
              <w:t xml:space="preserve">Wahl der Anbieterin: ein Code für Desktop und Mobile (PWA, offline-fähige Entwürfe), langfristig gepflegtes Framework mit Enterprise-Verbreitung, ausgereifte Barrierefreiheits- und i18n-Werkzeuge; Team- und Plattformerfahrung aus ELO</w:t>
            </w:r>
          </w:p>
        </w:tc>
      </w:tr>
      <w:tr>
        <w:trPr>
          <w:tblHeader w:val="false"/>
        </w:trPr>
        <w:tc>
          <w:tcPr>
            <w:tcMar>
              <w:top w:type="dxa" w:w="60"/>
              <w:left w:type="dxa" w:w="90"/>
              <w:bottom w:type="dxa" w:w="60"/>
              <w:right w:type="dxa" w:w="90"/>
            </w:tcMar>
          </w:tcPr>
          <w:p>
            <w:pPr>
              <w:spacing w:after="0"/>
            </w:pPr>
            <w:r>
              <w:rPr>
                <w:sz w:val="19"/>
                <w:szCs w:val="19"/>
              </w:rPr>
              <w:t xml:space="preserve">NestJS 12, TypeORM, OpenAPI-Generierung</w:t>
            </w:r>
          </w:p>
        </w:tc>
        <w:tc>
          <w:tcPr>
            <w:tcMar>
              <w:top w:type="dxa" w:w="60"/>
              <w:left w:type="dxa" w:w="90"/>
              <w:bottom w:type="dxa" w:w="60"/>
              <w:right w:type="dxa" w:w="90"/>
            </w:tcMar>
          </w:tcPr>
          <w:p>
            <w:pPr>
              <w:spacing w:after="0"/>
            </w:pPr>
            <w:r>
              <w:rPr>
                <w:sz w:val="19"/>
                <w:szCs w:val="19"/>
              </w:rPr>
              <w:t xml:space="preserve">Wahl der Anbieterin: eine Sprache (TypeScript) für Oberfläche, API und Berechnungskern – Fachtypen und Berechnungsregeln werden geteilt statt doppelt gepflegt; typisierte DTOs sind der einzige API-Vertrag, der Frontend-Client wird daraus generiert</w:t>
            </w:r>
          </w:p>
        </w:tc>
      </w:tr>
      <w:tr>
        <w:trPr>
          <w:tblHeader w:val="false"/>
        </w:trPr>
        <w:tc>
          <w:tcPr>
            <w:tcMar>
              <w:top w:type="dxa" w:w="60"/>
              <w:left w:type="dxa" w:w="90"/>
              <w:bottom w:type="dxa" w:w="60"/>
              <w:right w:type="dxa" w:w="90"/>
            </w:tcMar>
          </w:tcPr>
          <w:p>
            <w:pPr>
              <w:spacing w:after="0"/>
            </w:pPr>
            <w:r>
              <w:rPr>
                <w:sz w:val="19"/>
                <w:szCs w:val="19"/>
              </w:rPr>
              <w:t xml:space="preserve">galaxy auth/core (eigene, in ELO produktive Plattform)</w:t>
            </w:r>
          </w:p>
        </w:tc>
        <w:tc>
          <w:tcPr>
            <w:tcMar>
              <w:top w:type="dxa" w:w="60"/>
              <w:left w:type="dxa" w:w="90"/>
              <w:bottom w:type="dxa" w:w="60"/>
              <w:right w:type="dxa" w:w="90"/>
            </w:tcMar>
          </w:tcPr>
          <w:p>
            <w:pPr>
              <w:spacing w:after="0"/>
            </w:pPr>
            <w:r>
              <w:rPr>
                <w:sz w:val="19"/>
                <w:szCs w:val="19"/>
              </w:rPr>
              <w:t xml:space="preserve">Benutzer, Rollen, Mandanten, 2FA, Sessions, Replay-Schutz und Objektregeln (Rules) sind erprobt; SLIM ergänzt nur die Fachrollen</w:t>
            </w:r>
          </w:p>
        </w:tc>
      </w:tr>
      <w:tr>
        <w:trPr>
          <w:tblHeader w:val="false"/>
        </w:trPr>
        <w:tc>
          <w:tcPr>
            <w:tcMar>
              <w:top w:type="dxa" w:w="60"/>
              <w:left w:type="dxa" w:w="90"/>
              <w:bottom w:type="dxa" w:w="60"/>
              <w:right w:type="dxa" w:w="90"/>
            </w:tcMar>
          </w:tcPr>
          <w:p>
            <w:pPr>
              <w:spacing w:after="0"/>
            </w:pPr>
            <w:r>
              <w:rPr>
                <w:sz w:val="19"/>
                <w:szCs w:val="19"/>
              </w:rPr>
              <w:t xml:space="preserve">PostgreSQL 16 + PostGIS</w:t>
            </w:r>
          </w:p>
        </w:tc>
        <w:tc>
          <w:tcPr>
            <w:tcMar>
              <w:top w:type="dxa" w:w="60"/>
              <w:left w:type="dxa" w:w="90"/>
              <w:bottom w:type="dxa" w:w="60"/>
              <w:right w:type="dxa" w:w="90"/>
            </w:tcMar>
          </w:tcPr>
          <w:p>
            <w:pPr>
              <w:spacing w:after="0"/>
            </w:pPr>
            <w:r>
              <w:rPr>
                <w:sz w:val="19"/>
                <w:szCs w:val="19"/>
              </w:rPr>
              <w:t xml:space="preserve">Standard mit räumlichen Typen für Empfangspunkte, Anlagenteile und Perimeter, lesende Views für MGDM/ImmoGIS, FGDB-Austausch über GDAL. Der Prototyp läuft über TypeORM auf SQLite/MariaDB; der Treiber ist Konfiguration, Migrationen werden gegen PostgreSQL geführt</w:t>
            </w:r>
          </w:p>
        </w:tc>
      </w:tr>
      <w:tr>
        <w:trPr>
          <w:tblHeader w:val="false"/>
        </w:trPr>
        <w:tc>
          <w:tcPr>
            <w:tcMar>
              <w:top w:type="dxa" w:w="60"/>
              <w:left w:type="dxa" w:w="90"/>
              <w:bottom w:type="dxa" w:w="60"/>
              <w:right w:type="dxa" w:w="90"/>
            </w:tcMar>
          </w:tcPr>
          <w:p>
            <w:pPr>
              <w:spacing w:after="0"/>
            </w:pPr>
            <w:r>
              <w:rPr>
                <w:sz w:val="19"/>
                <w:szCs w:val="19"/>
              </w:rPr>
              <w:t xml:space="preserve">OpenLayers + swisstopo WMS/WMTS (geo.admin.ch)</w:t>
            </w:r>
          </w:p>
        </w:tc>
        <w:tc>
          <w:tcPr>
            <w:tcMar>
              <w:top w:type="dxa" w:w="60"/>
              <w:left w:type="dxa" w:w="90"/>
              <w:bottom w:type="dxa" w:w="60"/>
              <w:right w:type="dxa" w:w="90"/>
            </w:tcMar>
          </w:tcPr>
          <w:p>
            <w:pPr>
              <w:spacing w:after="0"/>
            </w:pPr>
            <w:r>
              <w:rPr>
                <w:sz w:val="19"/>
                <w:szCs w:val="19"/>
              </w:rPr>
              <w:t xml:space="preserve">Offener Standard-Viewer mit LV95, WMS-Hintergründen und Bundeslayern, Massstab, Layer-Konfiguration; keine Lizenzkosten</w:t>
            </w:r>
          </w:p>
        </w:tc>
      </w:tr>
      <w:tr>
        <w:trPr>
          <w:tblHeader w:val="false"/>
        </w:trPr>
        <w:tc>
          <w:tcPr>
            <w:tcMar>
              <w:top w:type="dxa" w:w="60"/>
              <w:left w:type="dxa" w:w="90"/>
              <w:bottom w:type="dxa" w:w="60"/>
              <w:right w:type="dxa" w:w="90"/>
            </w:tcMar>
          </w:tcPr>
          <w:p>
            <w:pPr>
              <w:spacing w:after="0"/>
            </w:pPr>
            <w:r>
              <w:rPr>
                <w:sz w:val="19"/>
                <w:szCs w:val="19"/>
              </w:rPr>
              <w:t xml:space="preserve">GDAL/OGR (OpenFileGDB), ExcelJS</w:t>
            </w:r>
          </w:p>
        </w:tc>
        <w:tc>
          <w:tcPr>
            <w:tcMar>
              <w:top w:type="dxa" w:w="60"/>
              <w:left w:type="dxa" w:w="90"/>
              <w:bottom w:type="dxa" w:w="60"/>
              <w:right w:type="dxa" w:w="90"/>
            </w:tcMar>
          </w:tcPr>
          <w:p>
            <w:pPr>
              <w:spacing w:after="0"/>
            </w:pPr>
            <w:r>
              <w:rPr>
                <w:sz w:val="19"/>
                <w:szCs w:val="19"/>
              </w:rPr>
              <w:t xml:space="preserve">Lesen und Schreiben von File-Geodatabases und Excel mit Standardbibliotheken</w:t>
            </w:r>
          </w:p>
        </w:tc>
      </w:tr>
      <w:tr>
        <w:trPr>
          <w:tblHeader w:val="false"/>
        </w:trPr>
        <w:tc>
          <w:tcPr>
            <w:tcMar>
              <w:top w:type="dxa" w:w="60"/>
              <w:left w:type="dxa" w:w="90"/>
              <w:bottom w:type="dxa" w:w="60"/>
              <w:right w:type="dxa" w:w="90"/>
            </w:tcMar>
          </w:tcPr>
          <w:p>
            <w:pPr>
              <w:spacing w:after="0"/>
            </w:pPr>
            <w:r>
              <w:rPr>
                <w:sz w:val="19"/>
                <w:szCs w:val="19"/>
              </w:rPr>
              <w:t xml:space="preserve">NGINX, Docker, Coolify</w:t>
            </w:r>
          </w:p>
        </w:tc>
        <w:tc>
          <w:tcPr>
            <w:tcMar>
              <w:top w:type="dxa" w:w="60"/>
              <w:left w:type="dxa" w:w="90"/>
              <w:bottom w:type="dxa" w:w="60"/>
              <w:right w:type="dxa" w:w="90"/>
            </w:tcMar>
          </w:tcPr>
          <w:p>
            <w:pPr>
              <w:spacing w:after="0"/>
            </w:pPr>
            <w:r>
              <w:rPr>
                <w:sz w:val="19"/>
                <w:szCs w:val="19"/>
              </w:rPr>
              <w:t xml:space="preserve">Reverse-Proxy mit TLS liefert den Angular-Build und leitet </w:t>
            </w:r>
            <w:r>
              <w:rPr>
                <w:rFonts w:ascii="Consolas" w:cs="Consolas" w:eastAsia="Consolas" w:hAnsi="Consolas"/>
                <w:sz w:val="19"/>
                <w:szCs w:val="19"/>
                <w:shd w:fill="F2F2F2" w:val="clear"/>
              </w:rPr>
              <w:t xml:space="preserve">/api</w:t>
            </w:r>
            <w:r>
              <w:rPr>
                <w:sz w:val="19"/>
                <w:szCs w:val="19"/>
              </w:rPr>
              <w:t xml:space="preserve">; Container-Images versioniert; Coolify für Bereitstellung und Rückfall</w:t>
            </w:r>
          </w:p>
        </w:tc>
      </w:tr>
    </w:tbl>
    <w:p>
      <w:pPr>
        <w:spacing w:after="120"/>
      </w:pPr>
    </w:p>
    <w:p>
      <w:pPr>
        <w:spacing w:after="120"/>
      </w:pPr>
      <w:r>
        <w:rPr>
          <w:b/>
          <w:bCs/>
        </w:rPr>
        <w:t xml:space="preserve">Vorbestehende Bestandteile und Nutzungsrechte.</w:t>
      </w:r>
      <w:r>
        <w:t xml:space="preserve"> SLIM baut auf drei Schichten von Fremd- und Eigenanteilen auf: (1) Open-Source-Komponenten unter permissiven Lizenzen (Angular, NestJS, TypeORM – MIT; OpenLayers – BSD; GDAL – MIT; PostgreSQL/PostGIS – PostgreSQL-/GPL-Lizenz nur serverseitig genutzt; ExcelJS – MIT), ohne Copyleft-Wirkung auf SLIM; (2) die vorbestehende Plattform </w:t>
      </w:r>
      <w:r>
        <w:rPr>
          <w:rFonts w:ascii="Consolas" w:cs="Consolas" w:eastAsia="Consolas" w:hAnsi="Consolas"/>
          <w:sz w:val="20"/>
          <w:szCs w:val="20"/>
          <w:shd w:fill="F2F2F2" w:val="clear"/>
        </w:rPr>
        <w:t xml:space="preserve">@app-galaxy/*</w:t>
      </w:r>
      <w:r>
        <w:t xml:space="preserve"> (Authentifizierung, Mandanten, Rollen, Rule-Engine, Übersetzung, Setup) – proprietäre Bibliotheken, deren Rechteinhaberin und Lizenz an die Auftraggeberin (zeitlich unbefristetes Nutzungsrecht für Betrieb, Wartung und Weiterentwicklung, Quellcode-Zugang oder Hinterlegung) im Angebot ausgewiesen werden [OFFEN: Rechteinhaberin und Lizenztext vor Abgabe festlegen]; (3) der SLIM-Anwendungscode, an dem die Auftraggeberin die vertraglich vereinbarten Rechte erhält. Wartbarkeit durch Dritte: Standard-Stack, öffentliche Paketquellen, generierter API-Vertrag, dokumentiertes Datenmodell, automatisierte Tests und der Setup-Wizard erlauben einer anderen Firma die Übernahme; die galaxy-Bibliotheken sind mit Quellcode, Tests und Dokumentation Teil der Lieferung.</w:t>
      </w:r>
    </w:p>
    <w:p>
      <w:pPr>
        <w:pStyle w:val="Heading3"/>
      </w:pPr>
      <w:r>
        <w:t xml:space="preserve">2.3 Datenhaltung</w:t>
      </w:r>
    </w:p>
    <w:p>
      <w:pPr>
        <w:spacing w:after="120"/>
      </w:pPr>
      <w:r>
        <w:t xml:space="preserve">Das Modell folgt B1 7.4.1 und 10. Schiessplätze und Stellungsräume sind zeitlich unabhängige Referenzobjekte. Die zulässige Kombination Stellungsraum × Waffe/Kaliber trägt das Kontingent und ist der Schlüssel der Erfassung; die </w:t>
      </w:r>
      <w:r>
        <w:rPr>
          <w:b/>
          <w:bCs/>
        </w:rPr>
        <w:t xml:space="preserve">Quellen</w:t>
      </w:r>
      <w:r>
        <w:t xml:space="preserve"> des Lärmmodells (sonARMS-QuellenID = Stellungsraum + Schusslinie + Waffe) gehören zum jeweiligen </w:t>
      </w:r>
      <w:r>
        <w:rPr>
          <w:b/>
          <w:bCs/>
        </w:rPr>
        <w:t xml:space="preserve">Zustand</w:t>
      </w:r>
      <w:r>
        <w:t xml:space="preserve">. Eine Kombination ist mit einer oder mehreren Quellen verknüpft; das Gewicht je Quelle stammt aus den Betriebsdaten der Grundlage (Verhältnis der Schusszahlen je Schusslinie, Anhang 9 nach Tag/Abend, Anhang 7 je Waffenkategorie) und wird beim Import des Zustands gesetzt und ist in der Datenverwaltung einsehbar. Zustände sind versioniert (Baujahr-Klasse, «gültig», «Stand MGDM») und tragen die WLR-Werte je Empfangspunkt × Quelle. Nutzungen sind davon entkoppelt (Herkunft manuell/ELO/Import, Soft-Delete, Änderungshistorie im Logbuch).</w:t>
      </w:r>
    </w:p>
    <w:p>
      <w:pPr>
        <w:spacing w:after="120"/>
      </w:pPr>
      <w:r>
        <w:rPr>
          <w:b/>
          <w:bCs/>
        </w:rPr>
        <w:t xml:space="preserve">Reproduzierbarkeit:</w:t>
      </w:r>
      <w:r>
        <w:t xml:space="preserve"> Abfragen in den Masken rechnen live aus Nutzungen und Zustand. Zusätzlich sichert ein </w:t>
      </w:r>
      <w:r>
        <w:rPr>
          <w:b/>
          <w:bCs/>
        </w:rPr>
        <w:t xml:space="preserve">Berechnungsstand</w:t>
      </w:r>
      <w:r>
        <w:t xml:space="preserve"> (Masken 5.18–5.21 «Berechnungen») jedes fachlich relevante Ergebnis unveränderbar: Zeitraum, Zustand, Parameter (Feiertagskalender, Grenzwerte, Ampelschwellen, Jahre der Mittelung), die verwendeten Nutzungen als vollständige Kopie (ID, Datum, Beginn, Ende, Nutzungsart, Stellungsraum, Waffe/Kaliber, Kategorie, Schusszahl, Herkunft), die Quellen mit ihren Gewichten, die WLR-Werte und Empfangspunkte (ES, Baujahr) des Zustands, Softwareversion des Berechnungskerns, Ergebnisse je Empfangspunkt, Ersteller und Zeitpunkt. Berechnungsstände sind unveränderbar (kein Update/Delete auf Datenbankebene, nur Archivieren); Zustände, Quellengewichte und WLR-Werte werden nach der Freigabe nicht mehr geändert, sondern als neuer Zustand importiert. Ein Berechnungsstand lässt sich später mit derselben Kernversion aus der eigenen Kopie nachrechnen (Prüfsumme über alle Eingaben) und mit dem aktuellen Stand vergleichen; er ist die Grundlage für MGDM-Stände und Exporte. Jede Tabelle trägt </w:t>
      </w:r>
      <w:r>
        <w:rPr>
          <w:rFonts w:ascii="Consolas" w:cs="Consolas" w:eastAsia="Consolas" w:hAnsi="Consolas"/>
          <w:sz w:val="20"/>
          <w:szCs w:val="20"/>
          <w:shd w:fill="F2F2F2" w:val="clear"/>
        </w:rPr>
        <w:t xml:space="preserve">tenantId</w:t>
      </w:r>
      <w:r>
        <w:t xml:space="preserve">, Zeitstempel und Löschmarke; das Schema wird per Migration versioniert und als ERD automatisch dokumentiert. </w:t>
      </w:r>
      <w:r>
        <w:rPr>
          <w:i/>
          <w:iCs/>
        </w:rPr>
        <w:t xml:space="preserve">Prototyp:</w:t>
      </w:r>
      <w:r>
        <w:t xml:space="preserve"> Kernmodell (Schiessplatz, Stellungsraum, Kombination, Zustand, Empfangspunkt, WLR, Nutzung) umgesetzt mit genau einer Quelle je Kombination und Live-Berechnung; Quellengewichte und Berechnungsstand sind Zielzustand. Der Demo-Datensatz «SLIM Demo» mit neun Schiessplätzen wird aus diesem Modell erzeugt.</w:t>
      </w:r>
    </w:p>
    <w:p>
      <w:pPr>
        <w:spacing w:after="160" w:before="120"/>
        <w:jc w:val="center"/>
      </w:pPr>
      <w:r>
        <w:drawing>
          <wp:inline distT="0" distB="0" distL="0" distR="0">
            <wp:extent cx="47815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81550" cy="2009775"/>
                    </a:xfrm>
                    <a:prstGeom prst="rect">
                      <a:avLst/>
                    </a:prstGeom>
                  </pic:spPr>
                </pic:pic>
              </a:graphicData>
            </a:graphic>
          </wp:inline>
        </w:drawing>
      </w:r>
    </w:p>
    <w:p>
      <w:pPr>
        <w:pStyle w:val="Heading3"/>
      </w:pPr>
      <w:r>
        <w:t xml:space="preserve">2.4 Sicherheit</w:t>
      </w:r>
    </w:p>
    <w:p>
      <w:pPr>
        <w:spacing w:after="120"/>
      </w:pPr>
      <w:r>
        <w:rPr>
          <w:b/>
          <w:bCs/>
        </w:rPr>
        <w:t xml:space="preserve">Rollen und Rechte (B1 8.1):</w:t>
      </w:r>
      <w:r>
        <w:t xml:space="preserve"> Die vier Rollen sind mit der Rechtematrix 8.1.2 als App-Rechte (R/W/X je Applikationsbereich) hinterlegt; «W/R-O – nur zugeordnete Schiessplätze» erzwingt eine Objektregel der Rule-Engine (Zuordnung Benutzer ↔ Schiessplatz, 403 ausserhalb, gefilterte Listen). Jede Route und jeder Deep Link wird serverseitig geprüft; die Oberfläche blendet Menüs und Aktionen nach denselben Rollen-Schlüsseln aus (CASL). </w:t>
      </w:r>
      <w:r>
        <w:rPr>
          <w:b/>
          <w:bCs/>
        </w:rPr>
        <w:t xml:space="preserve">Anmeldung:</w:t>
      </w:r>
      <w:r>
        <w:t xml:space="preserve"> Passwortregeln, Sperre nach Fehlversuchen, Zwei-Faktor per E-Mail-Code oder TOTP-App – damit ist «MFA oder AGOV» erfüllt; eine AGOV-Anbindung über OIDC ist als Option vorgesehen [OFFEN: Entscheid Auftraggeberin]. </w:t>
      </w:r>
      <w:r>
        <w:rPr>
          <w:b/>
          <w:bCs/>
        </w:rPr>
        <w:t xml:space="preserve">Nachvollziehbarkeit (slm 56):</w:t>
      </w:r>
      <w:r>
        <w:t xml:space="preserve"> Logbuch mit Login (Methode), Fehlversuch mit Grund, Sperre, Logout, Token-Wiederverwendung, Passwort-Reset und -Änderung, E-Mail-Verifikation, Änderungen an Benutzern, Rollen, Stammdaten und Exporten; Maske mit Filtern und Excel-Export; Notfallzugang (Break-Glass) als dokumentierter Prozess mit Vier-Augen-Freigabe, versiegeltem Passwort und Pflichtprotokoll. </w:t>
      </w:r>
      <w:r>
        <w:rPr>
          <w:b/>
          <w:bCs/>
        </w:rPr>
        <w:t xml:space="preserve">Härtung:</w:t>
      </w:r>
      <w:r>
        <w:t xml:space="preserve"> Security-Header (HSTS, CSP), CORS, Rate-Limiting, Eingabevalidierung (DTOs, UUID-Parameter, Fachregeln), Geheimnisse ausserhalb des Images, Abhängigkeits-Scan im Build. </w:t>
      </w:r>
      <w:r>
        <w:rPr>
          <w:i/>
          <w:iCs/>
        </w:rPr>
        <w:t xml:space="preserve">Prototyp:</w:t>
      </w:r>
      <w:r>
        <w:t xml:space="preserve"> Rollen, Matrix, Objektregel, 2FA, Logbuch inkl. aller Auth-Ereignisse umgesetzt und getestet; CASL-Ableitung folgt.</w:t>
      </w:r>
    </w:p>
    <w:p>
      <w:pPr>
        <w:spacing w:after="160" w:before="120"/>
        <w:jc w:val="center"/>
      </w:pPr>
      <w:r>
        <w:drawing>
          <wp:inline distT="0" distB="0" distL="0" distR="0">
            <wp:extent cx="6124575" cy="83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838200"/>
                    </a:xfrm>
                    <a:prstGeom prst="rect">
                      <a:avLst/>
                    </a:prstGeom>
                  </pic:spPr>
                </pic:pic>
              </a:graphicData>
            </a:graphic>
          </wp:inline>
        </w:drawing>
      </w:r>
    </w:p>
    <w:p>
      <w:pPr>
        <w:pStyle w:val="Heading3"/>
      </w:pPr>
      <w:r>
        <w:t xml:space="preserve">2.5 Bereitstellung und Betrieb</w:t>
      </w:r>
    </w:p>
    <w:p>
      <w:pPr>
        <w:spacing w:after="120"/>
      </w:pPr>
      <w:r>
        <w:t xml:space="preserve">SLIM wird in einem Schweizer Rechenzentrum (ISO 27001, Daten und Sicherungen bleiben in der Schweiz, Support aus der Schweiz) betrieben [OFFEN: Provider und Vertragspartner vor Abgabe benennen; Anforderungen sind festgelegt]. Drei getrennte Umgebungen (Entwicklung, Akzeptanz, Produktion) mit identischen Container-Images; NGINX terminiert TLS (≥ 1.2), liefert den Angular-Build und leitet </w:t>
      </w:r>
      <w:r>
        <w:rPr>
          <w:rFonts w:ascii="Consolas" w:cs="Consolas" w:eastAsia="Consolas" w:hAnsi="Consolas"/>
          <w:sz w:val="20"/>
          <w:szCs w:val="20"/>
          <w:shd w:fill="F2F2F2" w:val="clear"/>
        </w:rPr>
        <w:t xml:space="preserve">/api</w:t>
      </w:r>
      <w:r>
        <w:t xml:space="preserve"> an den API-Container; Berechnungen, Importe und Exporte laufen in einem eigenen Worker-Container (Kapitel 4.4); PostgreSQL läuft als eigener Container mit persistentem Volume; Coolify verwaltet Bereitstellung, Umgebungsvariablen und Rollback, getrennt vom öffentlichen SLIM-Zugang. Releases sind versionierte Artefakte mit Datenbankmigration und Smoke-Test über Health-Endpunkte. Rückfall: Migrationen werden rückwärtskompatibel geschrieben (erweitern statt umbenennen/löschen; Aufräumen erst im übernächsten Release), sodass das vorherige Image auf dem migrierten Schema lauffähig bleibt; jede Migration hat einen getesteten Down-Schritt; vor jedem Produktionsrelease wird eine Sicherung gezogen, und für nicht rückwärtskompatible Änderungen gilt ein abgestimmter Wiederherstellungsweg (Wartungsfenster, Restore der Sicherung, Wiedereinspielen der seither erfassten Nutzungen aus dem Logbuch). Der Rückfall wird auf dem Akzeptanzsystem geprobt. Sicherung: täglich, Mehrgenerationen über zwölf Monate, RPO ein Tag, RTO zwei Tage, Alarm bei fehlender Sicherung (slm 57), jährlicher Restore-Test. Monitoring: Health-Endpunkte, Metriken (Antwortzeiten, Fehlerraten, Jobs) und Alarmierung für den SLA-Nachweis (99 % Mo–Fr 07–19 Uhr). </w:t>
      </w:r>
      <w:r>
        <w:rPr>
          <w:i/>
          <w:iCs/>
        </w:rPr>
        <w:t xml:space="preserve">Prototyp:</w:t>
      </w:r>
      <w:r>
        <w:t xml:space="preserve"> Docker-Image (Node 24, pm2), Compose mit MariaDB, Health-Endpunkte, reproduzierbarer Setup-Wizard.</w:t>
      </w:r>
    </w:p>
    <w:p>
      <w:pPr>
        <w:spacing w:after="160" w:before="120"/>
        <w:jc w:val="center"/>
      </w:pPr>
      <w:r>
        <w:drawing>
          <wp:inline distT="0" distB="0" distL="0" distR="0">
            <wp:extent cx="489585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95850" cy="1219200"/>
                    </a:xfrm>
                    <a:prstGeom prst="rect">
                      <a:avLst/>
                    </a:prstGeom>
                  </pic:spPr>
                </pic:pic>
              </a:graphicData>
            </a:graphic>
          </wp:inline>
        </w:drawing>
      </w:r>
    </w:p>
    <w:p>
      <w:pPr>
        <w:pStyle w:val="Heading2"/>
      </w:pPr>
      <w:r>
        <w:t xml:space="preserve">3 Schnittstellen, Import und Export</w:t>
      </w:r>
    </w:p>
    <w:p>
      <w:pPr>
        <w:pStyle w:val="Heading3"/>
      </w:pPr>
      <w:r>
        <w:t xml:space="preserve">3.1 ELO-Anbindung</w:t>
      </w:r>
    </w:p>
    <w:p>
      <w:pPr>
        <w:spacing w:after="120"/>
      </w:pPr>
      <w:r>
        <w:t xml:space="preserve">SLIM stellt die REST-Schnittstelle nach B1 Kapitel 6 bereit: </w:t>
      </w:r>
      <w:r>
        <w:rPr>
          <w:rFonts w:ascii="Consolas" w:cs="Consolas" w:eastAsia="Consolas" w:hAnsi="Consolas"/>
          <w:sz w:val="20"/>
          <w:szCs w:val="20"/>
          <w:shd w:fill="F2F2F2" w:val="clear"/>
        </w:rPr>
        <w:t xml:space="preserve">GET</w:t>
      </w:r>
      <w:r>
        <w:t xml:space="preserve"> Anlageninformationen (Schiessplätze → Stellungsräume → zulässige Waffen/Kaliber – genau das Modell </w:t>
      </w:r>
      <w:r>
        <w:rPr>
          <w:rFonts w:ascii="Consolas" w:cs="Consolas" w:eastAsia="Consolas" w:hAnsi="Consolas"/>
          <w:sz w:val="20"/>
          <w:szCs w:val="20"/>
          <w:shd w:fill="F2F2F2" w:val="clear"/>
        </w:rPr>
        <w:t xml:space="preserve">area</w:t>
      </w:r>
      <w:r>
        <w:t xml:space="preserve">/</w:t>
      </w:r>
      <w:r>
        <w:rPr>
          <w:rFonts w:ascii="Consolas" w:cs="Consolas" w:eastAsia="Consolas" w:hAnsi="Consolas"/>
          <w:sz w:val="20"/>
          <w:szCs w:val="20"/>
          <w:shd w:fill="F2F2F2" w:val="clear"/>
        </w:rPr>
        <w:t xml:space="preserve">area_room</w:t>
      </w:r>
      <w:r>
        <w:t xml:space="preserve">/</w:t>
      </w:r>
      <w:r>
        <w:rPr>
          <w:rFonts w:ascii="Consolas" w:cs="Consolas" w:eastAsia="Consolas" w:hAnsi="Consolas"/>
          <w:sz w:val="20"/>
          <w:szCs w:val="20"/>
          <w:shd w:fill="F2F2F2" w:val="clear"/>
        </w:rPr>
        <w:t xml:space="preserve">area_weapon</w:t>
      </w:r>
      <w:r>
        <w:t xml:space="preserve">) und </w:t>
      </w:r>
      <w:r>
        <w:rPr>
          <w:rFonts w:ascii="Consolas" w:cs="Consolas" w:eastAsia="Consolas" w:hAnsi="Consolas"/>
          <w:sz w:val="20"/>
          <w:szCs w:val="20"/>
          <w:shd w:fill="F2F2F2" w:val="clear"/>
        </w:rPr>
        <w:t xml:space="preserve">POST</w:t>
      </w:r>
      <w:r>
        <w:t xml:space="preserve"> genau eine Schiessplatznutzung. Authentifizierung über ein technisches Konto mit eigener Rolle (nur diese zwei Endpunkte), JSON UTF-8, HTTPS mit TLS ≥ 1.2. Validierung vor dem Speichern: Schema, Pflichtfelder, existierende IDs, Viertelstundenraster, Ende &gt; Start, Feldlängen, zulässige Kombination Stellungsraum × Waffe, Sperrdatum; Fehler kommen synchron mit HTTP-Status, Fehlercode und verständlicher Meldung zurück, gültige Nutzungen erhalten die Herkunft «ELO» und sind sofort in Maske 5.11 und in der Beurteilung sichtbar. Vorgehen: Die Schnittstellenspezifikation (Felder, Codes, Fehlerfälle, Konten) wird zu Beginn mit der Auftraggeberin und der ELO-Seite abgestimmt und als OpenAPI-Dokument festgeschrieben (die ELO-seitige Spezifikation verantwortet gemäss FAQ 17 die Auftraggeberin); SLIM stellt früh eine Testumgebung mit Demo-Daten bereit; Integrationstests über beide Systeme (Anlagenabruf, Meldung, alle Fehlerfälle) gehören zur Abnahme. Die Erfahrung des Projektteams mit ELO und der gemeinsamen Plattform verkürzt Abstimmung und Fehlersuche, ersetzt diese Schritte aber nicht [OFFEN: Formulierung an die einreichende Firma anpassen]. </w:t>
      </w:r>
      <w:r>
        <w:rPr>
          <w:i/>
          <w:iCs/>
        </w:rPr>
        <w:t xml:space="preserve">Prototyp:</w:t>
      </w:r>
      <w:r>
        <w:t xml:space="preserve"> Datenmodell, Herkunft «ELO» mit Kennzeichen in der Maske und die Validierungsregeln des Nutzungs-Service sind umgesetzt; die beiden Endpunkte folgen als dünne Controller darauf.</w:t>
      </w:r>
    </w:p>
    <w:p>
      <w:pPr>
        <w:pStyle w:val="Heading3"/>
      </w:pPr>
      <w:r>
        <w:t xml:space="preserve">3.2 Übernahme von Stamm-, Schusszahlen- und Berechnungsdaten</w:t>
      </w:r>
    </w:p>
    <w:p>
      <w:pPr>
        <w:pStyle w:val="ListParagraph"/>
        <w:numPr>
          <w:ilvl w:val="0"/>
          <w:numId w:val="2"/>
        </w:numPr>
        <w:spacing w:after="40"/>
      </w:pPr>
      <w:r>
        <w:rPr>
          <w:b/>
          <w:bCs/>
        </w:rPr>
        <w:t xml:space="preserve">Stammdaten (slm 36):</w:t>
      </w:r>
      <w:r>
        <w:t xml:space="preserve"> Initialimport aus B1.6 «Areal_Grundlagen» und B1.7 Waffenliste per CSV/Excel in einen Prüfbereich (Staging-Tabellen); Abgleich über Koordinationsabschnitt-Nr., Stellungsraum-Name und Waffe/Kaliber; Prüfbericht mit Zeilenbezug; Übernahme erst nach fehlerfreiem Lauf. Datenqualität und Volumen werden mit der Auftraggeberin an den Originaldaten vorab geprüft (Testdaten gemäss Mitwirkungspflichten A1.1, Ziffer 6).</w:t>
      </w:r>
    </w:p>
    <w:p>
      <w:pPr>
        <w:pStyle w:val="ListParagraph"/>
        <w:numPr>
          <w:ilvl w:val="0"/>
          <w:numId w:val="2"/>
        </w:numPr>
        <w:spacing w:after="40"/>
      </w:pPr>
      <w:r>
        <w:rPr>
          <w:b/>
          <w:bCs/>
        </w:rPr>
        <w:t xml:space="preserve">Schusszahlen (slm 37):</w:t>
      </w:r>
      <w:r>
        <w:t xml:space="preserve"> Excel-Import nach der Vorlage B1.6 (B1 Kapitel 9.3) mit denselben Regeln wie die Maske 5.11 und wie ELO; Zeilen mit unbekanntem Stellungsraum oder unzulässiger Kombination werden abgewiesen und im Bericht ausgewiesen (slm 45).</w:t>
      </w:r>
    </w:p>
    <w:p>
      <w:pPr>
        <w:pStyle w:val="ListParagraph"/>
        <w:numPr>
          <w:ilvl w:val="0"/>
          <w:numId w:val="2"/>
        </w:numPr>
        <w:spacing w:after="40"/>
      </w:pPr>
      <w:r>
        <w:rPr>
          <w:b/>
          <w:bCs/>
        </w:rPr>
        <w:t xml:space="preserve">Berechnungsdaten (slm 19, 21):</w:t>
      </w:r>
      <w:r>
        <w:t xml:space="preserve"> FGDB aus sonARMS (Anlagenteile, Empfangspunkte, WLR-DAY/WLR-NIGHT, Betriebsdaten A9/A7) wird mit GDAL/OGR gelesen, in Staging geladen und geprüft: Quellen-IDs müssen auf bekannte Stellungsräume/Waffen abbilden, Empfangspunkte brauchen ES und EGID, WLR-Werte müssen vollständig sein. Erst dann entsteht ein neuer </w:t>
      </w:r>
      <w:r>
        <w:rPr>
          <w:b/>
          <w:bCs/>
        </w:rPr>
        <w:t xml:space="preserve">Zustand</w:t>
      </w:r>
      <w:r>
        <w:t xml:space="preserve"> mit Referenzjahr, Baujahr-Klasse und Kennzeichen «gültig»/«MGDM»; frühere Zustände bleiben erhalten. </w:t>
      </w:r>
      <w:r>
        <w:rPr>
          <w:i/>
          <w:iCs/>
        </w:rPr>
        <w:t xml:space="preserve">Prototyp:</w:t>
      </w:r>
      <w:r>
        <w:t xml:space="preserve"> Zielstrukturen (Zustand, Empfangspunkte, WLR je Empfangspunkt × Quelle) und die Formate aus B1.4 werden bereits vom Demo-Datensatz-Generator bedient; der Importdialog (5.19) mit Prüfbericht folgt.</w:t>
      </w:r>
    </w:p>
    <w:p>
      <w:pPr>
        <w:spacing w:after="80"/>
      </w:pPr>
    </w:p>
    <w:p>
      <w:pPr>
        <w:pStyle w:val="Heading3"/>
      </w:pPr>
      <w:r>
        <w:t xml:space="preserve">3.3 Dateiformate, Validierung und Fehler</w:t>
      </w:r>
    </w:p>
    <w:p>
      <w:pPr>
        <w:spacing w:after="120"/>
      </w:pPr>
      <w:r>
        <w:t xml:space="preserve">Excel (</w:t>
      </w:r>
      <w:r>
        <w:rPr>
          <w:rFonts w:ascii="Consolas" w:cs="Consolas" w:eastAsia="Consolas" w:hAnsi="Consolas"/>
          <w:sz w:val="20"/>
          <w:szCs w:val="20"/>
          <w:shd w:fill="F2F2F2" w:val="clear"/>
        </w:rPr>
        <w:t xml:space="preserve">.xlsx</w:t>
      </w:r>
      <w:r>
        <w:t xml:space="preserve">) und CSV (UTF-8, Semikolon) über ExcelJS; FGDB über GDAL. Jeder Import läuft als Job (Kapitel 6.2): Datei ablegen → Struktur prüfen → fachlich validieren → Bericht → Übernahme in einer Transaktion. Fehler werden nie verschluckt: Der Bericht nennt Zeile, Feld, Regel und Behebung; ein Import mit Fehlern übernimmt nichts. Alle Prüfregeln sind dieselben wie in Maske und Schnittstelle (ein Service).</w:t>
      </w:r>
    </w:p>
    <w:p>
      <w:pPr>
        <w:pStyle w:val="Heading3"/>
      </w:pPr>
      <w:r>
        <w:t xml:space="preserve">3.4 Exporte und nachgelagerte Systeme</w:t>
      </w:r>
    </w:p>
    <w:p>
      <w:pPr>
        <w:spacing w:after="120"/>
      </w:pPr>
      <w:r>
        <w:t xml:space="preserve">Jede Tabelle exportiert ihre aktuelle Sicht (Filter, Spalten) als Excel; Schusszahlen und Gesamtstatistik (slm 39–41) nach den Vorlagen aus B1. Berechnungsstände werden als GeoDB (GDAL) und CSV exportiert (slm 20). Für MGDM und ImmoGIS (slm 38) stellt PostgreSQL lesende Views mit eigenen technischen Konten bereit (nur SELECT, mandantengebunden, protokolliert); bundesinterne Empfänger gemäss FAQ 15. </w:t>
      </w:r>
      <w:r>
        <w:rPr>
          <w:i/>
          <w:iCs/>
        </w:rPr>
        <w:t xml:space="preserve">Prototyp:</w:t>
      </w:r>
      <w:r>
        <w:t xml:space="preserve"> Excel-Export des Logbuchs, Exportknöpfe der Fachmasken vorbereitet.</w:t>
      </w:r>
    </w:p>
    <w:p>
      <w:pPr>
        <w:pStyle w:val="Heading2"/>
      </w:pPr>
      <w:r>
        <w:t xml:space="preserve">4 Lärmberechnung</w:t>
      </w:r>
    </w:p>
    <w:p>
      <w:pPr>
        <w:pStyle w:val="Heading3"/>
      </w:pPr>
      <w:r>
        <w:t xml:space="preserve">4.1 Berechnungsablauf</w:t>
      </w:r>
    </w:p>
    <w:p>
      <w:pPr>
        <w:spacing w:after="120"/>
      </w:pPr>
      <w:r>
        <w:t xml:space="preserve">Eingaben: Nutzungen des Zeitraums (je Kombination Stellungsraum × Waffe/Kaliber), die Quellen des Zustands (Stellungsraum + Schusslinie + Waffe, Kapitel 2.3) mit Gewicht und Kategorie, der gewählte Zustand mit LAE Tag/Abend und LAFmax je Empfangspunkt × Quelle, Empfangspunkte mit Empfindlichkeitsstufe und Baujahr. Ergebnisse: Beurteilungspegel je Empfangspunkt (Anhang 9: LAE1/LAE2/Lr; Anhang 7: Li/Lri/Lr), Grenzwert, Reserve und Ampel je Zeile, aggregiert je Schiessplatz. Die akustischen Grundlagen stammen aus sonARMS; SLIM baut die Schallausbreitung nicht nach.</w:t>
      </w:r>
    </w:p>
    <w:p>
      <w:pPr>
        <w:spacing w:after="160" w:before="120"/>
        <w:jc w:val="center"/>
      </w:pPr>
      <w:r>
        <w:drawing>
          <wp:inline distT="0" distB="0" distL="0" distR="0">
            <wp:extent cx="6124575"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1819275"/>
                    </a:xfrm>
                    <a:prstGeom prst="rect">
                      <a:avLst/>
                    </a:prstGeom>
                  </pic:spPr>
                </pic:pic>
              </a:graphicData>
            </a:graphic>
          </wp:inline>
        </w:drawing>
      </w:r>
    </w:p>
    <w:p>
      <w:pPr>
        <w:pStyle w:val="Heading3"/>
      </w:pPr>
      <w:r>
        <w:t xml:space="preserve">4.2 Umsetzung der fachlichen Regeln</w:t>
      </w:r>
    </w:p>
    <w:p>
      <w:pPr>
        <w:pStyle w:val="ListParagraph"/>
        <w:numPr>
          <w:ilvl w:val="0"/>
          <w:numId w:val="3"/>
        </w:numPr>
        <w:spacing w:after="40"/>
      </w:pPr>
      <w:r>
        <w:t xml:space="preserve">Nutzungen nach Zeitraum und Nutzungskategorie wählen (B1 Tabelle 2): </w:t>
      </w:r>
      <w:r>
        <w:rPr>
          <w:b/>
          <w:bCs/>
        </w:rPr>
        <w:t xml:space="preserve">Anhang 9</w:t>
      </w:r>
      <w:r>
        <w:t xml:space="preserve"> berücksichtigt alle Kategorien – Militär, Zivil, Blaulicht und SAT; </w:t>
      </w:r>
      <w:r>
        <w:rPr>
          <w:b/>
          <w:bCs/>
        </w:rPr>
        <w:t xml:space="preserve">Anhang 7</w:t>
      </w:r>
      <w:r>
        <w:t xml:space="preserve"> normalerweise Zivil und SAT, alle Kategorien bei gesetztem Flag «Gesamtbeurteilung nach Anhang 7» des Schiessplatzes; nur Nutzungen mit gültiger Zuordnung Stellungsraum × Waffe.</w:t>
      </w:r>
    </w:p>
    <w:p>
      <w:pPr>
        <w:pStyle w:val="ListParagraph"/>
        <w:numPr>
          <w:ilvl w:val="0"/>
          <w:numId w:val="3"/>
        </w:numPr>
        <w:spacing w:after="40"/>
      </w:pPr>
      <w:r>
        <w:t xml:space="preserve">Betriebsdaten: Schuss anteilig innerhalb/ausserhalb Werktag Mo–Fr 07–19 Uhr (Sa/So und Feiertage ganz ausserhalb, Zeit vor 07 und nach 19 Uhr sowie halbe Feiertage anteilig). Feiertage gelten </w:t>
      </w:r>
      <w:r>
        <w:rPr>
          <w:b/>
          <w:bCs/>
        </w:rPr>
        <w:t xml:space="preserve">lokal am Standort</w:t>
      </w:r>
      <w:r>
        <w:t xml:space="preserve"> (B1 S. 71): je Schiessplatz ein Kalender aus nationalen, kantonalen und Gemeinde-Feiertagen inklusive halber Feiertage (Vor-/Nachmittag), in der erweiterten Konfiguration pflegbar und aus Vorlagen übernehmbar; Schiesshalbtage je Waffenkategorie a–f (Werktag Mo–Sa / Sonn- und Feiertag), Mittelung über die konfigurierten Jahre.</w:t>
      </w:r>
    </w:p>
    <w:p>
      <w:pPr>
        <w:pStyle w:val="ListParagraph"/>
        <w:numPr>
          <w:ilvl w:val="0"/>
          <w:numId w:val="3"/>
        </w:numPr>
        <w:spacing w:after="40"/>
      </w:pPr>
      <w:r>
        <w:t xml:space="preserve">Verteilung auf Quellen: jede Kombination Stellungsraum × Waffe kennt ihre Quellen des Zustands mit Gewicht (Kapitel 2.3); die Schusszahlen aus Schritt 2 werden im Verhältnis dieser Gewichte auf die Quellen (Schusslinien) verteilt – eine Kombination mit genau einer Quelle erhält alles.</w:t>
      </w:r>
    </w:p>
    <w:p>
      <w:pPr>
        <w:pStyle w:val="ListParagraph"/>
        <w:numPr>
          <w:ilvl w:val="0"/>
          <w:numId w:val="3"/>
        </w:numPr>
        <w:spacing w:after="40"/>
      </w:pPr>
      <w:r>
        <w:t xml:space="preserve">Energetische Aggregation je Empfangspunkt; leere Quellen und Nullfälle explizit.</w:t>
      </w:r>
    </w:p>
    <w:p>
      <w:pPr>
        <w:pStyle w:val="ListParagraph"/>
        <w:numPr>
          <w:ilvl w:val="0"/>
          <w:numId w:val="3"/>
        </w:numPr>
        <w:spacing w:after="40"/>
      </w:pPr>
      <w:r>
        <w:t xml:space="preserve">Grenzwerte nach ES und Baujahr (vor 1985 IGW, danach PW, gemischt beides); Ampel rot &gt; Grenzwert, orange &gt; Grenzwert − 5 dB, sonst grün; Kontingent-Ampel 100 %/125 %. Grenzwerttabellen und Schwellen liegen in der erweiterten Konfiguration.</w:t>
      </w:r>
    </w:p>
    <w:p>
      <w:pPr>
        <w:spacing w:after="80"/>
      </w:pPr>
    </w:p>
    <w:p>
      <w:pPr>
        <w:pStyle w:val="Heading3"/>
      </w:pPr>
      <w:r>
        <w:t xml:space="preserve">4.3 Nachweis der Korrektheit</w:t>
      </w:r>
    </w:p>
    <w:p>
      <w:pPr>
        <w:spacing w:after="120"/>
      </w:pPr>
      <w:r>
        <w:t xml:space="preserve">Der Berechnungskern wird gegen die Empa-Demorechnung B1.4 getestet (95 automatisierte Tests, Stand 11.09.2026). </w:t>
      </w:r>
      <w:r>
        <w:rPr>
          <w:b/>
          <w:bCs/>
        </w:rPr>
        <w:t xml:space="preserve">Anhang 9:</w:t>
      </w:r>
      <w:r>
        <w:t xml:space="preserve"> LAE1, LAE2 und Lr stimmen für alle zwölf Empfangspunkte mit den Kontrollwerten überein – gerundet auf 0.1 dB identisch (z. B. E1 60.7/73.8, E4a 41.8/53.1), ungerundet mit einer Abweichung unter 10⁻⁶ dB (Excel-LOG gegen Math.log10). </w:t>
      </w:r>
      <w:r>
        <w:rPr>
          <w:b/>
          <w:bCs/>
        </w:rPr>
        <w:t xml:space="preserve">Anhang 7:</w:t>
      </w:r>
      <w:r>
        <w:t xml:space="preserve"> Li, Lri und Lr stimmen für elf Empfangspunkte gerundet überein; bei E8 liefert der Kern 28.0 dB statt 28.08 dB. Ursache: Die Excel-Vorlage schreibt für Waffenkategorien ohne Schüsse 0 dB in die Lri-Zellen und summiert diese mit, was einen sehr leisen Empfangspunkt um wenige Hundertstel anhebt; der Kern lässt Kategorien ohne Schüsse aus der energetischen Summe weg, wie es die Formel in B1 7.6 vorsieht. Diese Abweichung ist im Test ausdrücklich dokumentiert; die fachlich verbindliche Variante lässt die Anbieterin von der Fachstelle bestätigen und setzt sie als Parameter um, sodass beide Lesarten nachrechenbar bleiben. Die Abnahmetoleranz (absolute Abweichung je Wert) wird mit der Fachstelle festgelegt und in den Tests hinterlegt. Weitere Tests decken Werktag-/Feiertagsregeln, Halbtagzählung, gemischte Baujahre, fehlende Quellen, Schusszahl null, Skalierung (×10 = +10 dB, Abend +5 dB) und die Ampelschwellen ab. Jeder weitere Referenzfall der Auftraggeberin wird als Test aufgenommen; die Fachverantwortlichen bestätigen die Resultate vor der Abnahme. </w:t>
      </w:r>
      <w:r>
        <w:rPr>
          <w:i/>
          <w:iCs/>
        </w:rPr>
        <w:t xml:space="preserve">Prototyp:</w:t>
      </w:r>
      <w:r>
        <w:t xml:space="preserve"> Kontrollwerte wie beschrieben belegt; die Kategorienregel (Anhang 9 alle, Anhang 7 Zivil + SAT) und halbe Feiertage sind im Kern umgesetzt und getestet, der Demo-Datensatz enthält Blaulicht- und SAT-Nutzungen.</w:t>
      </w:r>
    </w:p>
    <w:p>
      <w:pPr>
        <w:pStyle w:val="Heading3"/>
      </w:pPr>
      <w:r>
        <w:t xml:space="preserve">4.4 Performance, Skalierung und grosse Datenmengen</w:t>
      </w:r>
    </w:p>
    <w:p>
      <w:pPr>
        <w:spacing w:after="120"/>
      </w:pPr>
      <w:r>
        <w:t xml:space="preserve">Auslegung: 126 Schiessplätze, 766 Stellungsräume, zehn gleichzeitige Nutzer, Antwortzeiten nach B1 12.5 (Suche Ø 2 s, Berechnung Ø 5 s/max. 10 s). Eine Beurteilung braucht im Prototyp mit 16 Quellen, 6 Empfangspunkten und einem Jahr Nutzungen rund 100 ms; Nutzungen werden je Schiessplatz und Zeitraum über Indizes gelesen und in einer Abfrage summiert. </w:t>
      </w:r>
      <w:r>
        <w:rPr>
          <w:b/>
          <w:bCs/>
        </w:rPr>
        <w:t xml:space="preserve">Ressourcenisolation:</w:t>
      </w:r>
      <w:r>
        <w:t xml:space="preserve"> Im Zielzustand rechnet nicht der API-Prozess, sondern ein Pool von Worker-Prozessen (eigener Container, Node-Worker-Threads) mit Warteschlange, begrenzter Parallelität (Anzahl CPU-Kerne) und Zeitlimit je Auftrag. Einzelberechnungen der Masken 5.12/5.13 haben Priorität vor Gesamtläufen (Ampeln der Übersicht, Jahresstatistik, Exporte), die im Hintergrund mit tagesaktuellem Ergebnis laufen (NFA erlaubt das). Eine aufwendige Berechnung blockiert so nie die API. Damit sie auch andere Berechnungen nicht verdrängt, gelten Ressourcenlimits und faire Verteilung: CPU- und Speicherlimits je Worker-Container, ein Zeitlimit je Auftrag (Abbruch mit Meldung statt Endlosbelegung), höchstens ein laufender Auftrag je Nutzer und Round-Robin über wartende Nutzer, reservierte Kapazität für Einzelberechnungen gegenüber Gesamtläufen. Die Wartezeit in der Warteschlange zählt zur gemessenen Antwortzeit (B1 12.5); überschreitet sie den Zielwert, alarmiert das Monitoring, und die API meldet dem Nutzer die voraussichtliche Wartezeit statt eines Timeouts. Weitere API- oder Worker-Container ermöglichen horizontale Skalierung; der erreichbare Durchsatz und die Antwortzeiten nach B1 12.5 werden im Lasttest (k6, Akzeptanzsystem, Datenbestand in Zielgrösse) nachgewiesen, die Kriterien-Tests messen sie laufend. </w:t>
      </w:r>
      <w:r>
        <w:rPr>
          <w:i/>
          <w:iCs/>
        </w:rPr>
        <w:t xml:space="preserve">Prototyp:</w:t>
      </w:r>
      <w:r>
        <w:t xml:space="preserve"> synchrone Berechnung im API-Prozess.</w:t>
      </w:r>
    </w:p>
    <w:p>
      <w:pPr>
        <w:pStyle w:val="Heading2"/>
      </w:pPr>
      <w:r>
        <w:t xml:space="preserve">5 Benutzeroberfläche und Bedienung</w:t>
      </w:r>
    </w:p>
    <w:p>
      <w:pPr>
        <w:pStyle w:val="Heading3"/>
      </w:pPr>
      <w:r>
        <w:t xml:space="preserve">5.1 Navigation und Benutzerführung</w:t>
      </w:r>
    </w:p>
    <w:p>
      <w:pPr>
        <w:spacing w:after="120"/>
      </w:pPr>
      <w:r>
        <w:t xml:space="preserve">Startseite mit Kacheln und Kennzahlen; Übersicht Schiessplätze mit Kontingent- und Lärm-Ampel, Suche, Statusfilter «Handlungsbedarf» und Aktionen zu Übersicht, Schusszahlen, Details, Simulation; Schiessplatz-Kontext (Zurück, Wechsler, Ampeln, Reiter) bleibt auf allen Seiten eines Platzes sichtbar. Deep Links öffnen berechtigte Seiten direkt, ohne Session über die Anmeldung und zurück. Fehlende Berechnungsgrundlagen werden erklärt («Keine Berechnung»), Erfassung und Ansichten bleiben nutzbar (slm 4). Destruktive Aktionen werden bestätigt oder sind rückgängig machbar; Fehlermeldungen nennen Ursache und Behebung. </w:t>
      </w:r>
      <w:r>
        <w:rPr>
          <w:i/>
          <w:iCs/>
        </w:rPr>
        <w:t xml:space="preserve">Prototyp:</w:t>
      </w:r>
      <w:r>
        <w:t xml:space="preserve"> Startseite, Übersicht, Kontext und die drei Fachmasken 5.11–5.13 umgesetzt (Bilder); Datenverwaltungsmasken 5.14–5.28 folgen nach demselben Muster.</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Übersicht Schiessplätze mit Ampeln</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5.11 Schusszahlen: Stellungsräume, Nutzungen, Seitenpanel</w:t>
      </w:r>
    </w:p>
    <w:p>
      <w:pPr>
        <w:pStyle w:val="Heading3"/>
      </w:pPr>
      <w:r>
        <w:t xml:space="preserve">5.2 GIS-Kartenviewer</w:t>
      </w:r>
    </w:p>
    <w:p>
      <w:pPr>
        <w:spacing w:after="120"/>
      </w:pPr>
      <w:r>
        <w:t xml:space="preserve">OpenLayers in CH1903+/LV95 mit swisstopo-Hintergründen als </w:t>
      </w:r>
      <w:r>
        <w:rPr>
          <w:b/>
          <w:bCs/>
        </w:rPr>
        <w:t xml:space="preserve">WMS</w:t>
      </w:r>
      <w:r>
        <w:t xml:space="preserve"> (wms.geo.admin.ch: Light Base Map, Imagery Base Map, weitere Bundeslayer) und ergänzend WMTS für schnelle Kacheln; Massstab, Zoom (10–12 Stufen, konfigurierbar), Koordinatenanzeige, Vollansicht. Layer: </w:t>
      </w:r>
      <w:r>
        <w:rPr>
          <w:b/>
          <w:bCs/>
        </w:rPr>
        <w:t xml:space="preserve">Anlagenteile und Immissionspunkte zwingend</w:t>
      </w:r>
      <w:r>
        <w:t xml:space="preserve"> (Ampel-Symbol, Popover mit Beurteilung, Verknüpfung zur Detailzeile), Gebäude, Isophonen und Untersuchungsperimeter optional aus dem Zustand; Layer, Symbole, Reihenfolge und Sichtbarkeit sind eine JSON-Konfiguration, kein Code. Kartenexport (slm 2) über einen serverseitigen Druckdienst: die gleiche Kartenkomponente wird in Chromium gerendert und mit Titel, Copyright, Datum, Massstab und Legende als PDF/PNG ausgegeben. Fällt der Kartendienst aus, zeigt SLIM Empfangspunkte als Liste und schematisch. Gebäude und Isophonen gemäss FAQ 13 als Erweiterung über LP5. </w:t>
      </w:r>
      <w:r>
        <w:rPr>
          <w:i/>
          <w:iCs/>
        </w:rPr>
        <w:t xml:space="preserve">Prototyp:</w:t>
      </w:r>
      <w:r>
        <w:t xml:space="preserve"> schematische Karte mit Ampel-Pins, Popover, Listenumschaltung, LV95-Koordinaten gespeichert.</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5.12 Details: Beurteilung je Empfangspunkt</w:t>
      </w:r>
    </w:p>
    <w:p>
      <w:pPr>
        <w:pStyle w:val="Heading3"/>
      </w:pPr>
      <w:r>
        <w:t xml:space="preserve">5.3 Tabellen und Filter</w:t>
      </w:r>
    </w:p>
    <w:p>
      <w:pPr>
        <w:spacing w:after="120"/>
      </w:pPr>
      <w:r>
        <w:t xml:space="preserve">Alle Tabellen kommen aus einer Komponente: Sortierung, Suche, Spaltenfilter, Spaltenauswahl, Mehrfachselektion, persistente Filter und Excel-Export der aktuellen Sicht (slm 3). </w:t>
      </w:r>
      <w:r>
        <w:rPr>
          <w:i/>
          <w:iCs/>
        </w:rPr>
        <w:t xml:space="preserve">Prototyp:</w:t>
      </w:r>
      <w:r>
        <w:t xml:space="preserve"> Sortierung, Suche, Statusfilter, Mehrfachselektion, kompakte Ansicht mit Aktions-Icons; Spaltenauswahl und -filter folgen in der gemeinsamen Komponente.</w:t>
      </w:r>
    </w:p>
    <w:p>
      <w:pPr>
        <w:spacing w:after="40" w:before="120"/>
        <w:jc w:val="center"/>
      </w:pPr>
      <w:r>
        <w:drawing>
          <wp:inline distT="0" distB="0" distL="0" distR="0">
            <wp:extent cx="441007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10075" cy="3105150"/>
                    </a:xfrm>
                    <a:prstGeom prst="rect">
                      <a:avLst/>
                    </a:prstGeom>
                  </pic:spPr>
                </pic:pic>
              </a:graphicData>
            </a:graphic>
          </wp:inline>
        </w:drawing>
      </w:r>
    </w:p>
    <w:p>
      <w:pPr>
        <w:spacing w:after="160"/>
        <w:jc w:val="center"/>
      </w:pPr>
      <w:r>
        <w:rPr>
          <w:i/>
          <w:iCs/>
          <w:color w:val="555555"/>
          <w:sz w:val="18"/>
          <w:szCs w:val="18"/>
        </w:rPr>
        <w:t xml:space="preserve">5.13 Simulation: Werte überschreiben, neu beurteilen</w:t>
      </w:r>
    </w:p>
    <w:p>
      <w:pPr>
        <w:pStyle w:val="Heading3"/>
      </w:pPr>
      <w:r>
        <w:t xml:space="preserve">5.4 Mobile Nutzung, Mehrsprachigkeit, Barrierefreiheit</w:t>
      </w:r>
    </w:p>
    <w:p>
      <w:pPr>
        <w:spacing w:after="120"/>
      </w:pPr>
      <w:r>
        <w:t xml:space="preserve">Mobile first: Tabbar und Seitenpanels auf dem Telefon, Sidebar ab Desktop, Tabellen als gestapelte Karten, Light/Dark persistent. DE/FR/IT/EN über Übersetzungsressourcen je Fachbereich, Sprachwahl persistent, Formate lokalisiert (de-CH). Fachübersetzungen werden maschinell vorbereitet und von Fachpersonen der Anbieterin für FR und EN geprüft; für IT beauftragt die Anbieterin eine Fachübersetzung durch ein Übersetzungsbüro mit Erfahrung in Bundesterminologie (im Angebot enthalten) [OFFEN: Büro vor Abgabe benennen]. Barrierefreiheit nach eCH-0059 / WCAG 2.1 AA: Tastaturbedienung, sichtbarer Fokus, beschriftete Steuerelemente, Ampeln zusätzlich mit Symbol und Text, Karteninhalte als Tabelle; automatisierte axe-Prüfung im Build, Prüfstandard gemäss FAQ 9/128 bestätigt. Optionale QR-Erfassung (slm 46–49): Der QR-Code je Stellungsraum enthält einen Deep Link mit signiertem Token (Schiessplatz, Stellungsraum, Ausgabedatum, Gültigkeit; HMAC mit mandantenspezifischem Schlüssel, Schlüsselwechsel macht alte Codes ungültig). Die API prüft Signatur, Gültigkeit und Zuordnung, bevor die Erfassungsmaske vorbelegt wird; ein ungültiger, abgelaufener oder manipulierter Code führt zu einer klaren Fehlermeldung ohne Erfassungsmöglichkeit, der Versuch wird protokolliert. Entwürfe werden offline in der PWA gehalten und beim nächsten Kontakt gesendet; die Meldung selbst erfolgt mit angemeldetem Konto. </w:t>
      </w:r>
      <w:r>
        <w:rPr>
          <w:i/>
          <w:iCs/>
        </w:rPr>
        <w:t xml:space="preserve">Prototyp:</w:t>
      </w:r>
      <w:r>
        <w:t xml:space="preserve"> mobile Layouts, vier Sprachen, Themes und Fokusführung umgesetzt.</w:t>
      </w:r>
    </w:p>
    <w:p>
      <w:pPr>
        <w:spacing w:after="40" w:before="120"/>
        <w:jc w:val="center"/>
      </w:pPr>
      <w:r>
        <w:drawing>
          <wp:inline distT="0" distB="0" distL="0" distR="0">
            <wp:extent cx="12287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228725" cy="2638425"/>
                    </a:xfrm>
                    <a:prstGeom prst="rect">
                      <a:avLst/>
                    </a:prstGeom>
                  </pic:spPr>
                </pic:pic>
              </a:graphicData>
            </a:graphic>
          </wp:inline>
        </w:drawing>
      </w:r>
    </w:p>
    <w:p>
      <w:pPr>
        <w:spacing w:after="160"/>
        <w:jc w:val="center"/>
      </w:pPr>
      <w:r>
        <w:rPr>
          <w:i/>
          <w:iCs/>
          <w:color w:val="555555"/>
          <w:sz w:val="18"/>
          <w:szCs w:val="18"/>
        </w:rPr>
        <w:t xml:space="preserve">Details auf Telefonbreite</w:t>
      </w:r>
    </w:p>
    <w:p>
      <w:pPr>
        <w:pStyle w:val="Heading2"/>
      </w:pPr>
      <w:r>
        <w:t xml:space="preserve">6 Weitere nichtfunktionale Anforderungen</w:t>
      </w:r>
    </w:p>
    <w:p>
      <w:pPr>
        <w:pStyle w:val="Heading3"/>
      </w:pPr>
      <w:r>
        <w:t xml:space="preserve">6.1 Wartbarkeit und Erweiterbarkeit (slm 55)</w:t>
      </w:r>
    </w:p>
    <w:p>
      <w:pPr>
        <w:spacing w:after="120"/>
      </w:pPr>
      <w:r>
        <w:t xml:space="preserve">Monorepo mit getrennten Modulen (Stammdaten, Nutzungen, Berechnung, Import/Export, Benutzer/Rollen, Logbuch), generiertem API-Vertrag und automatisch dokumentiertem Datenmodell; Fachparameter (Rollen, Rechte, Grenzwerte, Ampelschwellen, Feiertage, Kartenlayer) sind Konfiguration; neue Masken entstehen aus Design System, Facade und generiertem Client. Qualitätssicherung: Lint, Unit- und Service-Tests (API 180, Frontend 63), End-to-End-Tests (32) und Kriterien-Tests je B1-Anforderung in jedem Build; reproduzierbares Setup per Wizard. Erweiterungen (weitere Anhänge der LSV, zusätzliche Layer, AGOV) betreffen je ein Modul.</w:t>
      </w:r>
    </w:p>
    <w:p>
      <w:pPr>
        <w:pStyle w:val="Heading3"/>
      </w:pPr>
      <w:r>
        <w:t xml:space="preserve">6.2 Skalierbarkeit und Effizienz</w:t>
      </w:r>
    </w:p>
    <w:p>
      <w:pPr>
        <w:spacing w:after="120"/>
      </w:pPr>
      <w:r>
        <w:t xml:space="preserve">Zustandslose API-Container hinter NGINX (horizontal skalierbar, Sessions und Replay-Store in der Datenbank bzw. Redis bei mehr als einem Container), getrennte Worker-Container für Berechnungen, Importe, Gesamtläufe und Exporte (Warteschlange, Priorität, begrenzte Parallelität, Fortschritt, Wiederanlauf; Kapitel 4.4), PostgreSQL mit Indizes je Mandant/Schiessplatz/Datum. Antwortzeiten aus B1 12.5 werden gemessen und im Monitoring alarmiert.</w:t>
      </w:r>
    </w:p>
    <w:p>
      <w:pPr>
        <w:pStyle w:val="Heading3"/>
      </w:pPr>
      <w:r>
        <w:t xml:space="preserve">6.3 Ergonomie, Betrieb, Support und Informationsschutz</w:t>
      </w:r>
    </w:p>
    <w:p>
      <w:pPr>
        <w:spacing w:after="120"/>
      </w:pPr>
      <w:r>
        <w:t xml:space="preserve">Ergonomie: einheitliche Masken (Design System), Fehlermeldungen mit Behebung, Tastaturbedienung (Kapitel 5). Betrieb: 99 % Mo–Fr 07–19 Uhr, genehmigte Wartungsfenster, Sicherung und Monitoring nach 2.5. Support: 1st Level durch die Auftraggeberin, 2nd/3rd Level Mo–Fr 08–17 Uhr, Reaktion innerhalb vier Stunden, Behebungsbeginn innerhalb 24 Stunden, Behebung bei erheblichen Störungen in der Regel innerhalb 48 Stunden. Informationsschutz: Si001 wird in einer Kontrollübersicht auf die Massnahmen aus 2.4/2.5 abgebildet (Zugriffsrechte-Prozess, Anmeldemittel, Protokollierung, Break-Glass – aus ELO übernommen); Werkzeuge nur nach Freigabe gemäss FAQ 39–41/49.</w:t>
      </w:r>
    </w:p>
    <w:p>
      <w:pPr>
        <w:pStyle w:val="Heading3"/>
      </w:pPr>
      <w:r>
        <w:t xml:space="preserve">6.4 Dokumentation, Onlinehilfe und Schulung (slm 53)</w:t>
      </w:r>
    </w:p>
    <w:p>
      <w:pPr>
        <w:spacing w:after="120"/>
      </w:pPr>
      <w:r>
        <w:t xml:space="preserve">Benutzerhandbuch deutsch online und als PDF (Upload in der erweiterten Konfiguration); kontextsensitive Hilfe über Info-Elemente an jeder Maske aus den Übersetzungsressourcen, Anzeige unter zwei Sekunden; technische Dokumentation (Architektur, Datenmodell, Berechnung, Berechtigungen, Betrieb) im Repository, mit jedem Release nachgeführt; rollenbezogene Trainerschulung (Umfang gemäss FAQ 36/38). </w:t>
      </w:r>
      <w:r>
        <w:rPr>
          <w:b/>
          <w:bCs/>
        </w:rPr>
        <w:t xml:space="preserve">Abnahme (Beilage A1.2):</w:t>
      </w:r>
      <w:r>
        <w:t xml:space="preserve"> Die Entwicklung läuft in Sprints von zwei bis drei Wochen mit formeller Iterationsabnahme: Vor dem Sprint Review liefert die Anbieterin die Zusammenfassung der umgesetzten Anforderungen, die Testfälle (aus den im Refinement vereinbarten Akzeptanzkriterien) und die Testprotokolle und stellt den Stand auf dem Akzeptanzsystem mit produktionsnahen Daten bereit; die Auftraggeberin protokolliert je Testobjekt abgenommen / bedingt / nicht abgenommen, Nachbesserungen erfolgen in der vereinbarten Frist. Jede B1-Anforderung ist heute schon als Testfall mit Prüfschritten hinterlegt (automatisierte End-to-End-Fälle je </w:t>
      </w:r>
      <w:r>
        <w:rPr>
          <w:rFonts w:ascii="Consolas" w:cs="Consolas" w:eastAsia="Consolas" w:hAnsi="Consolas"/>
          <w:sz w:val="20"/>
          <w:szCs w:val="20"/>
          <w:shd w:fill="F2F2F2" w:val="clear"/>
        </w:rPr>
        <w:t xml:space="preserve">slm</w:t>
      </w:r>
      <w:r>
        <w:t xml:space="preserve">-Nummer, die Kontrollwerte der Berechnung als Tests erbracht); die Schlussabnahme stützt sich auf das vollständige, aus diesen Fällen erzeugte Abnahmetestprotokoll. Abweichungen von B1 laufen ausschliesslich über den Change-Request-Prozess der Beilage (Auswirkungsanalyse Aufwand, Kosten, Termine, Risiken; Entscheid der Auftraggeberin); ein Q-Ansprechpartner der Anbieterin steht dem Qualitätsmanager der Auftraggeberin gegenüber. </w:t>
      </w:r>
      <w:r>
        <w:rPr>
          <w:b/>
          <w:bCs/>
        </w:rPr>
        <w:t xml:space="preserve">Mitwirkung (Beilage A1.1):</w:t>
      </w:r>
      <w:r>
        <w:t xml:space="preserve"> Das Konzept setzt die dort zugesagten Beiträge voraus – SPOC, Testdaten und Referenzfälle, Fachbestätigungen (Kapitel 4.3), Mitarbeit an Handbuch, Schulung, Migrations- und Testkonzept, Sprint Planning und Reviews.</w:t>
      </w:r>
    </w:p>
    <w:p>
      <w:pPr>
        <w:pStyle w:val="Heading3"/>
      </w:pPr>
      <w:r>
        <w:t xml:space="preserve">6.5 Machbarkeit: Prototyp und Demonstration</w:t>
      </w:r>
    </w:p>
    <w:p>
      <w:pPr>
        <w:spacing w:after="120"/>
      </w:pPr>
      <w:r>
        <w:t xml:space="preserve">Der Machbarkeitsnachweis stützt sich nicht auf Absichtserklärungen, sondern auf den lauffähigen Prototyp, der aus denselben Bausteinen besteht wie die angebotene Lösung (Angular, NestJS, TypeORM, galaxy-Plattform, Berechnungskern): Stand 11.09.2026 sind Anmeldung mit 2FA, Rollen und Objektregeln, Übersicht Schiessplätze mit Ampeln, die Masken 5.11 Schusszahlen, 5.12 Details und 5.13 Simulation, die Datenverwaltungs-Übersicht 5.14, Benutzerverwaltung und Logbuch umgesetzt; der Berechnungskern reproduziert die Kontrollwerte der Beilage B1.4 (Kapitel 4.3); 275 automatisierte Tests (API, Oberfläche, End-to-End) und ein reproduzierbarer Setup-Wizard laufen bei jedem Build. Nicht umgesetzte Masken sind in der Oberfläche als «In Vorbereitung» gekennzeichnet; der Umsetzungsstand je Anforderung steht in der Matrix (Kapitel 7, Status P). Die Risiken der verbleibenden Arbeit sind dadurch eingegrenzt auf bekannte Integrationen (ELO-Endpunkte, GDAL-Import, Kartenviewer, Worker), für die Standardkomponenten und die beschriebenen Verfahren vorgesehen sind.</w:t>
      </w:r>
    </w:p>
    <w:p>
      <w:pPr>
        <w:spacing w:after="120"/>
      </w:pPr>
      <w:r>
        <w:rPr>
          <w:b/>
          <w:bCs/>
        </w:rPr>
        <w:t xml:space="preserve">Interaktive Demonstration des Prototyps.</w:t>
      </w:r>
      <w:r>
        <w:t xml:space="preserve"> URL: https://[PLACEHOLDER] – Demo-Zugang mit eingeschränkter Rolle (nur Lesen und Simulation) und einem Konto je Rolle für den Vergleich der Berechtigungen; Zugangsdaten in der Begleitnotiz zum Angebot. Die Demo veranschaulicht den aktuellen Entwicklungsstand (Demostand «SLIM Demo», Version 4, datiert 11.09.2026) anhand synthetischer Beispieldaten: neun fiktive Schiessplätze, Empfangspunkte, Zustände und Nutzungen sind generiert und enthalten keine echten Kunden-, Schiessplatz- oder Personendaten; die Kontrollwerte des Berechnungskerns stammen aus der öffentlichen Beilage B1.4. Noch nicht umgesetzte Funktionen sind gekennzeichnet. Die Demo wird während der Evaluation eingefroren (kein Deployment, tägliche Rücksetzung der Daten) und ist auf Schweizer Infrastruktur erreichbar. Die vollständige Beschreibung der angebotenen Lösung ist in diesem Dokument enthalten; das Konzept ist ohne Aufruf der Demo vollständig bewertbar.</w:t>
      </w:r>
    </w:p>
    <w:p>
      <w:r>
        <w:br w:type="page"/>
      </w:r>
    </w:p>
    <w:p>
      <w:pPr>
        <w:pStyle w:val="Heading2"/>
      </w:pPr>
      <w:r>
        <w:t xml:space="preserve">7 Anforderungsmatrix</w:t>
      </w:r>
    </w:p>
    <w:p>
      <w:pPr>
        <w:spacing w:after="120"/>
      </w:pPr>
      <w:r>
        <w:t xml:space="preserve">Zuordnung der B1-Anforderungen zu den Kapiteln. Status: </w:t>
      </w:r>
      <w:r>
        <w:rPr>
          <w:b/>
          <w:bCs/>
        </w:rPr>
        <w:t xml:space="preserve">P</w:t>
      </w:r>
      <w:r>
        <w:t xml:space="preserve"> = im Prototyp umgesetzt und getestet (Klammer nennt, was davon noch Zielzustand ist), </w:t>
      </w:r>
      <w:r>
        <w:rPr>
          <w:b/>
          <w:bCs/>
        </w:rPr>
        <w:t xml:space="preserve">Z</w:t>
      </w:r>
      <w:r>
        <w:t xml:space="preserve"> = Zielzustand, in diesem Konzept verbindlich beschrieben, </w:t>
      </w:r>
      <w:r>
        <w:rPr>
          <w:b/>
          <w:bCs/>
        </w:rPr>
        <w:t xml:space="preserve">O</w:t>
      </w:r>
      <w:r>
        <w:t xml:space="preserve"> = Option (KANN-Anforderung, angeboten), </w:t>
      </w:r>
      <w:r>
        <w:rPr>
          <w:b/>
          <w:bCs/>
        </w:rPr>
        <w:t xml:space="preserve">K</w:t>
      </w:r>
      <w:r>
        <w:t xml:space="preserve"> = Klärung mit der Auftraggeberin offen.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E7E6E6" w:val="clear"/>
            <w:tcMar>
              <w:top w:type="dxa" w:w="60"/>
              <w:left w:type="dxa" w:w="90"/>
              <w:bottom w:type="dxa" w:w="60"/>
              <w:right w:type="dxa" w:w="90"/>
            </w:tcMar>
          </w:tcPr>
          <w:p>
            <w:pPr>
              <w:spacing w:after="0"/>
            </w:pPr>
            <w:r>
              <w:rPr>
                <w:b/>
                <w:bCs/>
                <w:sz w:val="19"/>
                <w:szCs w:val="19"/>
              </w:rPr>
              <w:t xml:space="preserve">ID</w:t>
            </w:r>
          </w:p>
        </w:tc>
        <w:tc>
          <w:tcPr>
            <w:shd w:fill="E7E6E6" w:val="clear"/>
            <w:tcMar>
              <w:top w:type="dxa" w:w="60"/>
              <w:left w:type="dxa" w:w="90"/>
              <w:bottom w:type="dxa" w:w="60"/>
              <w:right w:type="dxa" w:w="90"/>
            </w:tcMar>
          </w:tcPr>
          <w:p>
            <w:pPr>
              <w:spacing w:after="0"/>
            </w:pPr>
            <w:r>
              <w:rPr>
                <w:b/>
                <w:bCs/>
                <w:sz w:val="19"/>
                <w:szCs w:val="19"/>
              </w:rPr>
              <w:t xml:space="preserve">Anforderung kurz</w:t>
            </w:r>
          </w:p>
        </w:tc>
        <w:tc>
          <w:tcPr>
            <w:shd w:fill="E7E6E6" w:val="clear"/>
            <w:tcMar>
              <w:top w:type="dxa" w:w="60"/>
              <w:left w:type="dxa" w:w="90"/>
              <w:bottom w:type="dxa" w:w="60"/>
              <w:right w:type="dxa" w:w="90"/>
            </w:tcMar>
          </w:tcPr>
          <w:p>
            <w:pPr>
              <w:spacing w:after="0"/>
            </w:pPr>
            <w:r>
              <w:rPr>
                <w:b/>
                <w:bCs/>
                <w:sz w:val="19"/>
                <w:szCs w:val="19"/>
              </w:rPr>
              <w:t xml:space="preserve">Kapitel</w:t>
            </w:r>
          </w:p>
        </w:tc>
        <w:tc>
          <w:tcPr>
            <w:shd w:fill="E7E6E6" w:val="clear"/>
            <w:tcMar>
              <w:top w:type="dxa" w:w="60"/>
              <w:left w:type="dxa" w:w="90"/>
              <w:bottom w:type="dxa" w:w="60"/>
              <w:right w:type="dxa" w:w="90"/>
            </w:tcMar>
          </w:tcPr>
          <w:p>
            <w:pPr>
              <w:spacing w:after="0"/>
            </w:pPr>
            <w:r>
              <w:rPr>
                <w:b/>
                <w:bCs/>
                <w:sz w:val="19"/>
                <w:szCs w:val="19"/>
              </w:rPr>
              <w:t xml:space="preserve">Status</w:t>
            </w:r>
          </w:p>
        </w:tc>
      </w:tr>
      <w:tr>
        <w:trPr>
          <w:tblHeader w:val="false"/>
        </w:trPr>
        <w:tc>
          <w:tcPr>
            <w:tcMar>
              <w:top w:type="dxa" w:w="60"/>
              <w:left w:type="dxa" w:w="90"/>
              <w:bottom w:type="dxa" w:w="60"/>
              <w:right w:type="dxa" w:w="90"/>
            </w:tcMar>
          </w:tcPr>
          <w:p>
            <w:pPr>
              <w:spacing w:after="0"/>
            </w:pPr>
            <w:r>
              <w:rPr>
                <w:sz w:val="19"/>
                <w:szCs w:val="19"/>
              </w:rPr>
              <w:t xml:space="preserve">slm 1</w:t>
            </w:r>
          </w:p>
        </w:tc>
        <w:tc>
          <w:tcPr>
            <w:tcMar>
              <w:top w:type="dxa" w:w="60"/>
              <w:left w:type="dxa" w:w="90"/>
              <w:bottom w:type="dxa" w:w="60"/>
              <w:right w:type="dxa" w:w="90"/>
            </w:tcMar>
          </w:tcPr>
          <w:p>
            <w:pPr>
              <w:spacing w:after="0"/>
            </w:pPr>
            <w:r>
              <w:rPr>
                <w:sz w:val="19"/>
                <w:szCs w:val="19"/>
              </w:rPr>
              <w:t xml:space="preserve">Auswahllisten</w:t>
            </w:r>
          </w:p>
        </w:tc>
        <w:tc>
          <w:tcPr>
            <w:tcMar>
              <w:top w:type="dxa" w:w="60"/>
              <w:left w:type="dxa" w:w="90"/>
              <w:bottom w:type="dxa" w:w="60"/>
              <w:right w:type="dxa" w:w="90"/>
            </w:tcMar>
          </w:tcPr>
          <w:p>
            <w:pPr>
              <w:spacing w:after="0"/>
            </w:pPr>
            <w:r>
              <w:rPr>
                <w:sz w:val="19"/>
                <w:szCs w:val="19"/>
              </w:rPr>
              <w:t xml:space="preserve">5.3, 6.1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w:t>
            </w:r>
          </w:p>
        </w:tc>
        <w:tc>
          <w:tcPr>
            <w:tcMar>
              <w:top w:type="dxa" w:w="60"/>
              <w:left w:type="dxa" w:w="90"/>
              <w:bottom w:type="dxa" w:w="60"/>
              <w:right w:type="dxa" w:w="90"/>
            </w:tcMar>
          </w:tcPr>
          <w:p>
            <w:pPr>
              <w:spacing w:after="0"/>
            </w:pPr>
            <w:r>
              <w:rPr>
                <w:sz w:val="19"/>
                <w:szCs w:val="19"/>
              </w:rPr>
              <w:t xml:space="preserve">Kartenviewer, Kartenexport</w:t>
            </w:r>
          </w:p>
        </w:tc>
        <w:tc>
          <w:tcPr>
            <w:tcMar>
              <w:top w:type="dxa" w:w="60"/>
              <w:left w:type="dxa" w:w="90"/>
              <w:bottom w:type="dxa" w:w="60"/>
              <w:right w:type="dxa" w:w="90"/>
            </w:tcMar>
          </w:tcPr>
          <w:p>
            <w:pPr>
              <w:spacing w:after="0"/>
            </w:pPr>
            <w:r>
              <w:rPr>
                <w:sz w:val="19"/>
                <w:szCs w:val="19"/>
              </w:rPr>
              <w:t xml:space="preserve">5.2</w:t>
            </w:r>
          </w:p>
        </w:tc>
        <w:tc>
          <w:tcPr>
            <w:tcMar>
              <w:top w:type="dxa" w:w="60"/>
              <w:left w:type="dxa" w:w="90"/>
              <w:bottom w:type="dxa" w:w="60"/>
              <w:right w:type="dxa" w:w="90"/>
            </w:tcMar>
          </w:tcPr>
          <w:p>
            <w:pPr>
              <w:spacing w:after="0"/>
            </w:pPr>
            <w:r>
              <w:rPr>
                <w:sz w:val="19"/>
                <w:szCs w:val="19"/>
              </w:rPr>
              <w:t xml:space="preserve">Z (schematische Karte P; Gebäude/Isophonen K)</w:t>
            </w:r>
          </w:p>
        </w:tc>
      </w:tr>
      <w:tr>
        <w:trPr>
          <w:tblHeader w:val="false"/>
        </w:trPr>
        <w:tc>
          <w:tcPr>
            <w:tcMar>
              <w:top w:type="dxa" w:w="60"/>
              <w:left w:type="dxa" w:w="90"/>
              <w:bottom w:type="dxa" w:w="60"/>
              <w:right w:type="dxa" w:w="90"/>
            </w:tcMar>
          </w:tcPr>
          <w:p>
            <w:pPr>
              <w:spacing w:after="0"/>
            </w:pPr>
            <w:r>
              <w:rPr>
                <w:sz w:val="19"/>
                <w:szCs w:val="19"/>
              </w:rPr>
              <w:t xml:space="preserve">slm 3</w:t>
            </w:r>
          </w:p>
        </w:tc>
        <w:tc>
          <w:tcPr>
            <w:tcMar>
              <w:top w:type="dxa" w:w="60"/>
              <w:left w:type="dxa" w:w="90"/>
              <w:bottom w:type="dxa" w:w="60"/>
              <w:right w:type="dxa" w:w="90"/>
            </w:tcMar>
          </w:tcPr>
          <w:p>
            <w:pPr>
              <w:spacing w:after="0"/>
            </w:pPr>
            <w:r>
              <w:rPr>
                <w:sz w:val="19"/>
                <w:szCs w:val="19"/>
              </w:rPr>
              <w:t xml:space="preserve">Tabellenfunktionen</w:t>
            </w:r>
          </w:p>
        </w:tc>
        <w:tc>
          <w:tcPr>
            <w:tcMar>
              <w:top w:type="dxa" w:w="60"/>
              <w:left w:type="dxa" w:w="90"/>
              <w:bottom w:type="dxa" w:w="60"/>
              <w:right w:type="dxa" w:w="90"/>
            </w:tcMar>
          </w:tcPr>
          <w:p>
            <w:pPr>
              <w:spacing w:after="0"/>
            </w:pPr>
            <w:r>
              <w:rPr>
                <w:sz w:val="19"/>
                <w:szCs w:val="19"/>
              </w:rPr>
              <w:t xml:space="preserve">5.3</w:t>
            </w:r>
          </w:p>
        </w:tc>
        <w:tc>
          <w:tcPr>
            <w:tcMar>
              <w:top w:type="dxa" w:w="60"/>
              <w:left w:type="dxa" w:w="90"/>
              <w:bottom w:type="dxa" w:w="60"/>
              <w:right w:type="dxa" w:w="90"/>
            </w:tcMar>
          </w:tcPr>
          <w:p>
            <w:pPr>
              <w:spacing w:after="0"/>
            </w:pPr>
            <w:r>
              <w:rPr>
                <w:sz w:val="19"/>
                <w:szCs w:val="19"/>
              </w:rPr>
              <w:t xml:space="preserve">Z (Suche, Sortierung, Selektion P)</w:t>
            </w:r>
          </w:p>
        </w:tc>
      </w:tr>
      <w:tr>
        <w:trPr>
          <w:tblHeader w:val="false"/>
        </w:trPr>
        <w:tc>
          <w:tcPr>
            <w:tcMar>
              <w:top w:type="dxa" w:w="60"/>
              <w:left w:type="dxa" w:w="90"/>
              <w:bottom w:type="dxa" w:w="60"/>
              <w:right w:type="dxa" w:w="90"/>
            </w:tcMar>
          </w:tcPr>
          <w:p>
            <w:pPr>
              <w:spacing w:after="0"/>
            </w:pPr>
            <w:r>
              <w:rPr>
                <w:sz w:val="19"/>
                <w:szCs w:val="19"/>
              </w:rPr>
              <w:t xml:space="preserve">slm 4</w:t>
            </w:r>
          </w:p>
        </w:tc>
        <w:tc>
          <w:tcPr>
            <w:tcMar>
              <w:top w:type="dxa" w:w="60"/>
              <w:left w:type="dxa" w:w="90"/>
              <w:bottom w:type="dxa" w:w="60"/>
              <w:right w:type="dxa" w:w="90"/>
            </w:tcMar>
          </w:tcPr>
          <w:p>
            <w:pPr>
              <w:spacing w:after="0"/>
            </w:pPr>
            <w:r>
              <w:rPr>
                <w:sz w:val="19"/>
                <w:szCs w:val="19"/>
              </w:rPr>
              <w:t xml:space="preserve">Nutzbar ohne Berechnungsgrundlage</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5–6</w:t>
            </w:r>
          </w:p>
        </w:tc>
        <w:tc>
          <w:tcPr>
            <w:tcMar>
              <w:top w:type="dxa" w:w="60"/>
              <w:left w:type="dxa" w:w="90"/>
              <w:bottom w:type="dxa" w:w="60"/>
              <w:right w:type="dxa" w:w="90"/>
            </w:tcMar>
          </w:tcPr>
          <w:p>
            <w:pPr>
              <w:spacing w:after="0"/>
            </w:pPr>
            <w:r>
              <w:rPr>
                <w:sz w:val="19"/>
                <w:szCs w:val="19"/>
              </w:rPr>
              <w:t xml:space="preserve">Deep Links, Zugriffskontrolle</w:t>
            </w:r>
          </w:p>
        </w:tc>
        <w:tc>
          <w:tcPr>
            <w:tcMar>
              <w:top w:type="dxa" w:w="60"/>
              <w:left w:type="dxa" w:w="90"/>
              <w:bottom w:type="dxa" w:w="60"/>
              <w:right w:type="dxa" w:w="90"/>
            </w:tcMar>
          </w:tcPr>
          <w:p>
            <w:pPr>
              <w:spacing w:after="0"/>
            </w:pPr>
            <w:r>
              <w:rPr>
                <w:sz w:val="19"/>
                <w:szCs w:val="19"/>
              </w:rPr>
              <w:t xml:space="preserve">2.4, 5.1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7–8</w:t>
            </w:r>
          </w:p>
        </w:tc>
        <w:tc>
          <w:tcPr>
            <w:tcMar>
              <w:top w:type="dxa" w:w="60"/>
              <w:left w:type="dxa" w:w="90"/>
              <w:bottom w:type="dxa" w:w="60"/>
              <w:right w:type="dxa" w:w="90"/>
            </w:tcMar>
          </w:tcPr>
          <w:p>
            <w:pPr>
              <w:spacing w:after="0"/>
            </w:pPr>
            <w:r>
              <w:rPr>
                <w:sz w:val="19"/>
                <w:szCs w:val="19"/>
              </w:rPr>
              <w:t xml:space="preserve">Startseite, Schiessplatzübersicht</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9</w:t>
            </w:r>
          </w:p>
        </w:tc>
        <w:tc>
          <w:tcPr>
            <w:tcMar>
              <w:top w:type="dxa" w:w="60"/>
              <w:left w:type="dxa" w:w="90"/>
              <w:bottom w:type="dxa" w:w="60"/>
              <w:right w:type="dxa" w:w="90"/>
            </w:tcMar>
          </w:tcPr>
          <w:p>
            <w:pPr>
              <w:spacing w:after="0"/>
            </w:pPr>
            <w:r>
              <w:rPr>
                <w:sz w:val="19"/>
                <w:szCs w:val="19"/>
              </w:rPr>
              <w:t xml:space="preserve">Schiessplatz-Übersicht 5.10</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 (Ampeln, Kontext P)</w:t>
            </w:r>
          </w:p>
        </w:tc>
      </w:tr>
      <w:tr>
        <w:trPr>
          <w:tblHeader w:val="false"/>
        </w:trPr>
        <w:tc>
          <w:tcPr>
            <w:tcMar>
              <w:top w:type="dxa" w:w="60"/>
              <w:left w:type="dxa" w:w="90"/>
              <w:bottom w:type="dxa" w:w="60"/>
              <w:right w:type="dxa" w:w="90"/>
            </w:tcMar>
          </w:tcPr>
          <w:p>
            <w:pPr>
              <w:spacing w:after="0"/>
            </w:pPr>
            <w:r>
              <w:rPr>
                <w:sz w:val="19"/>
                <w:szCs w:val="19"/>
              </w:rPr>
              <w:t xml:space="preserve">slm 10</w:t>
            </w:r>
          </w:p>
        </w:tc>
        <w:tc>
          <w:tcPr>
            <w:tcMar>
              <w:top w:type="dxa" w:w="60"/>
              <w:left w:type="dxa" w:w="90"/>
              <w:bottom w:type="dxa" w:w="60"/>
              <w:right w:type="dxa" w:w="90"/>
            </w:tcMar>
          </w:tcPr>
          <w:p>
            <w:pPr>
              <w:spacing w:after="0"/>
            </w:pPr>
            <w:r>
              <w:rPr>
                <w:sz w:val="19"/>
                <w:szCs w:val="19"/>
              </w:rPr>
              <w:t xml:space="preserve">Nutzungen und Schusszahlen 5.11</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P (Spaltenfilter, Export Z)</w:t>
            </w:r>
          </w:p>
        </w:tc>
      </w:tr>
      <w:tr>
        <w:trPr>
          <w:tblHeader w:val="false"/>
        </w:trPr>
        <w:tc>
          <w:tcPr>
            <w:tcMar>
              <w:top w:type="dxa" w:w="60"/>
              <w:left w:type="dxa" w:w="90"/>
              <w:bottom w:type="dxa" w:w="60"/>
              <w:right w:type="dxa" w:w="90"/>
            </w:tcMar>
          </w:tcPr>
          <w:p>
            <w:pPr>
              <w:spacing w:after="0"/>
            </w:pPr>
            <w:r>
              <w:rPr>
                <w:sz w:val="19"/>
                <w:szCs w:val="19"/>
              </w:rPr>
              <w:t xml:space="preserve">slm 11</w:t>
            </w:r>
          </w:p>
        </w:tc>
        <w:tc>
          <w:tcPr>
            <w:tcMar>
              <w:top w:type="dxa" w:w="60"/>
              <w:left w:type="dxa" w:w="90"/>
              <w:bottom w:type="dxa" w:w="60"/>
              <w:right w:type="dxa" w:w="90"/>
            </w:tcMar>
          </w:tcPr>
          <w:p>
            <w:pPr>
              <w:spacing w:after="0"/>
            </w:pPr>
            <w:r>
              <w:rPr>
                <w:sz w:val="19"/>
                <w:szCs w:val="19"/>
              </w:rPr>
              <w:t xml:space="preserve">Empfangspunkte, Details 5.12</w:t>
            </w:r>
          </w:p>
        </w:tc>
        <w:tc>
          <w:tcPr>
            <w:tcMar>
              <w:top w:type="dxa" w:w="60"/>
              <w:left w:type="dxa" w:w="90"/>
              <w:bottom w:type="dxa" w:w="60"/>
              <w:right w:type="dxa" w:w="90"/>
            </w:tcMar>
          </w:tcPr>
          <w:p>
            <w:pPr>
              <w:spacing w:after="0"/>
            </w:pPr>
            <w:r>
              <w:rPr>
                <w:sz w:val="19"/>
                <w:szCs w:val="19"/>
              </w:rPr>
              <w:t xml:space="preserve">4, 5.2</w:t>
            </w:r>
          </w:p>
        </w:tc>
        <w:tc>
          <w:tcPr>
            <w:tcMar>
              <w:top w:type="dxa" w:w="60"/>
              <w:left w:type="dxa" w:w="90"/>
              <w:bottom w:type="dxa" w:w="60"/>
              <w:right w:type="dxa" w:w="90"/>
            </w:tcMar>
          </w:tcPr>
          <w:p>
            <w:pPr>
              <w:spacing w:after="0"/>
            </w:pPr>
            <w:r>
              <w:rPr>
                <w:sz w:val="19"/>
                <w:szCs w:val="19"/>
              </w:rPr>
              <w:t xml:space="preserve">P (Kartenviewer, Berechnungsstand Z)</w:t>
            </w:r>
          </w:p>
        </w:tc>
      </w:tr>
      <w:tr>
        <w:trPr>
          <w:tblHeader w:val="false"/>
        </w:trPr>
        <w:tc>
          <w:tcPr>
            <w:tcMar>
              <w:top w:type="dxa" w:w="60"/>
              <w:left w:type="dxa" w:w="90"/>
              <w:bottom w:type="dxa" w:w="60"/>
              <w:right w:type="dxa" w:w="90"/>
            </w:tcMar>
          </w:tcPr>
          <w:p>
            <w:pPr>
              <w:spacing w:after="0"/>
            </w:pPr>
            <w:r>
              <w:rPr>
                <w:sz w:val="19"/>
                <w:szCs w:val="19"/>
              </w:rPr>
              <w:t xml:space="preserve">slm 12</w:t>
            </w:r>
          </w:p>
        </w:tc>
        <w:tc>
          <w:tcPr>
            <w:tcMar>
              <w:top w:type="dxa" w:w="60"/>
              <w:left w:type="dxa" w:w="90"/>
              <w:bottom w:type="dxa" w:w="60"/>
              <w:right w:type="dxa" w:w="90"/>
            </w:tcMar>
          </w:tcPr>
          <w:p>
            <w:pPr>
              <w:spacing w:after="0"/>
            </w:pPr>
            <w:r>
              <w:rPr>
                <w:sz w:val="19"/>
                <w:szCs w:val="19"/>
              </w:rPr>
              <w:t xml:space="preserve">Simulation 5.13</w:t>
            </w:r>
          </w:p>
        </w:tc>
        <w:tc>
          <w:tcPr>
            <w:tcMar>
              <w:top w:type="dxa" w:w="60"/>
              <w:left w:type="dxa" w:w="90"/>
              <w:bottom w:type="dxa" w:w="60"/>
              <w:right w:type="dxa" w:w="90"/>
            </w:tcMar>
          </w:tcPr>
          <w:p>
            <w:pPr>
              <w:spacing w:after="0"/>
            </w:pPr>
            <w:r>
              <w:rPr>
                <w:sz w:val="19"/>
                <w:szCs w:val="19"/>
              </w:rPr>
              <w:t xml:space="preserve">4, 5.1</w:t>
            </w:r>
          </w:p>
        </w:tc>
        <w:tc>
          <w:tcPr>
            <w:tcMar>
              <w:top w:type="dxa" w:w="60"/>
              <w:left w:type="dxa" w:w="90"/>
              <w:bottom w:type="dxa" w:w="60"/>
              <w:right w:type="dxa" w:w="90"/>
            </w:tcMar>
          </w:tcPr>
          <w:p>
            <w:pPr>
              <w:spacing w:after="0"/>
            </w:pPr>
            <w:r>
              <w:rPr>
                <w:sz w:val="19"/>
                <w:szCs w:val="19"/>
              </w:rPr>
              <w:t xml:space="preserve">P (Quellengewichte Z; Zuordnung LP1a/LP1b K)</w:t>
            </w:r>
          </w:p>
        </w:tc>
      </w:tr>
      <w:tr>
        <w:trPr>
          <w:tblHeader w:val="false"/>
        </w:trPr>
        <w:tc>
          <w:tcPr>
            <w:tcMar>
              <w:top w:type="dxa" w:w="60"/>
              <w:left w:type="dxa" w:w="90"/>
              <w:bottom w:type="dxa" w:w="60"/>
              <w:right w:type="dxa" w:w="90"/>
            </w:tcMar>
          </w:tcPr>
          <w:p>
            <w:pPr>
              <w:spacing w:after="0"/>
            </w:pPr>
            <w:r>
              <w:rPr>
                <w:sz w:val="19"/>
                <w:szCs w:val="19"/>
              </w:rPr>
              <w:t xml:space="preserve">slm 13–18</w:t>
            </w:r>
          </w:p>
        </w:tc>
        <w:tc>
          <w:tcPr>
            <w:tcMar>
              <w:top w:type="dxa" w:w="60"/>
              <w:left w:type="dxa" w:w="90"/>
              <w:bottom w:type="dxa" w:w="60"/>
              <w:right w:type="dxa" w:w="90"/>
            </w:tcMar>
          </w:tcPr>
          <w:p>
            <w:pPr>
              <w:spacing w:after="0"/>
            </w:pPr>
            <w:r>
              <w:rPr>
                <w:sz w:val="19"/>
                <w:szCs w:val="19"/>
              </w:rPr>
              <w:t xml:space="preserve">Datenverwaltung: Übersicht, Platzdaten, Stellungsräume, Kontingente, Waffen-Zuordnung, Zustände, Berechnungsstände</w:t>
            </w:r>
          </w:p>
        </w:tc>
        <w:tc>
          <w:tcPr>
            <w:tcMar>
              <w:top w:type="dxa" w:w="60"/>
              <w:left w:type="dxa" w:w="90"/>
              <w:bottom w:type="dxa" w:w="60"/>
              <w:right w:type="dxa" w:w="90"/>
            </w:tcMar>
          </w:tcPr>
          <w:p>
            <w:pPr>
              <w:spacing w:after="0"/>
            </w:pPr>
            <w:r>
              <w:rPr>
                <w:sz w:val="19"/>
                <w:szCs w:val="19"/>
              </w:rPr>
              <w:t xml:space="preserve">2.3, 5.1</w:t>
            </w:r>
          </w:p>
        </w:tc>
        <w:tc>
          <w:tcPr>
            <w:tcMar>
              <w:top w:type="dxa" w:w="60"/>
              <w:left w:type="dxa" w:w="90"/>
              <w:bottom w:type="dxa" w:w="60"/>
              <w:right w:type="dxa" w:w="90"/>
            </w:tcMar>
          </w:tcPr>
          <w:p>
            <w:pPr>
              <w:spacing w:after="0"/>
            </w:pPr>
            <w:r>
              <w:rPr>
                <w:sz w:val="19"/>
                <w:szCs w:val="19"/>
              </w:rPr>
              <w:t xml:space="preserve">Z (Übersicht 5.14 und Datenmodell P)</w:t>
            </w:r>
          </w:p>
        </w:tc>
      </w:tr>
      <w:tr>
        <w:trPr>
          <w:tblHeader w:val="false"/>
        </w:trPr>
        <w:tc>
          <w:tcPr>
            <w:tcMar>
              <w:top w:type="dxa" w:w="60"/>
              <w:left w:type="dxa" w:w="90"/>
              <w:bottom w:type="dxa" w:w="60"/>
              <w:right w:type="dxa" w:w="90"/>
            </w:tcMar>
          </w:tcPr>
          <w:p>
            <w:pPr>
              <w:spacing w:after="0"/>
            </w:pPr>
            <w:r>
              <w:rPr>
                <w:sz w:val="19"/>
                <w:szCs w:val="19"/>
              </w:rPr>
              <w:t xml:space="preserve">slm 19</w:t>
            </w:r>
          </w:p>
        </w:tc>
        <w:tc>
          <w:tcPr>
            <w:tcMar>
              <w:top w:type="dxa" w:w="60"/>
              <w:left w:type="dxa" w:w="90"/>
              <w:bottom w:type="dxa" w:w="60"/>
              <w:right w:type="dxa" w:w="90"/>
            </w:tcMar>
          </w:tcPr>
          <w:p>
            <w:pPr>
              <w:spacing w:after="0"/>
            </w:pPr>
            <w:r>
              <w:rPr>
                <w:sz w:val="19"/>
                <w:szCs w:val="19"/>
              </w:rPr>
              <w:t xml:space="preserve">GDB-Import</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20</w:t>
            </w:r>
          </w:p>
        </w:tc>
        <w:tc>
          <w:tcPr>
            <w:tcMar>
              <w:top w:type="dxa" w:w="60"/>
              <w:left w:type="dxa" w:w="90"/>
              <w:bottom w:type="dxa" w:w="60"/>
              <w:right w:type="dxa" w:w="90"/>
            </w:tcMar>
          </w:tcPr>
          <w:p>
            <w:pPr>
              <w:spacing w:after="0"/>
            </w:pPr>
            <w:r>
              <w:rPr>
                <w:sz w:val="19"/>
                <w:szCs w:val="19"/>
              </w:rPr>
              <w:t xml:space="preserve">GeoDB-/CSV-Export</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21</w:t>
            </w:r>
          </w:p>
        </w:tc>
        <w:tc>
          <w:tcPr>
            <w:tcMar>
              <w:top w:type="dxa" w:w="60"/>
              <w:left w:type="dxa" w:w="90"/>
              <w:bottom w:type="dxa" w:w="60"/>
              <w:right w:type="dxa" w:w="90"/>
            </w:tcMar>
          </w:tcPr>
          <w:p>
            <w:pPr>
              <w:spacing w:after="0"/>
            </w:pPr>
            <w:r>
              <w:rPr>
                <w:sz w:val="19"/>
                <w:szCs w:val="19"/>
              </w:rPr>
              <w:t xml:space="preserve">WLR und Betriebsdaten</w:t>
            </w:r>
          </w:p>
        </w:tc>
        <w:tc>
          <w:tcPr>
            <w:tcMar>
              <w:top w:type="dxa" w:w="60"/>
              <w:left w:type="dxa" w:w="90"/>
              <w:bottom w:type="dxa" w:w="60"/>
              <w:right w:type="dxa" w:w="90"/>
            </w:tcMar>
          </w:tcPr>
          <w:p>
            <w:pPr>
              <w:spacing w:after="0"/>
            </w:pPr>
            <w:r>
              <w:rPr>
                <w:sz w:val="19"/>
                <w:szCs w:val="19"/>
              </w:rPr>
              <w:t xml:space="preserve">3.2, 4.1</w:t>
            </w:r>
          </w:p>
        </w:tc>
        <w:tc>
          <w:tcPr>
            <w:tcMar>
              <w:top w:type="dxa" w:w="60"/>
              <w:left w:type="dxa" w:w="90"/>
              <w:bottom w:type="dxa" w:w="60"/>
              <w:right w:type="dxa" w:w="90"/>
            </w:tcMar>
          </w:tcPr>
          <w:p>
            <w:pPr>
              <w:spacing w:after="0"/>
            </w:pPr>
            <w:r>
              <w:rPr>
                <w:sz w:val="19"/>
                <w:szCs w:val="19"/>
              </w:rPr>
              <w:t xml:space="preserve">Z (Formate P)</w:t>
            </w:r>
          </w:p>
        </w:tc>
      </w:tr>
      <w:tr>
        <w:trPr>
          <w:tblHeader w:val="false"/>
        </w:trPr>
        <w:tc>
          <w:tcPr>
            <w:tcMar>
              <w:top w:type="dxa" w:w="60"/>
              <w:left w:type="dxa" w:w="90"/>
              <w:bottom w:type="dxa" w:w="60"/>
              <w:right w:type="dxa" w:w="90"/>
            </w:tcMar>
          </w:tcPr>
          <w:p>
            <w:pPr>
              <w:spacing w:after="0"/>
            </w:pPr>
            <w:r>
              <w:rPr>
                <w:sz w:val="19"/>
                <w:szCs w:val="19"/>
              </w:rPr>
              <w:t xml:space="preserve">slm 22–25</w:t>
            </w:r>
          </w:p>
        </w:tc>
        <w:tc>
          <w:tcPr>
            <w:tcMar>
              <w:top w:type="dxa" w:w="60"/>
              <w:left w:type="dxa" w:w="90"/>
              <w:bottom w:type="dxa" w:w="60"/>
              <w:right w:type="dxa" w:w="90"/>
            </w:tcMar>
          </w:tcPr>
          <w:p>
            <w:pPr>
              <w:spacing w:after="0"/>
            </w:pPr>
            <w:r>
              <w:rPr>
                <w:sz w:val="19"/>
                <w:szCs w:val="19"/>
              </w:rPr>
              <w:t xml:space="preserve">Waffe/Kaliber, Kaliber, Waffe, Kategorie</w:t>
            </w:r>
          </w:p>
        </w:tc>
        <w:tc>
          <w:tcPr>
            <w:tcMar>
              <w:top w:type="dxa" w:w="60"/>
              <w:left w:type="dxa" w:w="90"/>
              <w:bottom w:type="dxa" w:w="60"/>
              <w:right w:type="dxa" w:w="90"/>
            </w:tcMar>
          </w:tcPr>
          <w:p>
            <w:pPr>
              <w:spacing w:after="0"/>
            </w:pPr>
            <w:r>
              <w:rPr>
                <w:sz w:val="19"/>
                <w:szCs w:val="19"/>
              </w:rPr>
              <w:t xml:space="preserve">5.1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26</w:t>
            </w:r>
          </w:p>
        </w:tc>
        <w:tc>
          <w:tcPr>
            <w:tcMar>
              <w:top w:type="dxa" w:w="60"/>
              <w:left w:type="dxa" w:w="90"/>
              <w:bottom w:type="dxa" w:w="60"/>
              <w:right w:type="dxa" w:w="90"/>
            </w:tcMar>
          </w:tcPr>
          <w:p>
            <w:pPr>
              <w:spacing w:after="0"/>
            </w:pPr>
            <w:r>
              <w:rPr>
                <w:sz w:val="19"/>
                <w:szCs w:val="19"/>
              </w:rPr>
              <w:t xml:space="preserve">Benutzerverwaltung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(Schiessplatz-Zuordnung im Formular, CASL Z)</w:t>
            </w:r>
          </w:p>
        </w:tc>
      </w:tr>
      <w:tr>
        <w:trPr>
          <w:tblHeader w:val="false"/>
        </w:trPr>
        <w:tc>
          <w:tcPr>
            <w:tcMar>
              <w:top w:type="dxa" w:w="60"/>
              <w:left w:type="dxa" w:w="90"/>
              <w:bottom w:type="dxa" w:w="60"/>
              <w:right w:type="dxa" w:w="90"/>
            </w:tcMar>
          </w:tcPr>
          <w:p>
            <w:pPr>
              <w:spacing w:after="0"/>
            </w:pPr>
            <w:r>
              <w:rPr>
                <w:sz w:val="19"/>
                <w:szCs w:val="19"/>
              </w:rPr>
              <w:t xml:space="preserve">slm 27</w:t>
            </w:r>
          </w:p>
        </w:tc>
        <w:tc>
          <w:tcPr>
            <w:tcMar>
              <w:top w:type="dxa" w:w="60"/>
              <w:left w:type="dxa" w:w="90"/>
              <w:bottom w:type="dxa" w:w="60"/>
              <w:right w:type="dxa" w:w="90"/>
            </w:tcMar>
          </w:tcPr>
          <w:p>
            <w:pPr>
              <w:spacing w:after="0"/>
            </w:pPr>
            <w:r>
              <w:rPr>
                <w:sz w:val="19"/>
                <w:szCs w:val="19"/>
              </w:rPr>
              <w:t xml:space="preserve">Erweiterte Konfiguration</w:t>
            </w:r>
          </w:p>
        </w:tc>
        <w:tc>
          <w:tcPr>
            <w:tcMar>
              <w:top w:type="dxa" w:w="60"/>
              <w:left w:type="dxa" w:w="90"/>
              <w:bottom w:type="dxa" w:w="60"/>
              <w:right w:type="dxa" w:w="90"/>
            </w:tcMar>
          </w:tcPr>
          <w:p>
            <w:pPr>
              <w:spacing w:after="0"/>
            </w:pPr>
            <w:r>
              <w:rPr>
                <w:sz w:val="19"/>
                <w:szCs w:val="19"/>
              </w:rPr>
              <w:t xml:space="preserve">4.2, 6.1</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28–30</w:t>
            </w:r>
          </w:p>
        </w:tc>
        <w:tc>
          <w:tcPr>
            <w:tcMar>
              <w:top w:type="dxa" w:w="60"/>
              <w:left w:type="dxa" w:w="90"/>
              <w:bottom w:type="dxa" w:w="60"/>
              <w:right w:type="dxa" w:w="90"/>
            </w:tcMar>
          </w:tcPr>
          <w:p>
            <w:pPr>
              <w:spacing w:after="0"/>
            </w:pPr>
            <w:r>
              <w:rPr>
                <w:sz w:val="19"/>
                <w:szCs w:val="19"/>
              </w:rPr>
              <w:t xml:space="preserve">ELO-Schnittstelle</w:t>
            </w:r>
          </w:p>
        </w:tc>
        <w:tc>
          <w:tcPr>
            <w:tcMar>
              <w:top w:type="dxa" w:w="60"/>
              <w:left w:type="dxa" w:w="90"/>
              <w:bottom w:type="dxa" w:w="60"/>
              <w:right w:type="dxa" w:w="90"/>
            </w:tcMar>
          </w:tcPr>
          <w:p>
            <w:pPr>
              <w:spacing w:after="0"/>
            </w:pPr>
            <w:r>
              <w:rPr>
                <w:sz w:val="19"/>
                <w:szCs w:val="19"/>
              </w:rPr>
              <w:t xml:space="preserve">3.1</w:t>
            </w:r>
          </w:p>
        </w:tc>
        <w:tc>
          <w:tcPr>
            <w:tcMar>
              <w:top w:type="dxa" w:w="60"/>
              <w:left w:type="dxa" w:w="90"/>
              <w:bottom w:type="dxa" w:w="60"/>
              <w:right w:type="dxa" w:w="90"/>
            </w:tcMar>
          </w:tcPr>
          <w:p>
            <w:pPr>
              <w:spacing w:after="0"/>
            </w:pPr>
            <w:r>
              <w:rPr>
                <w:sz w:val="19"/>
                <w:szCs w:val="19"/>
              </w:rPr>
              <w:t xml:space="preserve">Z (Modell, Validierung, Kennzeichen P)</w:t>
            </w:r>
          </w:p>
        </w:tc>
      </w:tr>
      <w:tr>
        <w:trPr>
          <w:tblHeader w:val="false"/>
        </w:trPr>
        <w:tc>
          <w:tcPr>
            <w:tcMar>
              <w:top w:type="dxa" w:w="60"/>
              <w:left w:type="dxa" w:w="90"/>
              <w:bottom w:type="dxa" w:w="60"/>
              <w:right w:type="dxa" w:w="90"/>
            </w:tcMar>
          </w:tcPr>
          <w:p>
            <w:pPr>
              <w:spacing w:after="0"/>
            </w:pPr>
            <w:r>
              <w:rPr>
                <w:sz w:val="19"/>
                <w:szCs w:val="19"/>
              </w:rPr>
              <w:t xml:space="preserve">slm 31</w:t>
            </w:r>
          </w:p>
        </w:tc>
        <w:tc>
          <w:tcPr>
            <w:tcMar>
              <w:top w:type="dxa" w:w="60"/>
              <w:left w:type="dxa" w:w="90"/>
              <w:bottom w:type="dxa" w:w="60"/>
              <w:right w:type="dxa" w:w="90"/>
            </w:tcMar>
          </w:tcPr>
          <w:p>
            <w:pPr>
              <w:spacing w:after="0"/>
            </w:pPr>
            <w:r>
              <w:rPr>
                <w:sz w:val="19"/>
                <w:szCs w:val="19"/>
              </w:rPr>
              <w:t xml:space="preserve">LSV-Betriebsdaten</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32</w:t>
            </w:r>
          </w:p>
        </w:tc>
        <w:tc>
          <w:tcPr>
            <w:tcMar>
              <w:top w:type="dxa" w:w="60"/>
              <w:left w:type="dxa" w:w="90"/>
              <w:bottom w:type="dxa" w:w="60"/>
              <w:right w:type="dxa" w:w="90"/>
            </w:tcMar>
          </w:tcPr>
          <w:p>
            <w:pPr>
              <w:spacing w:after="0"/>
            </w:pPr>
            <w:r>
              <w:rPr>
                <w:sz w:val="19"/>
                <w:szCs w:val="19"/>
              </w:rPr>
              <w:t xml:space="preserve">Quellenzuordnung</w:t>
            </w:r>
          </w:p>
        </w:tc>
        <w:tc>
          <w:tcPr>
            <w:tcMar>
              <w:top w:type="dxa" w:w="60"/>
              <w:left w:type="dxa" w:w="90"/>
              <w:bottom w:type="dxa" w:w="60"/>
              <w:right w:type="dxa" w:w="90"/>
            </w:tcMar>
          </w:tcPr>
          <w:p>
            <w:pPr>
              <w:spacing w:after="0"/>
            </w:pPr>
            <w:r>
              <w:rPr>
                <w:sz w:val="19"/>
                <w:szCs w:val="19"/>
              </w:rPr>
              <w:t xml:space="preserve">2.3, 4.2</w:t>
            </w:r>
          </w:p>
        </w:tc>
        <w:tc>
          <w:tcPr>
            <w:tcMar>
              <w:top w:type="dxa" w:w="60"/>
              <w:left w:type="dxa" w:w="90"/>
              <w:bottom w:type="dxa" w:w="60"/>
              <w:right w:type="dxa" w:w="90"/>
            </w:tcMar>
          </w:tcPr>
          <w:p>
            <w:pPr>
              <w:spacing w:after="0"/>
            </w:pPr>
            <w:r>
              <w:rPr>
                <w:sz w:val="19"/>
                <w:szCs w:val="19"/>
              </w:rPr>
              <w:t xml:space="preserve">P (eine Quelle je Kombination; Gewichte Z)</w:t>
            </w:r>
          </w:p>
        </w:tc>
      </w:tr>
      <w:tr>
        <w:trPr>
          <w:tblHeader w:val="false"/>
        </w:trPr>
        <w:tc>
          <w:tcPr>
            <w:tcMar>
              <w:top w:type="dxa" w:w="60"/>
              <w:left w:type="dxa" w:w="90"/>
              <w:bottom w:type="dxa" w:w="60"/>
              <w:right w:type="dxa" w:w="90"/>
            </w:tcMar>
          </w:tcPr>
          <w:p>
            <w:pPr>
              <w:spacing w:after="0"/>
            </w:pPr>
            <w:r>
              <w:rPr>
                <w:sz w:val="19"/>
                <w:szCs w:val="19"/>
              </w:rPr>
              <w:t xml:space="preserve">slm 33–34</w:t>
            </w:r>
          </w:p>
        </w:tc>
        <w:tc>
          <w:tcPr>
            <w:tcMar>
              <w:top w:type="dxa" w:w="60"/>
              <w:left w:type="dxa" w:w="90"/>
              <w:bottom w:type="dxa" w:w="60"/>
              <w:right w:type="dxa" w:w="90"/>
            </w:tcMar>
          </w:tcPr>
          <w:p>
            <w:pPr>
              <w:spacing w:after="0"/>
            </w:pPr>
            <w:r>
              <w:rPr>
                <w:sz w:val="19"/>
                <w:szCs w:val="19"/>
              </w:rPr>
              <w:t xml:space="preserve">Beurteilungspegel, Grenzwertvergleich</w:t>
            </w:r>
          </w:p>
        </w:tc>
        <w:tc>
          <w:tcPr>
            <w:tcMar>
              <w:top w:type="dxa" w:w="60"/>
              <w:left w:type="dxa" w:w="90"/>
              <w:bottom w:type="dxa" w:w="60"/>
              <w:right w:type="dxa" w:w="90"/>
            </w:tcMar>
          </w:tcPr>
          <w:p>
            <w:pPr>
              <w:spacing w:after="0"/>
            </w:pPr>
            <w:r>
              <w:rPr>
                <w:sz w:val="19"/>
                <w:szCs w:val="19"/>
              </w:rPr>
              <w:t xml:space="preserve">4.2, 4.3</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35</w:t>
            </w:r>
          </w:p>
        </w:tc>
        <w:tc>
          <w:tcPr>
            <w:tcMar>
              <w:top w:type="dxa" w:w="60"/>
              <w:left w:type="dxa" w:w="90"/>
              <w:bottom w:type="dxa" w:w="60"/>
              <w:right w:type="dxa" w:w="90"/>
            </w:tcMar>
          </w:tcPr>
          <w:p>
            <w:pPr>
              <w:spacing w:after="0"/>
            </w:pPr>
            <w:r>
              <w:rPr>
                <w:sz w:val="19"/>
                <w:szCs w:val="19"/>
              </w:rPr>
              <w:t xml:space="preserve">Rollen und Anmeldung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(AGOV K)</w:t>
            </w:r>
          </w:p>
        </w:tc>
      </w:tr>
      <w:tr>
        <w:trPr>
          <w:tblHeader w:val="false"/>
        </w:trPr>
        <w:tc>
          <w:tcPr>
            <w:tcMar>
              <w:top w:type="dxa" w:w="60"/>
              <w:left w:type="dxa" w:w="90"/>
              <w:bottom w:type="dxa" w:w="60"/>
              <w:right w:type="dxa" w:w="90"/>
            </w:tcMar>
          </w:tcPr>
          <w:p>
            <w:pPr>
              <w:spacing w:after="0"/>
            </w:pPr>
            <w:r>
              <w:rPr>
                <w:sz w:val="19"/>
                <w:szCs w:val="19"/>
              </w:rPr>
              <w:t xml:space="preserve">slm 36–37</w:t>
            </w:r>
          </w:p>
        </w:tc>
        <w:tc>
          <w:tcPr>
            <w:tcMar>
              <w:top w:type="dxa" w:w="60"/>
              <w:left w:type="dxa" w:w="90"/>
              <w:bottom w:type="dxa" w:w="60"/>
              <w:right w:type="dxa" w:w="90"/>
            </w:tcMar>
          </w:tcPr>
          <w:p>
            <w:pPr>
              <w:spacing w:after="0"/>
            </w:pPr>
            <w:r>
              <w:rPr>
                <w:sz w:val="19"/>
                <w:szCs w:val="19"/>
              </w:rPr>
              <w:t xml:space="preserve">Initialimport, Excel-Schusszahlen</w:t>
            </w:r>
          </w:p>
        </w:tc>
        <w:tc>
          <w:tcPr>
            <w:tcMar>
              <w:top w:type="dxa" w:w="60"/>
              <w:left w:type="dxa" w:w="90"/>
              <w:bottom w:type="dxa" w:w="60"/>
              <w:right w:type="dxa" w:w="90"/>
            </w:tcMar>
          </w:tcPr>
          <w:p>
            <w:pPr>
              <w:spacing w:after="0"/>
            </w:pPr>
            <w:r>
              <w:rPr>
                <w:sz w:val="19"/>
                <w:szCs w:val="19"/>
              </w:rPr>
              <w:t xml:space="preserve">3.2, 3.3</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38</w:t>
            </w:r>
          </w:p>
        </w:tc>
        <w:tc>
          <w:tcPr>
            <w:tcMar>
              <w:top w:type="dxa" w:w="60"/>
              <w:left w:type="dxa" w:w="90"/>
              <w:bottom w:type="dxa" w:w="60"/>
              <w:right w:type="dxa" w:w="90"/>
            </w:tcMar>
          </w:tcPr>
          <w:p>
            <w:pPr>
              <w:spacing w:after="0"/>
            </w:pPr>
            <w:r>
              <w:rPr>
                <w:sz w:val="19"/>
                <w:szCs w:val="19"/>
              </w:rPr>
              <w:t xml:space="preserve">Geodatenbank und Views</w:t>
            </w:r>
          </w:p>
        </w:tc>
        <w:tc>
          <w:tcPr>
            <w:tcMar>
              <w:top w:type="dxa" w:w="60"/>
              <w:left w:type="dxa" w:w="90"/>
              <w:bottom w:type="dxa" w:w="60"/>
              <w:right w:type="dxa" w:w="90"/>
            </w:tcMar>
          </w:tcPr>
          <w:p>
            <w:pPr>
              <w:spacing w:after="0"/>
            </w:pPr>
            <w:r>
              <w:rPr>
                <w:sz w:val="19"/>
                <w:szCs w:val="19"/>
              </w:rPr>
              <w:t xml:space="preserve">2.3, 3.4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39–41</w:t>
            </w:r>
          </w:p>
        </w:tc>
        <w:tc>
          <w:tcPr>
            <w:tcMar>
              <w:top w:type="dxa" w:w="60"/>
              <w:left w:type="dxa" w:w="90"/>
              <w:bottom w:type="dxa" w:w="60"/>
              <w:right w:type="dxa" w:w="90"/>
            </w:tcMar>
          </w:tcPr>
          <w:p>
            <w:pPr>
              <w:spacing w:after="0"/>
            </w:pPr>
            <w:r>
              <w:rPr>
                <w:sz w:val="19"/>
                <w:szCs w:val="19"/>
              </w:rPr>
              <w:t xml:space="preserve">Exporte, Nutzungsexport, Gesamtstatistik</w:t>
            </w:r>
          </w:p>
        </w:tc>
        <w:tc>
          <w:tcPr>
            <w:tcMar>
              <w:top w:type="dxa" w:w="60"/>
              <w:left w:type="dxa" w:w="90"/>
              <w:bottom w:type="dxa" w:w="60"/>
              <w:right w:type="dxa" w:w="90"/>
            </w:tcMar>
          </w:tcPr>
          <w:p>
            <w:pPr>
              <w:spacing w:after="0"/>
            </w:pPr>
            <w:r>
              <w:rPr>
                <w:sz w:val="19"/>
                <w:szCs w:val="19"/>
              </w:rPr>
              <w:t xml:space="preserve">3.4</w:t>
            </w:r>
          </w:p>
        </w:tc>
        <w:tc>
          <w:tcPr>
            <w:tcMar>
              <w:top w:type="dxa" w:w="60"/>
              <w:left w:type="dxa" w:w="90"/>
              <w:bottom w:type="dxa" w:w="60"/>
              <w:right w:type="dxa" w:w="90"/>
            </w:tcMar>
          </w:tcPr>
          <w:p>
            <w:pPr>
              <w:spacing w:after="0"/>
            </w:pPr>
            <w:r>
              <w:rPr>
                <w:sz w:val="19"/>
                <w:szCs w:val="19"/>
              </w:rPr>
              <w:t xml:space="preserve">Z (Logbuch-Export P)</w:t>
            </w:r>
          </w:p>
        </w:tc>
      </w:tr>
      <w:tr>
        <w:trPr>
          <w:tblHeader w:val="false"/>
        </w:trPr>
        <w:tc>
          <w:tcPr>
            <w:tcMar>
              <w:top w:type="dxa" w:w="60"/>
              <w:left w:type="dxa" w:w="90"/>
              <w:bottom w:type="dxa" w:w="60"/>
              <w:right w:type="dxa" w:w="90"/>
            </w:tcMar>
          </w:tcPr>
          <w:p>
            <w:pPr>
              <w:spacing w:after="0"/>
            </w:pPr>
            <w:r>
              <w:rPr>
                <w:sz w:val="19"/>
                <w:szCs w:val="19"/>
              </w:rPr>
              <w:t xml:space="preserve">slm 42–44</w:t>
            </w:r>
          </w:p>
        </w:tc>
        <w:tc>
          <w:tcPr>
            <w:tcMar>
              <w:top w:type="dxa" w:w="60"/>
              <w:left w:type="dxa" w:w="90"/>
              <w:bottom w:type="dxa" w:w="60"/>
              <w:right w:type="dxa" w:w="90"/>
            </w:tcMar>
          </w:tcPr>
          <w:p>
            <w:pPr>
              <w:spacing w:after="0"/>
            </w:pPr>
            <w:r>
              <w:rPr>
                <w:sz w:val="19"/>
                <w:szCs w:val="19"/>
              </w:rPr>
              <w:t xml:space="preserve">Entkoppeltes Datenmodell, Reproduzierbarkeit</w:t>
            </w:r>
          </w:p>
        </w:tc>
        <w:tc>
          <w:tcPr>
            <w:tcMar>
              <w:top w:type="dxa" w:w="60"/>
              <w:left w:type="dxa" w:w="90"/>
              <w:bottom w:type="dxa" w:w="60"/>
              <w:right w:type="dxa" w:w="90"/>
            </w:tcMar>
          </w:tcPr>
          <w:p>
            <w:pPr>
              <w:spacing w:after="0"/>
            </w:pPr>
            <w:r>
              <w:rPr>
                <w:sz w:val="19"/>
                <w:szCs w:val="19"/>
              </w:rPr>
              <w:t xml:space="preserve">2.3</w:t>
            </w:r>
          </w:p>
        </w:tc>
        <w:tc>
          <w:tcPr>
            <w:tcMar>
              <w:top w:type="dxa" w:w="60"/>
              <w:left w:type="dxa" w:w="90"/>
              <w:bottom w:type="dxa" w:w="60"/>
              <w:right w:type="dxa" w:w="90"/>
            </w:tcMar>
          </w:tcPr>
          <w:p>
            <w:pPr>
              <w:spacing w:after="0"/>
            </w:pPr>
            <w:r>
              <w:rPr>
                <w:sz w:val="19"/>
                <w:szCs w:val="19"/>
              </w:rPr>
              <w:t xml:space="preserve">P (Modell; Berechnungsstand, Quellengewichte Z)</w:t>
            </w:r>
          </w:p>
        </w:tc>
      </w:tr>
      <w:tr>
        <w:trPr>
          <w:tblHeader w:val="false"/>
        </w:trPr>
        <w:tc>
          <w:tcPr>
            <w:tcMar>
              <w:top w:type="dxa" w:w="60"/>
              <w:left w:type="dxa" w:w="90"/>
              <w:bottom w:type="dxa" w:w="60"/>
              <w:right w:type="dxa" w:w="90"/>
            </w:tcMar>
          </w:tcPr>
          <w:p>
            <w:pPr>
              <w:spacing w:after="0"/>
            </w:pPr>
            <w:r>
              <w:rPr>
                <w:sz w:val="19"/>
                <w:szCs w:val="19"/>
              </w:rPr>
              <w:t xml:space="preserve">slm 45</w:t>
            </w:r>
          </w:p>
        </w:tc>
        <w:tc>
          <w:tcPr>
            <w:tcMar>
              <w:top w:type="dxa" w:w="60"/>
              <w:left w:type="dxa" w:w="90"/>
              <w:bottom w:type="dxa" w:w="60"/>
              <w:right w:type="dxa" w:w="90"/>
            </w:tcMar>
          </w:tcPr>
          <w:p>
            <w:pPr>
              <w:spacing w:after="0"/>
            </w:pPr>
            <w:r>
              <w:rPr>
                <w:sz w:val="19"/>
                <w:szCs w:val="19"/>
              </w:rPr>
              <w:t xml:space="preserve">Stellungsraum-Abgleich beim Import</w:t>
            </w:r>
          </w:p>
        </w:tc>
        <w:tc>
          <w:tcPr>
            <w:tcMar>
              <w:top w:type="dxa" w:w="60"/>
              <w:left w:type="dxa" w:w="90"/>
              <w:bottom w:type="dxa" w:w="60"/>
              <w:right w:type="dxa" w:w="90"/>
            </w:tcMar>
          </w:tcPr>
          <w:p>
            <w:pPr>
              <w:spacing w:after="0"/>
            </w:pPr>
            <w:r>
              <w:rPr>
                <w:sz w:val="19"/>
                <w:szCs w:val="19"/>
              </w:rPr>
              <w:t xml:space="preserve">3.2</w:t>
            </w:r>
          </w:p>
        </w:tc>
        <w:tc>
          <w:tcPr>
            <w:tcMar>
              <w:top w:type="dxa" w:w="60"/>
              <w:left w:type="dxa" w:w="90"/>
              <w:bottom w:type="dxa" w:w="60"/>
              <w:right w:type="dxa" w:w="90"/>
            </w:tcMar>
          </w:tcPr>
          <w:p>
            <w:pPr>
              <w:spacing w:after="0"/>
            </w:pPr>
            <w:r>
              <w:rPr>
                <w:sz w:val="19"/>
                <w:szCs w:val="19"/>
              </w:rPr>
              <w:t xml:space="preserve">Z (Regel P)</w:t>
            </w:r>
          </w:p>
        </w:tc>
      </w:tr>
      <w:tr>
        <w:trPr>
          <w:tblHeader w:val="false"/>
        </w:trPr>
        <w:tc>
          <w:tcPr>
            <w:tcMar>
              <w:top w:type="dxa" w:w="60"/>
              <w:left w:type="dxa" w:w="90"/>
              <w:bottom w:type="dxa" w:w="60"/>
              <w:right w:type="dxa" w:w="90"/>
            </w:tcMar>
          </w:tcPr>
          <w:p>
            <w:pPr>
              <w:spacing w:after="0"/>
            </w:pPr>
            <w:r>
              <w:rPr>
                <w:sz w:val="19"/>
                <w:szCs w:val="19"/>
              </w:rPr>
              <w:t xml:space="preserve">slm 46–49</w:t>
            </w:r>
          </w:p>
        </w:tc>
        <w:tc>
          <w:tcPr>
            <w:tcMar>
              <w:top w:type="dxa" w:w="60"/>
              <w:left w:type="dxa" w:w="90"/>
              <w:bottom w:type="dxa" w:w="60"/>
              <w:right w:type="dxa" w:w="90"/>
            </w:tcMar>
          </w:tcPr>
          <w:p>
            <w:pPr>
              <w:spacing w:after="0"/>
            </w:pPr>
            <w:r>
              <w:rPr>
                <w:sz w:val="19"/>
                <w:szCs w:val="19"/>
              </w:rPr>
              <w:t xml:space="preserve">QR-Einstieg, Erfassung, Offline, Signatur</w:t>
            </w:r>
          </w:p>
        </w:tc>
        <w:tc>
          <w:tcPr>
            <w:tcMar>
              <w:top w:type="dxa" w:w="60"/>
              <w:left w:type="dxa" w:w="90"/>
              <w:bottom w:type="dxa" w:w="60"/>
              <w:right w:type="dxa" w:w="90"/>
            </w:tcMar>
          </w:tcPr>
          <w:p>
            <w:pPr>
              <w:spacing w:after="0"/>
            </w:pPr>
            <w:r>
              <w:rPr>
                <w:sz w:val="19"/>
                <w:szCs w:val="19"/>
              </w:rPr>
              <w:t xml:space="preserve">5.4</w:t>
            </w:r>
          </w:p>
        </w:tc>
        <w:tc>
          <w:tcPr>
            <w:tcMar>
              <w:top w:type="dxa" w:w="60"/>
              <w:left w:type="dxa" w:w="90"/>
              <w:bottom w:type="dxa" w:w="60"/>
              <w:right w:type="dxa" w:w="90"/>
            </w:tcMar>
          </w:tcPr>
          <w:p>
            <w:pPr>
              <w:spacing w:after="0"/>
            </w:pPr>
            <w:r>
              <w:rPr>
                <w:sz w:val="19"/>
                <w:szCs w:val="19"/>
              </w:rPr>
              <w:t xml:space="preserve">O</w:t>
            </w:r>
          </w:p>
        </w:tc>
      </w:tr>
      <w:tr>
        <w:trPr>
          <w:tblHeader w:val="false"/>
        </w:trPr>
        <w:tc>
          <w:tcPr>
            <w:tcMar>
              <w:top w:type="dxa" w:w="60"/>
              <w:left w:type="dxa" w:w="90"/>
              <w:bottom w:type="dxa" w:w="60"/>
              <w:right w:type="dxa" w:w="90"/>
            </w:tcMar>
          </w:tcPr>
          <w:p>
            <w:pPr>
              <w:spacing w:after="0"/>
            </w:pPr>
            <w:r>
              <w:rPr>
                <w:sz w:val="19"/>
                <w:szCs w:val="19"/>
              </w:rPr>
              <w:t xml:space="preserve">slm 50–51</w:t>
            </w:r>
          </w:p>
        </w:tc>
        <w:tc>
          <w:tcPr>
            <w:tcMar>
              <w:top w:type="dxa" w:w="60"/>
              <w:left w:type="dxa" w:w="90"/>
              <w:bottom w:type="dxa" w:w="60"/>
              <w:right w:type="dxa" w:w="90"/>
            </w:tcMar>
          </w:tcPr>
          <w:p>
            <w:pPr>
              <w:spacing w:after="0"/>
            </w:pPr>
            <w:r>
              <w:rPr>
                <w:sz w:val="19"/>
                <w:szCs w:val="19"/>
              </w:rPr>
              <w:t xml:space="preserve">Einheitliche Oberfläche, Mehrsprachigkeit</w:t>
            </w:r>
          </w:p>
        </w:tc>
        <w:tc>
          <w:tcPr>
            <w:tcMar>
              <w:top w:type="dxa" w:w="60"/>
              <w:left w:type="dxa" w:w="90"/>
              <w:bottom w:type="dxa" w:w="60"/>
              <w:right w:type="dxa" w:w="90"/>
            </w:tcMar>
          </w:tcPr>
          <w:p>
            <w:pPr>
              <w:spacing w:after="0"/>
            </w:pPr>
            <w:r>
              <w:rPr>
                <w:sz w:val="19"/>
                <w:szCs w:val="19"/>
              </w:rPr>
              <w:t xml:space="preserve">5.1, 5.4</w:t>
            </w:r>
          </w:p>
        </w:tc>
        <w:tc>
          <w:tcPr>
            <w:tcMar>
              <w:top w:type="dxa" w:w="60"/>
              <w:left w:type="dxa" w:w="90"/>
              <w:bottom w:type="dxa" w:w="60"/>
              <w:right w:type="dxa" w:w="90"/>
            </w:tcMar>
          </w:tcPr>
          <w:p>
            <w:pPr>
              <w:spacing w:after="0"/>
            </w:pPr>
            <w:r>
              <w:rPr>
                <w:sz w:val="19"/>
                <w:szCs w:val="19"/>
              </w:rPr>
              <w:t xml:space="preserve">P (Fachübersetzung IT K)</w:t>
            </w:r>
          </w:p>
        </w:tc>
      </w:tr>
      <w:tr>
        <w:trPr>
          <w:tblHeader w:val="false"/>
        </w:trPr>
        <w:tc>
          <w:tcPr>
            <w:tcMar>
              <w:top w:type="dxa" w:w="60"/>
              <w:left w:type="dxa" w:w="90"/>
              <w:bottom w:type="dxa" w:w="60"/>
              <w:right w:type="dxa" w:w="90"/>
            </w:tcMar>
          </w:tcPr>
          <w:p>
            <w:pPr>
              <w:spacing w:after="0"/>
            </w:pPr>
            <w:r>
              <w:rPr>
                <w:sz w:val="19"/>
                <w:szCs w:val="19"/>
              </w:rPr>
              <w:t xml:space="preserve">slm 52</w:t>
            </w:r>
          </w:p>
        </w:tc>
        <w:tc>
          <w:tcPr>
            <w:tcMar>
              <w:top w:type="dxa" w:w="60"/>
              <w:left w:type="dxa" w:w="90"/>
              <w:bottom w:type="dxa" w:w="60"/>
              <w:right w:type="dxa" w:w="90"/>
            </w:tcMar>
          </w:tcPr>
          <w:p>
            <w:pPr>
              <w:spacing w:after="0"/>
            </w:pPr>
            <w:r>
              <w:rPr>
                <w:sz w:val="19"/>
                <w:szCs w:val="19"/>
              </w:rPr>
              <w:t xml:space="preserve">Ergonomie, Barrierefreiheit</w:t>
            </w:r>
          </w:p>
        </w:tc>
        <w:tc>
          <w:tcPr>
            <w:tcMar>
              <w:top w:type="dxa" w:w="60"/>
              <w:left w:type="dxa" w:w="90"/>
              <w:bottom w:type="dxa" w:w="60"/>
              <w:right w:type="dxa" w:w="90"/>
            </w:tcMar>
          </w:tcPr>
          <w:p>
            <w:pPr>
              <w:spacing w:after="0"/>
            </w:pPr>
            <w:r>
              <w:rPr>
                <w:sz w:val="19"/>
                <w:szCs w:val="19"/>
              </w:rPr>
              <w:t xml:space="preserve">5.4, 6.3</w:t>
            </w:r>
          </w:p>
        </w:tc>
        <w:tc>
          <w:tcPr>
            <w:tcMar>
              <w:top w:type="dxa" w:w="60"/>
              <w:left w:type="dxa" w:w="90"/>
              <w:bottom w:type="dxa" w:w="60"/>
              <w:right w:type="dxa" w:w="90"/>
            </w:tcMar>
          </w:tcPr>
          <w:p>
            <w:pPr>
              <w:spacing w:after="0"/>
            </w:pPr>
            <w:r>
              <w:rPr>
                <w:sz w:val="19"/>
                <w:szCs w:val="19"/>
              </w:rPr>
              <w:t xml:space="preserve">Z (Grundlagen P; Prüfstandard K)</w:t>
            </w:r>
          </w:p>
        </w:tc>
      </w:tr>
      <w:tr>
        <w:trPr>
          <w:tblHeader w:val="false"/>
        </w:trPr>
        <w:tc>
          <w:tcPr>
            <w:tcMar>
              <w:top w:type="dxa" w:w="60"/>
              <w:left w:type="dxa" w:w="90"/>
              <w:bottom w:type="dxa" w:w="60"/>
              <w:right w:type="dxa" w:w="90"/>
            </w:tcMar>
          </w:tcPr>
          <w:p>
            <w:pPr>
              <w:spacing w:after="0"/>
            </w:pPr>
            <w:r>
              <w:rPr>
                <w:sz w:val="19"/>
                <w:szCs w:val="19"/>
              </w:rPr>
              <w:t xml:space="preserve">slm 53</w:t>
            </w:r>
          </w:p>
        </w:tc>
        <w:tc>
          <w:tcPr>
            <w:tcMar>
              <w:top w:type="dxa" w:w="60"/>
              <w:left w:type="dxa" w:w="90"/>
              <w:bottom w:type="dxa" w:w="60"/>
              <w:right w:type="dxa" w:w="90"/>
            </w:tcMar>
          </w:tcPr>
          <w:p>
            <w:pPr>
              <w:spacing w:after="0"/>
            </w:pPr>
            <w:r>
              <w:rPr>
                <w:sz w:val="19"/>
                <w:szCs w:val="19"/>
              </w:rPr>
              <w:t xml:space="preserve">Handbuch und Hilfe</w:t>
            </w:r>
          </w:p>
        </w:tc>
        <w:tc>
          <w:tcPr>
            <w:tcMar>
              <w:top w:type="dxa" w:w="60"/>
              <w:left w:type="dxa" w:w="90"/>
              <w:bottom w:type="dxa" w:w="60"/>
              <w:right w:type="dxa" w:w="90"/>
            </w:tcMar>
          </w:tcPr>
          <w:p>
            <w:pPr>
              <w:spacing w:after="0"/>
            </w:pPr>
            <w:r>
              <w:rPr>
                <w:sz w:val="19"/>
                <w:szCs w:val="19"/>
              </w:rPr>
              <w:t xml:space="preserve">6.4</w:t>
            </w:r>
          </w:p>
        </w:tc>
        <w:tc>
          <w:tcPr>
            <w:tcMar>
              <w:top w:type="dxa" w:w="60"/>
              <w:left w:type="dxa" w:w="90"/>
              <w:bottom w:type="dxa" w:w="60"/>
              <w:right w:type="dxa" w:w="90"/>
            </w:tcMar>
          </w:tcPr>
          <w:p>
            <w:pPr>
              <w:spacing w:after="0"/>
            </w:pPr>
            <w:r>
              <w:rPr>
                <w:sz w:val="19"/>
                <w:szCs w:val="19"/>
              </w:rPr>
              <w:t xml:space="preserve">Z</w:t>
            </w:r>
          </w:p>
        </w:tc>
      </w:tr>
      <w:tr>
        <w:trPr>
          <w:tblHeader w:val="false"/>
        </w:trPr>
        <w:tc>
          <w:tcPr>
            <w:tcMar>
              <w:top w:type="dxa" w:w="60"/>
              <w:left w:type="dxa" w:w="90"/>
              <w:bottom w:type="dxa" w:w="60"/>
              <w:right w:type="dxa" w:w="90"/>
            </w:tcMar>
          </w:tcPr>
          <w:p>
            <w:pPr>
              <w:spacing w:after="0"/>
            </w:pPr>
            <w:r>
              <w:rPr>
                <w:sz w:val="19"/>
                <w:szCs w:val="19"/>
              </w:rPr>
              <w:t xml:space="preserve">slm 54</w:t>
            </w:r>
          </w:p>
        </w:tc>
        <w:tc>
          <w:tcPr>
            <w:tcMar>
              <w:top w:type="dxa" w:w="60"/>
              <w:left w:type="dxa" w:w="90"/>
              <w:bottom w:type="dxa" w:w="60"/>
              <w:right w:type="dxa" w:w="90"/>
            </w:tcMar>
          </w:tcPr>
          <w:p>
            <w:pPr>
              <w:spacing w:after="0"/>
            </w:pPr>
            <w:r>
              <w:rPr>
                <w:sz w:val="19"/>
                <w:szCs w:val="19"/>
              </w:rPr>
              <w:t xml:space="preserve">Performance, Ressourcenisolation</w:t>
            </w:r>
          </w:p>
        </w:tc>
        <w:tc>
          <w:tcPr>
            <w:tcMar>
              <w:top w:type="dxa" w:w="60"/>
              <w:left w:type="dxa" w:w="90"/>
              <w:bottom w:type="dxa" w:w="60"/>
              <w:right w:type="dxa" w:w="90"/>
            </w:tcMar>
          </w:tcPr>
          <w:p>
            <w:pPr>
              <w:spacing w:after="0"/>
            </w:pPr>
            <w:r>
              <w:rPr>
                <w:sz w:val="19"/>
                <w:szCs w:val="19"/>
              </w:rPr>
              <w:t xml:space="preserve">4.4, 6.2</w:t>
            </w:r>
          </w:p>
        </w:tc>
        <w:tc>
          <w:tcPr>
            <w:tcMar>
              <w:top w:type="dxa" w:w="60"/>
              <w:left w:type="dxa" w:w="90"/>
              <w:bottom w:type="dxa" w:w="60"/>
              <w:right w:type="dxa" w:w="90"/>
            </w:tcMar>
          </w:tcPr>
          <w:p>
            <w:pPr>
              <w:spacing w:after="0"/>
            </w:pPr>
            <w:r>
              <w:rPr>
                <w:sz w:val="19"/>
                <w:szCs w:val="19"/>
              </w:rPr>
              <w:t xml:space="preserve">Z (Messung P)</w:t>
            </w:r>
          </w:p>
        </w:tc>
      </w:tr>
      <w:tr>
        <w:trPr>
          <w:tblHeader w:val="false"/>
        </w:trPr>
        <w:tc>
          <w:tcPr>
            <w:tcMar>
              <w:top w:type="dxa" w:w="60"/>
              <w:left w:type="dxa" w:w="90"/>
              <w:bottom w:type="dxa" w:w="60"/>
              <w:right w:type="dxa" w:w="90"/>
            </w:tcMar>
          </w:tcPr>
          <w:p>
            <w:pPr>
              <w:spacing w:after="0"/>
            </w:pPr>
            <w:r>
              <w:rPr>
                <w:sz w:val="19"/>
                <w:szCs w:val="19"/>
              </w:rPr>
              <w:t xml:space="preserve">slm 55</w:t>
            </w:r>
          </w:p>
        </w:tc>
        <w:tc>
          <w:tcPr>
            <w:tcMar>
              <w:top w:type="dxa" w:w="60"/>
              <w:left w:type="dxa" w:w="90"/>
              <w:bottom w:type="dxa" w:w="60"/>
              <w:right w:type="dxa" w:w="90"/>
            </w:tcMar>
          </w:tcPr>
          <w:p>
            <w:pPr>
              <w:spacing w:after="0"/>
            </w:pPr>
            <w:r>
              <w:rPr>
                <w:sz w:val="19"/>
                <w:szCs w:val="19"/>
              </w:rPr>
              <w:t xml:space="preserve">Wartbarkeit</w:t>
            </w:r>
          </w:p>
        </w:tc>
        <w:tc>
          <w:tcPr>
            <w:tcMar>
              <w:top w:type="dxa" w:w="60"/>
              <w:left w:type="dxa" w:w="90"/>
              <w:bottom w:type="dxa" w:w="60"/>
              <w:right w:type="dxa" w:w="90"/>
            </w:tcMar>
          </w:tcPr>
          <w:p>
            <w:pPr>
              <w:spacing w:after="0"/>
            </w:pPr>
            <w:r>
              <w:rPr>
                <w:sz w:val="19"/>
                <w:szCs w:val="19"/>
              </w:rPr>
              <w:t xml:space="preserve">6.1</w:t>
            </w:r>
          </w:p>
        </w:tc>
        <w:tc>
          <w:tcPr>
            <w:tcMar>
              <w:top w:type="dxa" w:w="60"/>
              <w:left w:type="dxa" w:w="90"/>
              <w:bottom w:type="dxa" w:w="60"/>
              <w:right w:type="dxa" w:w="90"/>
            </w:tcMar>
          </w:tcPr>
          <w:p>
            <w:pPr>
              <w:spacing w:after="0"/>
            </w:pPr>
            <w:r>
              <w:rPr>
                <w:sz w:val="19"/>
                <w:szCs w:val="19"/>
              </w:rPr>
              <w:t xml:space="preserve">P</w:t>
            </w:r>
          </w:p>
        </w:tc>
      </w:tr>
      <w:tr>
        <w:trPr>
          <w:tblHeader w:val="false"/>
        </w:trPr>
        <w:tc>
          <w:tcPr>
            <w:tcMar>
              <w:top w:type="dxa" w:w="60"/>
              <w:left w:type="dxa" w:w="90"/>
              <w:bottom w:type="dxa" w:w="60"/>
              <w:right w:type="dxa" w:w="90"/>
            </w:tcMar>
          </w:tcPr>
          <w:p>
            <w:pPr>
              <w:spacing w:after="0"/>
            </w:pPr>
            <w:r>
              <w:rPr>
                <w:sz w:val="19"/>
                <w:szCs w:val="19"/>
              </w:rPr>
              <w:t xml:space="preserve">slm 56</w:t>
            </w:r>
          </w:p>
        </w:tc>
        <w:tc>
          <w:tcPr>
            <w:tcMar>
              <w:top w:type="dxa" w:w="60"/>
              <w:left w:type="dxa" w:w="90"/>
              <w:bottom w:type="dxa" w:w="60"/>
              <w:right w:type="dxa" w:w="90"/>
            </w:tcMar>
          </w:tcPr>
          <w:p>
            <w:pPr>
              <w:spacing w:after="0"/>
            </w:pPr>
            <w:r>
              <w:rPr>
                <w:sz w:val="19"/>
                <w:szCs w:val="19"/>
              </w:rPr>
              <w:t xml:space="preserve">Authentifizierung, Logging</w:t>
            </w:r>
          </w:p>
        </w:tc>
        <w:tc>
          <w:tcPr>
            <w:tcMar>
              <w:top w:type="dxa" w:w="60"/>
              <w:left w:type="dxa" w:w="90"/>
              <w:bottom w:type="dxa" w:w="60"/>
              <w:right w:type="dxa" w:w="90"/>
            </w:tcMar>
          </w:tcPr>
          <w:p>
            <w:pPr>
              <w:spacing w:after="0"/>
            </w:pPr>
            <w:r>
              <w:rPr>
                <w:sz w:val="19"/>
                <w:szCs w:val="19"/>
              </w:rPr>
              <w:t xml:space="preserve">2.4</w:t>
            </w:r>
          </w:p>
        </w:tc>
        <w:tc>
          <w:tcPr>
            <w:tcMar>
              <w:top w:type="dxa" w:w="60"/>
              <w:left w:type="dxa" w:w="90"/>
              <w:bottom w:type="dxa" w:w="60"/>
              <w:right w:type="dxa" w:w="90"/>
            </w:tcMar>
          </w:tcPr>
          <w:p>
            <w:pPr>
              <w:spacing w:after="0"/>
            </w:pPr>
            <w:r>
              <w:rPr>
                <w:sz w:val="19"/>
                <w:szCs w:val="19"/>
              </w:rPr>
              <w:t xml:space="preserve">P (Break-Glass-Prozess Z)</w:t>
            </w:r>
          </w:p>
        </w:tc>
      </w:tr>
      <w:tr>
        <w:trPr>
          <w:tblHeader w:val="false"/>
        </w:trPr>
        <w:tc>
          <w:tcPr>
            <w:tcMar>
              <w:top w:type="dxa" w:w="60"/>
              <w:left w:type="dxa" w:w="90"/>
              <w:bottom w:type="dxa" w:w="60"/>
              <w:right w:type="dxa" w:w="90"/>
            </w:tcMar>
          </w:tcPr>
          <w:p>
            <w:pPr>
              <w:spacing w:after="0"/>
            </w:pPr>
            <w:r>
              <w:rPr>
                <w:sz w:val="19"/>
                <w:szCs w:val="19"/>
              </w:rPr>
              <w:t xml:space="preserve">slm 57</w:t>
            </w:r>
          </w:p>
        </w:tc>
        <w:tc>
          <w:tcPr>
            <w:tcMar>
              <w:top w:type="dxa" w:w="60"/>
              <w:left w:type="dxa" w:w="90"/>
              <w:bottom w:type="dxa" w:w="60"/>
              <w:right w:type="dxa" w:w="90"/>
            </w:tcMar>
          </w:tcPr>
          <w:p>
            <w:pPr>
              <w:spacing w:after="0"/>
            </w:pPr>
            <w:r>
              <w:rPr>
                <w:sz w:val="19"/>
                <w:szCs w:val="19"/>
              </w:rPr>
              <w:t xml:space="preserve">Backupüberwachung</w:t>
            </w:r>
          </w:p>
        </w:tc>
        <w:tc>
          <w:tcPr>
            <w:tcMar>
              <w:top w:type="dxa" w:w="60"/>
              <w:left w:type="dxa" w:w="90"/>
              <w:bottom w:type="dxa" w:w="60"/>
              <w:right w:type="dxa" w:w="90"/>
            </w:tcMar>
          </w:tcPr>
          <w:p>
            <w:pPr>
              <w:spacing w:after="0"/>
            </w:pPr>
            <w:r>
              <w:rPr>
                <w:sz w:val="19"/>
                <w:szCs w:val="19"/>
              </w:rPr>
              <w:t xml:space="preserve">2.5</w:t>
            </w:r>
          </w:p>
        </w:tc>
        <w:tc>
          <w:tcPr>
            <w:tcMar>
              <w:top w:type="dxa" w:w="60"/>
              <w:left w:type="dxa" w:w="90"/>
              <w:bottom w:type="dxa" w:w="60"/>
              <w:right w:type="dxa" w:w="90"/>
            </w:tcMar>
          </w:tcPr>
          <w:p>
            <w:pPr>
              <w:spacing w:after="0"/>
            </w:pPr>
            <w:r>
              <w:rPr>
                <w:sz w:val="19"/>
                <w:szCs w:val="19"/>
              </w:rPr>
              <w:t xml:space="preserve">Z</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7"/>
        <w:szCs w:val="17"/>
      </w:rPr>
      <w:t xml:space="preserve">Lösungskonzept SLIM · Seite </w:t>
    </w:r>
    <w:r>
      <w:rPr>
        <w:color w:val="666666"/>
        <w:sz w:val="17"/>
        <w:szCs w:val="17"/>
      </w:rPr>
      <w:fldChar w:fldCharType="begin"/>
      <w:instrText xml:space="preserve">PAGE</w:instrText>
      <w:fldChar w:fldCharType="separate"/>
      <w:fldChar w:fldCharType="end"/>
    </w:r>
    <w:r>
      <w:rPr>
        <w:color w:val="666666"/>
        <w:sz w:val="17"/>
        <w:szCs w:val="17"/>
      </w:rPr>
      <w:t xml:space="preserve"> von </w:t>
    </w:r>
    <w:r>
      <w:rPr>
        <w:color w:val="666666"/>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283"/>
      </w:pPr>
    </w:lvl>
    <w:lvl w:ilvl="1" w15:tentative="1">
      <w:start w:val="1"/>
      <w:numFmt w:val="lowerLetter"/>
      <w:lvlText w:val="%2)"/>
      <w:lvlJc w:val="left"/>
      <w:pPr>
        <w:ind w:left="1134"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1F1F"/>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F1F1F"/>
      <w:sz w:val="26"/>
      <w:szCs w:val="26"/>
    </w:rPr>
  </w:style>
  <w:style w:type="paragraph" w:styleId="Heading3">
    <w:name w:val="Heading 3"/>
    <w:basedOn w:val="Normal"/>
    <w:next w:val="Normal"/>
    <w:qFormat/>
    <w:pPr>
      <w:spacing w:after="100" w:before="220"/>
      <w:outlineLvl w:val="2"/>
    </w:pPr>
    <w:rPr>
      <w:rFonts w:ascii="Arial" w:cs="Arial" w:eastAsia="Arial" w:hAnsi="Arial"/>
      <w:b/>
      <w:bCs/>
      <w:color w:val="333333"/>
      <w:sz w:val="23"/>
      <w:szCs w:val="23"/>
    </w:rPr>
  </w:style>
  <w:style w:type="paragraph" w:styleId="Heading4">
    <w:name w:val="Heading 4"/>
    <w:basedOn w:val="Normal"/>
    <w:next w:val="Normal"/>
    <w:qFormat/>
    <w:pPr>
      <w:spacing w:after="80" w:before="160"/>
      <w:outlineLvl w:val="3"/>
    </w:pPr>
    <w:rPr>
      <w:rFonts w:ascii="Arial" w:cs="Arial" w:eastAsia="Arial" w:hAnsi="Arial"/>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00096805eea513684afd6b3e8833837f3d9c0c6.png"/><Relationship Id="rId9" Type="http://schemas.openxmlformats.org/officeDocument/2006/relationships/image" Target="media/3ec695dd31e620f643265a9dedbcae610583ca13.png"/><Relationship Id="rId10" Type="http://schemas.openxmlformats.org/officeDocument/2006/relationships/image" Target="media/2f4934436884b84698e3bdac92c4b1b723c0285b.png"/><Relationship Id="rId11" Type="http://schemas.openxmlformats.org/officeDocument/2006/relationships/image" Target="media/1e93139d99ebf89de9ccbc87ce420af7abe31182.png"/><Relationship Id="rId12" Type="http://schemas.openxmlformats.org/officeDocument/2006/relationships/image" Target="media/2e319c482a12b1f7a387c9d97888274e0461eb2f.png"/><Relationship Id="rId13" Type="http://schemas.openxmlformats.org/officeDocument/2006/relationships/image" Target="media/87acf22bdc6c219e8e27c9a5090f85fc7e48191b.png"/><Relationship Id="rId14" Type="http://schemas.openxmlformats.org/officeDocument/2006/relationships/image" Target="media/c911e640e4eeeb753ac4110d6ffb1ea7dba2a1eb.png"/><Relationship Id="rId15" Type="http://schemas.openxmlformats.org/officeDocument/2006/relationships/image" Target="media/0c975564ebcac56974fe5eb92fc34bf76864cd57.png"/><Relationship Id="rId16" Type="http://schemas.openxmlformats.org/officeDocument/2006/relationships/image" Target="media/3ceef06d5c03a83f11a6eea55d86199e6389f254.png"/><Relationship Id="rId17" Type="http://schemas.openxmlformats.org/officeDocument/2006/relationships/image" Target="media/1030636d81cfd945728d2ef8954b92bff8466f10.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Lösungskonzept SLIM</dc:title>
  <dc:creator>SLIM docs</dc:creator>
  <cp:lastModifiedBy>Un-named</cp:lastModifiedBy>
  <cp:revision>1</cp:revision>
  <dcterms:created xsi:type="dcterms:W3CDTF">2026-09-11T20:58:40.682Z</dcterms:created>
  <dcterms:modified xsi:type="dcterms:W3CDTF">2026-09-11T20:58:40.682Z</dcterms:modified>
</cp:coreProperties>
</file>

<file path=docProps/custom.xml><?xml version="1.0" encoding="utf-8"?>
<Properties xmlns="http://schemas.openxmlformats.org/officeDocument/2006/custom-properties" xmlns:vt="http://schemas.openxmlformats.org/officeDocument/2006/docPropsVTypes"/>
</file>