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[PLATZHALTER FIRMA]; sie verantwortet Betrieb, Support und Schulung. [OFFEN: Firmenname Technologiepartnerin] (nachfolgend «Technologiepartnerin») ist als spezialisierte Subunternehmerin verbindlich für die Entwicklung eingebunden (LP1 und LP5). «Entwicklerin» im Sinne des Rahmenvertrags ist [PLATZHALTER FIRMA] als Vertragspartnerin der Bestellerin.</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Technologiepartnerin hat zudem ELO entwickelt und kennt die Fachdomäne und beide Seiten der Schnittstelle. Deshalb wird LP1a mit einem Maximalaufwand von 2'800 statt 4'000 Stunden angeboten, und der Projektplan sieht die produktive Einführung im März 2028 vor, drei Monate vor dem vertraglichen Termin; geschult wird durch die Trainer von [PLATZHALTER FIRMA].</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Sie gehören der Technologiepartnerin, und das Eigentum an diesen Basiskomponenten verbleibt bei ihr. Die Technologiepartnerin räumt [PLATZHALTER FIRMA] die Rechte daran vertraglich ein; [PLATZHALTER FIRMA] gibt sie als Vertragspartnerin an die Auftraggeberin weiter.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genau ein Zustand je Schiessplatz ist «aktuell gültig» und genau einer «Stand MGDM» (Datenbank-Constraint).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reale und synthetische Daten liegen nie in derselben Instanz;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erzwingen genau einen aktuellen und einen MGDM-Zustand;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[PLATZHALTER FIRMA]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Technologiepartnerin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Der Excel-Import nach der Vorlage B1.6 (B1 9.3) liest die erfassten Schiessblöcke, Zeitkategorien und Tagesanteile ein und ordnet sie den Betriebsdatenfenstern von SLIM zu, mit denselben Regeln wie Maske 5.11 und ELO; Zeilen mit unbekanntem Stellungsraum oder unzulässiger Kombination werden abgewiesen und im Bericht ausgewiesen. Jeder Importlauf trägt eine eindeutige Import-ID. Ein korrigierter Nachimport löscht nicht alle Daten des Schiessplatzes, sondern ersetzt gezielt die Datensätze dieser Import-ID oder des angegebenen Zeitraums nach einer mit KOMZ Lärm abgestimmten Ersatzregel.</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WLR-Werte müssen vollständig sein. Erst dann entsteht ein neuer </w:t>
      </w:r>
      <w:r>
        <w:rPr>
          <w:b/>
          <w:bCs/>
        </w:rPr>
        <w:t xml:space="preserve">Zustand</w:t>
      </w:r>
      <w:r>
        <w:t xml:space="preserve">;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WLR- und Betriebsdaten-Dateien je Zeitgruppe werden direkt gelesen. Die Berechnungsdatei selbst liest und schreibt der Prototyp als JSON derselben Struktur (FME-Export); die GDAL-Anbindung ersetzt diesen Schritt, die Prüfungen bleiben unverändert.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der Übersicht der Schiessplätze und in den Schusszahlen, Excel-Export des Logbuchs und der Waffen-Stammdaten, Zustände als wieder importierbares Bündel (5.20), Schusszahlen als CSV. In LP1 folgen der Export in den übrigen Tabellen,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die Zeiträume mehrerer Nutzungen im selben Halbtag werden über alle Stellungsräume vereinigt, die Schusszahlen bleiben additiv).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ListParagraph"/>
        <w:numPr>
          <w:ilvl w:val="0"/>
          <w:numId w:val="2"/>
        </w:numPr>
        <w:spacing w:after="40"/>
      </w:pPr>
      <w:r>
        <w:rPr>
          <w:b/>
          <w:bCs/>
        </w:rPr>
        <w:t xml:space="preserve">Teiljahre und unterjährige Inbetriebnahme:</w:t>
      </w:r>
      <w:r>
        <w:t xml:space="preserve"> Schusszahlen werden nicht hochgerechnet. SLIM unterscheidet erfasste Nullnutzung, fehlende Erfassung und verkürzte Betriebsphasen. Der Nenner des Jahresmittels ist die Anzahl der gewählten Kalenderjahre und wird nicht um Zeiten ohne Erfassung gekürzt; er steht mit den Jahren im Berechnungsstand.</w:t>
      </w:r>
    </w:p>
    <w:p>
      <w:pPr>
        <w:pStyle w:val="ListParagraph"/>
        <w:numPr>
          <w:ilvl w:val="0"/>
          <w:numId w:val="2"/>
        </w:numPr>
        <w:spacing w:after="40"/>
      </w:pPr>
      <w:r>
        <w:rPr>
          <w:b/>
          <w:bCs/>
        </w:rPr>
        <w:t xml:space="preserve">Gleichzeitige Nutzungen:</w:t>
      </w:r>
      <w:r>
        <w:t xml:space="preserve"> Sind für einen Schiessplatz am selben Tag mehrere Schiessen erfasst, auch auf verschiedenen Stellungsräumen, werden ihre Zeiträume für die Schiesshalbtage nach Anhang 7 über den ganzen Schiessplatz vereinigt (B1 7.4.3 «gesamtheitlich»). Zeitgleiches Schiessen zählt einmal; so entstehen keine zusätzlichen Schiesshalbtage. Im Berechnungskern umgesetzt und getestet.</w:t>
      </w:r>
    </w:p>
    <w:p>
      <w:pPr>
        <w:spacing w:after="80"/>
      </w:pP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1.4.0)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Teiltests mit k6 laufen ab PI 1 auf dem Akzeptanzsystem; den vollständigen Nachweis auf der Zielplattform mit Datenbestand in Zielgrösse erbringt der Lasttest bis M4 (Dezember 2027, Projektplan).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Umgesetzt ist auch die Seite 5.10 (Beurteilung mit beiden Ampeln, Stand, Kontingent-Tabelle Soll/Ist/Ø drei Jahre, Karte). In LP1 folgen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in den Schusszahlen; Excel-Export mit festem Kopfblock und CSV-Export der angezeigten oder markierten Zeilen in der Übersicht der Schiessplätze und in den Schusszahlen, jeder Export im Logbuch. Export in den übrigen Tabellen,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orientiert sich an eCH-0059 / WCAG 2.1 AA (Tastaturbedienung, sichtbarer Fokus, Kontraste, beschriftete Steuerelemente; Ampeln zusätzlich mit Symbol und Text), in Anlehnung an die Richtlinien der armasuisse (FAQ 9, 128). Die Kernmasken werden je Release auf Tastaturbedienung und Kontrast geprüft.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433 API-Tests (Berechnungskern gegen B1.4, Rechenfälle, Service- und HTTP-Tests je Controller mit Rechtematrix); 260 Oberflächen-Tests; 27 Tests der Kartenbibliothek; dazu End-to-End-Fälle (Playwright) für Anmeldung, Startseite, Schiessplatz-Masken und Datenverwaltung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[PLATZHALTER FIRMA]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[PLATZHALTER FIRMA], Mo–Fr 08–17 Uhr, Standort [OFFEN: Standort 2nd-/3rd-Level-Support]: Reaktion innerhalb vier Stunden, Behebungsbeginn innerhalb 24 Stunden, Behebung erheblicher Störungen in der Regel innerhalb 48 Stunden. Codeänderungen im 3rd Level erstellt die Technologiepartnerin; sie gelangen ausschliesslich über die CI/CD-Pipeline (Build, automatisierte Tests, Akzeptanzsystem, Freigabe) von der Entwicklung in den Betrieb, die Gesamtverantwortung bleibt bei [PLATZHALTER FIRMA].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[PLATZHALTER FIRMA] und die Technologiepartnerin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KI-Werkzeuge der Entwicklung nutzen ab der Eingabefrist ausschliesslich Dienste mit Verarbeitung in der Schweiz und erhalten keine produktiven oder realen Fachdaten; Art, Umfang und Verwendung sind im Datenhaltungskonzept deklariert (FAQ 53), die Nutzung wird vertraglich geregelt.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[PLATZHALTER FIRMA]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Technologiepartnerin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Teiltests ab PI 1, vollständiger Lasttest auf der Zielplattform bis M4;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Technologiepartnerin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in der Rolle Schiessplatz-Verantwortlicher, beschränkt auf die diesem Benutzer zugeordneten Schiessplätze (Lesen, Schusszahlenerfassung und Simulation gemäss Matrix 8.1.2); für die übrigen Rollen liegt je ein Konto bei;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T (Viewer, Layer, PDF-/Bild-Export, Vollansicht umgesetzt; serverseitiger 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(Excel/CSV mit Kopfblock in zwei Tabellen; übrige Tabellen,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(Seite 5.10 mit Ampeln, Stand, Kontingentvergleich und Karte umgesetzt)</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1.4.0)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übrige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Mehrsprachigkeit DE/FR/IT, lokalisierte Formate; deutsche Bezeichnungen der DB-Objekte</w:t>
            </w:r>
          </w:p>
        </w:tc>
        <w:tc>
          <w:tcPr>
            <w:tcMar>
              <w:top w:type="dxa" w:w="20"/>
              <w:left w:type="dxa" w:w="60"/>
              <w:bottom w:type="dxa" w:w="20"/>
              <w:right w:type="dxa" w:w="60"/>
            </w:tcMar>
          </w:tcPr>
          <w:p>
            <w:pPr>
              <w:spacing w:after="0"/>
            </w:pPr>
            <w:r>
              <w:rPr>
                <w:sz w:val="17"/>
                <w:szCs w:val="17"/>
              </w:rPr>
              <w:t xml:space="preserve">2.3, 5.4</w:t>
            </w:r>
          </w:p>
        </w:tc>
        <w:tc>
          <w:tcPr>
            <w:tcMar>
              <w:top w:type="dxa" w:w="20"/>
              <w:left w:type="dxa" w:w="60"/>
              <w:bottom w:type="dxa" w:w="20"/>
              <w:right w:type="dxa" w:w="60"/>
            </w:tcMar>
          </w:tcPr>
          <w:p>
            <w:pPr>
              <w:spacing w:after="0"/>
            </w:pPr>
            <w:r>
              <w:rPr>
                <w:sz w:val="17"/>
                <w:szCs w:val="17"/>
              </w:rPr>
              <w:t xml:space="preserve">T (Oberfläche in DE/FR/IT/EN umgesetzt; DB-Bezeichnungen: Tabellen und ein Teil der Spalten deutsch)</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vorhanden; Orientierung an eCH-0059 / WCAG 2.1 AA)</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T (Hilfe je Seite, F1, Online-Hilfe umgesetzt; Inhalt des Handbuchs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2026-10-02T17:40:53.032Z</dcterms:created>
  <dcterms:modified xsi:type="dcterms:W3CDTF">2026-10-02T17:40:53.033Z</dcterms:modified>
</cp:coreProperties>
</file>

<file path=docProps/custom.xml><?xml version="1.0" encoding="utf-8"?>
<Properties xmlns="http://schemas.openxmlformats.org/officeDocument/2006/custom-properties" xmlns:vt="http://schemas.openxmlformats.org/officeDocument/2006/docPropsVTypes"/>
</file>