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Lösungskonzept SLIM</w:t>
      </w:r>
    </w:p>
    <w:p>
      <w:r>
        <w:t>Schiesslärmimmissionsmanagement</w:t>
        <w:br/>
        <w:t>Ausschreibung armasuisse • simap 41345 • Zuschlagskriterium Z2</w:t>
      </w:r>
    </w:p>
    <w:p>
      <w:r>
        <w:t>Anbieterin: [Firmenname ergänzen]</w:t>
        <w:br/>
        <w:t>Verantwortlich: [Name und Funktion ergänzen]</w:t>
        <w:br/>
        <w:t>Version 0.1 vom 11. September 2026</w:t>
      </w:r>
    </w:p>
    <w:p>
      <w:pPr>
        <w:pStyle w:val="Heading2"/>
      </w:pPr>
      <w:r>
        <w:t>Bearbeitungsstand</w:t>
      </w:r>
    </w:p>
    <w:p>
      <w:r>
        <w:t>Dieser Entwurf beschreibt die vorgeschlagene Lösung. Mit [OFFEN] markierte Angaben und vorgeschlagene Technologien sind vor Angebotsabgabe zu bestätigen. Er enthält noch keine geprüfte vollständige Erfüllungserklärung. Die Anforderungsmatrix dient als Zuordnungshilfe; zusätzlich sind die Detailfestlegungen in Beilage B1 zu prüfen.</w:t>
      </w:r>
    </w:p>
    <w:p>
      <w:pPr>
        <w:pStyle w:val="Heading2"/>
      </w:pPr>
      <w:r>
        <w:t>Dokumentaufbau</w:t>
      </w:r>
    </w:p>
    <w:p>
      <w:r>
        <w:t>1 Management Summary</w:t>
      </w:r>
    </w:p>
    <w:p>
      <w:r>
        <w:t>2 Applikationsgesamtarchitektur</w:t>
      </w:r>
    </w:p>
    <w:p>
      <w:r>
        <w:t>3 Schnittstellen</w:t>
      </w:r>
    </w:p>
    <w:p>
      <w:r>
        <w:t>4 Umsetzung der Lärmberechnung</w:t>
      </w:r>
    </w:p>
    <w:p>
      <w:r>
        <w:t>5 Usability und UX</w:t>
      </w:r>
    </w:p>
    <w:p>
      <w:r>
        <w:t>6 Weitere nichtfunktionale Anforderungen</w:t>
      </w:r>
    </w:p>
    <w:p>
      <w:r>
        <w:t>Anhang Anforderungsmatrix mit zwei Seiten</w:t>
      </w:r>
    </w:p>
    <w:p>
      <w:r>
        <w:t>Grundlagen: Beilage A2; Teil A und Teil B; Beilage B1 einschliesslich B1.1–B1.7; bereitgestellter FAQ-Export vom 11.09.2026. Seitenbudget: höchstens 15 A4-Seiten Konzept sowie maximal zwei zusätzliche Seiten Anforderungsübersicht gemäss FAQ 8. Deckblatt und Verzeichnisse enthalten keine bewertungsrelevanten Lösungsdetails.</w:t>
      </w:r>
    </w:p>
    <w:p>
      <w:r>
        <w:br w:type="page"/>
      </w:r>
    </w:p>
    <w:p>
      <w:pPr>
        <w:pStyle w:val="Heading1"/>
      </w:pPr>
      <w:r>
        <w:t>1 Management Summary</w:t>
      </w:r>
    </w:p>
    <w:p>
      <w:r>
        <w:t>SLIM wird als webbasierte Fachapplikation auf einer Schweizer Betriebsplattform konzipiert. Die Lösung verbindet Schusszahlenerfassung aus ELO, versionierte Berechnungsgrundlagen und geografische Auswertungen. Berechtigte Anwender können Schiessplätze beurteilen, Grenzwertüberschreitungen erkennen und die zugrunde liegenden Daten nachvollziehen.</w:t>
      </w:r>
    </w:p>
    <w:p>
      <w:r>
        <w:t>Der Architekturvorschlag trennt Benutzeroberfläche, Fachlogik, Datenhaltung und rechenintensive Verarbeitung. PostgreSQL mit PostGIS bildet die räumlichen und fachlichen Daten ab; OpenLayers ist für den Kartenviewer vorgesehen. Die Berechnung verwendet importierte akustische Grundlagen und die Regeln aus Beilage B1. Prüfbare Referenzfälle sichern die fachliche Umsetzung ab.</w:t>
      </w:r>
    </w:p>
    <w:p>
      <w:r>
        <w:t>Berechtigungen werden im Backend durchgesetzt; MFA, kontrollierte Datenzugriffe und überwachte Backups unterstützen den sicheren Betrieb. Die Umsetzung erfolgt iterativ mit dem Product Owner. Fachliche Abnahmekriterien und dokumentierte Tests verbinden Anforderungen mit überprüfbaren Ergebnissen. Optionen werden als erweiterbare Funktionen vorbereitet.</w:t>
      </w:r>
    </w:p>
    <w:p>
      <w:pPr>
        <w:pStyle w:val="Heading2"/>
      </w:pPr>
      <w:r>
        <w:t>Offene Entscheide für die Freigabe</w:t>
      </w:r>
    </w:p>
    <w:tbl>
      <w:tblPr>
        <w:tblW w:type="auto" w:w="0"/>
        <w:tblLayout w:type="fixed"/>
        <w:tblLook w:firstColumn="1" w:firstRow="1" w:lastColumn="0" w:lastRow="0" w:noHBand="0" w:noVBand="1" w:val="04A0"/>
      </w:tblPr>
      <w:tblGrid>
        <w:gridCol w:w="4819"/>
        <w:gridCol w:w="4819"/>
      </w:tblGrid>
      <w:tr>
        <w:trPr>
          <w:cantSplit/>
          <w:tblHeader/>
        </w:trPr>
        <w:tc>
          <w:tcPr>
            <w:tcW w:type="dxa" w:w="2835"/>
            <w:tcBorders>
              <w:top w:val="single" w:sz="4" w:color="D9D9D9"/>
              <w:left w:val="single" w:sz="4" w:color="D9D9D9"/>
              <w:bottom w:val="single" w:sz="4" w:color="D9D9D9"/>
              <w:right w:val="single" w:sz="4" w:color="D9D9D9"/>
            </w:tcBorders>
            <w:shd w:fill="E9EEF2"/>
          </w:tcPr>
          <w:p>
            <w:pPr>
              <w:spacing w:after="60" w:before="60"/>
            </w:pPr>
            <w:r>
              <w:rPr>
                <w:b/>
                <w:sz w:val="20"/>
              </w:rPr>
              <w:t>Entscheid</w:t>
            </w:r>
          </w:p>
        </w:tc>
        <w:tc>
          <w:tcPr>
            <w:tcW w:type="dxa" w:w="6803"/>
            <w:tcBorders>
              <w:top w:val="single" w:sz="4" w:color="D9D9D9"/>
              <w:left w:val="single" w:sz="4" w:color="D9D9D9"/>
              <w:bottom w:val="single" w:sz="4" w:color="D9D9D9"/>
              <w:right w:val="single" w:sz="4" w:color="D9D9D9"/>
            </w:tcBorders>
            <w:shd w:fill="E9EEF2"/>
          </w:tcPr>
          <w:p>
            <w:pPr>
              <w:spacing w:after="60" w:before="60"/>
            </w:pPr>
            <w:r>
              <w:rPr>
                <w:b/>
                <w:sz w:val="20"/>
              </w:rPr>
              <w:t>Zu bestätigen</w:t>
            </w:r>
          </w:p>
        </w:tc>
      </w:tr>
      <w:tr>
        <w:trPr>
          <w:cantSplit/>
        </w:trPr>
        <w:tc>
          <w:tcPr>
            <w:tcW w:type="dxa" w:w="2835"/>
            <w:tcBorders>
              <w:top w:val="single" w:sz="4" w:color="D9D9D9"/>
              <w:left w:val="single" w:sz="4" w:color="D9D9D9"/>
              <w:bottom w:val="single" w:sz="4" w:color="D9D9D9"/>
              <w:right w:val="single" w:sz="4" w:color="D9D9D9"/>
            </w:tcBorders>
          </w:tcPr>
          <w:p>
            <w:pPr>
              <w:spacing w:after="60" w:before="60"/>
            </w:pPr>
            <w:r>
              <w:rPr>
                <w:b w:val="0"/>
                <w:sz w:val="20"/>
              </w:rPr>
              <w:t>Anbieterin und Betriebsplattform</w:t>
            </w:r>
          </w:p>
        </w:tc>
        <w:tc>
          <w:tcPr>
            <w:tcW w:type="dxa" w:w="6803"/>
            <w:tcBorders>
              <w:top w:val="single" w:sz="4" w:color="D9D9D9"/>
              <w:left w:val="single" w:sz="4" w:color="D9D9D9"/>
              <w:bottom w:val="single" w:sz="4" w:color="D9D9D9"/>
              <w:right w:val="single" w:sz="4" w:color="D9D9D9"/>
            </w:tcBorders>
          </w:tcPr>
          <w:p>
            <w:pPr>
              <w:spacing w:after="60" w:before="60"/>
            </w:pPr>
            <w:r>
              <w:rPr>
                <w:b w:val="0"/>
                <w:sz w:val="20"/>
              </w:rPr>
              <w:t>Firma, Provider und verantwortliche Betriebsorganisation</w:t>
            </w:r>
          </w:p>
        </w:tc>
      </w:tr>
      <w:tr>
        <w:trPr>
          <w:cantSplit/>
        </w:trPr>
        <w:tc>
          <w:tcPr>
            <w:tcW w:type="dxa" w:w="2835"/>
            <w:tcBorders>
              <w:top w:val="single" w:sz="4" w:color="D9D9D9"/>
              <w:left w:val="single" w:sz="4" w:color="D9D9D9"/>
              <w:bottom w:val="single" w:sz="4" w:color="D9D9D9"/>
              <w:right w:val="single" w:sz="4" w:color="D9D9D9"/>
            </w:tcBorders>
          </w:tcPr>
          <w:p>
            <w:pPr>
              <w:spacing w:after="60" w:before="60"/>
            </w:pPr>
            <w:r>
              <w:rPr>
                <w:b w:val="0"/>
                <w:sz w:val="20"/>
              </w:rPr>
              <w:t>Technologie</w:t>
            </w:r>
          </w:p>
        </w:tc>
        <w:tc>
          <w:tcPr>
            <w:tcW w:type="dxa" w:w="6803"/>
            <w:tcBorders>
              <w:top w:val="single" w:sz="4" w:color="D9D9D9"/>
              <w:left w:val="single" w:sz="4" w:color="D9D9D9"/>
              <w:bottom w:val="single" w:sz="4" w:color="D9D9D9"/>
              <w:right w:val="single" w:sz="4" w:color="D9D9D9"/>
            </w:tcBorders>
          </w:tcPr>
          <w:p>
            <w:r>
              <w:t>Angular, NestJS, NGINX und Coolify festgelegt; Versionen, Datenbank-/GIS-Vorschläge und Lizenzstrategie bestätigen</w:t>
            </w:r>
          </w:p>
        </w:tc>
      </w:tr>
      <w:tr>
        <w:trPr>
          <w:cantSplit/>
        </w:trPr>
        <w:tc>
          <w:tcPr>
            <w:tcW w:type="dxa" w:w="2835"/>
            <w:tcBorders>
              <w:top w:val="single" w:sz="4" w:color="D9D9D9"/>
              <w:left w:val="single" w:sz="4" w:color="D9D9D9"/>
              <w:bottom w:val="single" w:sz="4" w:color="D9D9D9"/>
              <w:right w:val="single" w:sz="4" w:color="D9D9D9"/>
            </w:tcBorders>
          </w:tcPr>
          <w:p>
            <w:pPr>
              <w:spacing w:after="60" w:before="60"/>
            </w:pPr>
            <w:r>
              <w:rPr>
                <w:b w:val="0"/>
                <w:sz w:val="20"/>
              </w:rPr>
              <w:t>Fachliche Grundlagen</w:t>
            </w:r>
          </w:p>
        </w:tc>
        <w:tc>
          <w:tcPr>
            <w:tcW w:type="dxa" w:w="6803"/>
            <w:tcBorders>
              <w:top w:val="single" w:sz="4" w:color="D9D9D9"/>
              <w:left w:val="single" w:sz="4" w:color="D9D9D9"/>
              <w:bottom w:val="single" w:sz="4" w:color="D9D9D9"/>
              <w:right w:val="single" w:sz="4" w:color="D9D9D9"/>
            </w:tcBorders>
          </w:tcPr>
          <w:p>
            <w:pPr>
              <w:spacing w:after="60" w:before="60"/>
            </w:pPr>
            <w:r>
              <w:rPr>
                <w:b w:val="0"/>
                <w:sz w:val="20"/>
              </w:rPr>
              <w:t>Referenzfälle, FGDB-Testdaten, offene Berechnungsregeln</w:t>
            </w:r>
          </w:p>
        </w:tc>
      </w:tr>
      <w:tr>
        <w:trPr>
          <w:cantSplit/>
        </w:trPr>
        <w:tc>
          <w:tcPr>
            <w:tcW w:type="dxa" w:w="2835"/>
            <w:tcBorders>
              <w:top w:val="single" w:sz="4" w:color="D9D9D9"/>
              <w:left w:val="single" w:sz="4" w:color="D9D9D9"/>
              <w:bottom w:val="single" w:sz="4" w:color="D9D9D9"/>
              <w:right w:val="single" w:sz="4" w:color="D9D9D9"/>
            </w:tcBorders>
          </w:tcPr>
          <w:p>
            <w:pPr>
              <w:spacing w:after="60" w:before="60"/>
            </w:pPr>
            <w:r>
              <w:rPr>
                <w:b w:val="0"/>
                <w:sz w:val="20"/>
              </w:rPr>
              <w:t>Vergabeklärungen</w:t>
            </w:r>
          </w:p>
        </w:tc>
        <w:tc>
          <w:tcPr>
            <w:tcW w:type="dxa" w:w="6803"/>
            <w:tcBorders>
              <w:top w:val="single" w:sz="4" w:color="D9D9D9"/>
              <w:left w:val="single" w:sz="4" w:color="D9D9D9"/>
              <w:bottom w:val="single" w:sz="4" w:color="D9D9D9"/>
              <w:right w:val="single" w:sz="4" w:color="D9D9D9"/>
            </w:tcBorders>
          </w:tcPr>
          <w:p>
            <w:pPr>
              <w:spacing w:after="60" w:before="60"/>
            </w:pPr>
            <w:r>
              <w:rPr>
                <w:b w:val="0"/>
                <w:sz w:val="20"/>
              </w:rPr>
              <w:t>Simulation LP1a/LP1b, Barrierefreiheit, Werkzeugstandorte</w:t>
            </w:r>
          </w:p>
        </w:tc>
      </w:tr>
    </w:tbl>
    <w:p>
      <w:r>
        <w:t>Diese Entscheide werden vor der finalen Angebotsfassung aufgelöst. Nicht bestätigte Zusagen von Partnern oder nicht durchgeführte Tests werden nicht als vorhandene Nachweise dargestellt.</w:t>
      </w:r>
    </w:p>
    <w:p>
      <w:r>
        <w:br w:type="page"/>
      </w:r>
    </w:p>
    <w:p>
      <w:pPr>
        <w:pStyle w:val="Heading1"/>
      </w:pPr>
      <w:r>
        <w:t>2 Applikationsgesamtarchitektur</w:t>
      </w:r>
    </w:p>
    <w:p>
      <w:pPr>
        <w:pStyle w:val="Heading2"/>
      </w:pPr>
      <w:r>
        <w:t>2 1 Schichten und Datenfluss</w:t>
      </w:r>
    </w:p>
    <w:p>
      <w:r>
        <w:t>Browser und ELO greifen über abgesicherte Endpunkte auf SLIM zu. Die Weboberfläche enthält keine autoritative Fach- oder Berechtigungslogik. Die Anwendungsschicht prüft Zugriffe und Eingaben; Fachmodule bearbeiten Nutzungen, Stammdaten, Berechnungsstände und Exporte. Separate Worker führen ressourcenintensive Importe, Berechnungen und Druckaufträge aus.</w:t>
      </w:r>
    </w:p>
    <w:tbl>
      <w:tblPr>
        <w:tblW w:type="auto" w:w="0"/>
        <w:tblLayout w:type="fixed"/>
        <w:tblLook w:firstColumn="1" w:firstRow="1" w:lastColumn="0" w:lastRow="0" w:noHBand="0" w:noVBand="1" w:val="04A0"/>
      </w:tblPr>
      <w:tblGrid>
        <w:gridCol w:w="4819"/>
        <w:gridCol w:w="4819"/>
      </w:tblGrid>
      <w:tr>
        <w:trPr>
          <w:cantSplit/>
          <w:tblHeader/>
        </w:trPr>
        <w:tc>
          <w:tcPr>
            <w:tcW w:type="dxa" w:w="1701"/>
            <w:tcBorders>
              <w:top w:val="single" w:sz="4" w:color="D9D9D9"/>
              <w:left w:val="single" w:sz="4" w:color="D9D9D9"/>
              <w:bottom w:val="single" w:sz="4" w:color="D9D9D9"/>
              <w:right w:val="single" w:sz="4" w:color="D9D9D9"/>
            </w:tcBorders>
            <w:shd w:fill="E9EEF2"/>
          </w:tcPr>
          <w:p>
            <w:pPr>
              <w:spacing w:after="60" w:before="60"/>
            </w:pPr>
            <w:r>
              <w:rPr>
                <w:b/>
                <w:sz w:val="20"/>
              </w:rPr>
              <w:t>Schicht</w:t>
            </w:r>
          </w:p>
        </w:tc>
        <w:tc>
          <w:tcPr>
            <w:tcW w:type="dxa" w:w="7937"/>
            <w:tcBorders>
              <w:top w:val="single" w:sz="4" w:color="D9D9D9"/>
              <w:left w:val="single" w:sz="4" w:color="D9D9D9"/>
              <w:bottom w:val="single" w:sz="4" w:color="D9D9D9"/>
              <w:right w:val="single" w:sz="4" w:color="D9D9D9"/>
            </w:tcBorders>
            <w:shd w:fill="E9EEF2"/>
          </w:tcPr>
          <w:p>
            <w:pPr>
              <w:spacing w:after="60" w:before="60"/>
            </w:pPr>
            <w:r>
              <w:rPr>
                <w:b/>
                <w:sz w:val="20"/>
              </w:rPr>
              <w:t>Komponenten und Verbindung</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pPr>
            <w:r>
              <w:rPr>
                <w:b w:val="0"/>
                <w:sz w:val="20"/>
              </w:rPr>
              <w:t>Zugriff</w:t>
            </w:r>
          </w:p>
        </w:tc>
        <w:tc>
          <w:tcPr>
            <w:tcW w:type="dxa" w:w="7937"/>
            <w:tcBorders>
              <w:top w:val="single" w:sz="4" w:color="D9D9D9"/>
              <w:left w:val="single" w:sz="4" w:color="D9D9D9"/>
              <w:bottom w:val="single" w:sz="4" w:color="D9D9D9"/>
              <w:right w:val="single" w:sz="4" w:color="D9D9D9"/>
            </w:tcBorders>
          </w:tcPr>
          <w:p>
            <w:pPr>
              <w:spacing w:after="60" w:before="60"/>
            </w:pPr>
            <w:r>
              <w:rPr>
                <w:b w:val="0"/>
                <w:sz w:val="20"/>
              </w:rPr>
              <w:t>Browser mit GIS und Tabellen / ELO → HTTPS → API</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pPr>
            <w:r>
              <w:rPr>
                <w:b w:val="0"/>
                <w:sz w:val="20"/>
              </w:rPr>
              <w:t>Anwendung</w:t>
            </w:r>
          </w:p>
        </w:tc>
        <w:tc>
          <w:tcPr>
            <w:tcW w:type="dxa" w:w="7937"/>
            <w:tcBorders>
              <w:top w:val="single" w:sz="4" w:color="D9D9D9"/>
              <w:left w:val="single" w:sz="4" w:color="D9D9D9"/>
              <w:bottom w:val="single" w:sz="4" w:color="D9D9D9"/>
              <w:right w:val="single" w:sz="4" w:color="D9D9D9"/>
            </w:tcBorders>
          </w:tcPr>
          <w:p>
            <w:pPr>
              <w:spacing w:after="60" w:before="60"/>
            </w:pPr>
            <w:r>
              <w:rPr>
                <w:b w:val="0"/>
                <w:sz w:val="20"/>
              </w:rPr>
              <w:t>API → Authentifizierung und Autorisierung → Fachmodule</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pPr>
            <w:r>
              <w:rPr>
                <w:b w:val="0"/>
                <w:sz w:val="20"/>
              </w:rPr>
              <w:t>Verarbeitung</w:t>
            </w:r>
          </w:p>
        </w:tc>
        <w:tc>
          <w:tcPr>
            <w:tcW w:type="dxa" w:w="7937"/>
            <w:tcBorders>
              <w:top w:val="single" w:sz="4" w:color="D9D9D9"/>
              <w:left w:val="single" w:sz="4" w:color="D9D9D9"/>
              <w:bottom w:val="single" w:sz="4" w:color="D9D9D9"/>
              <w:right w:val="single" w:sz="4" w:color="D9D9D9"/>
            </w:tcBorders>
          </w:tcPr>
          <w:p>
            <w:pPr>
              <w:spacing w:after="60" w:before="60"/>
            </w:pPr>
            <w:r>
              <w:rPr>
                <w:b w:val="0"/>
                <w:sz w:val="20"/>
              </w:rPr>
              <w:t>Fachmodule → Auftragsverwaltung → getrennte Worker</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pPr>
            <w:r>
              <w:rPr>
                <w:b w:val="0"/>
                <w:sz w:val="20"/>
              </w:rPr>
              <w:t>Daten</w:t>
            </w:r>
          </w:p>
        </w:tc>
        <w:tc>
          <w:tcPr>
            <w:tcW w:type="dxa" w:w="7937"/>
            <w:tcBorders>
              <w:top w:val="single" w:sz="4" w:color="D9D9D9"/>
              <w:left w:val="single" w:sz="4" w:color="D9D9D9"/>
              <w:bottom w:val="single" w:sz="4" w:color="D9D9D9"/>
              <w:right w:val="single" w:sz="4" w:color="D9D9D9"/>
            </w:tcBorders>
          </w:tcPr>
          <w:p>
            <w:pPr>
              <w:spacing w:after="60" w:before="60"/>
            </w:pPr>
            <w:r>
              <w:rPr>
                <w:b w:val="0"/>
                <w:sz w:val="20"/>
              </w:rPr>
              <w:t>Fachmodule und Worker → PostgreSQL/PostGIS und Dateispeicher</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pPr>
            <w:r>
              <w:rPr>
                <w:b w:val="0"/>
                <w:sz w:val="20"/>
              </w:rPr>
              <w:t>Betrieb</w:t>
            </w:r>
          </w:p>
        </w:tc>
        <w:tc>
          <w:tcPr>
            <w:tcW w:type="dxa" w:w="7937"/>
            <w:tcBorders>
              <w:top w:val="single" w:sz="4" w:color="D9D9D9"/>
              <w:left w:val="single" w:sz="4" w:color="D9D9D9"/>
              <w:bottom w:val="single" w:sz="4" w:color="D9D9D9"/>
              <w:right w:val="single" w:sz="4" w:color="D9D9D9"/>
            </w:tcBorders>
          </w:tcPr>
          <w:p>
            <w:pPr>
              <w:spacing w:after="60" w:before="60"/>
            </w:pPr>
            <w:r>
              <w:rPr>
                <w:b w:val="0"/>
                <w:sz w:val="20"/>
              </w:rPr>
              <w:t>Monitoring, Backups und Auditprotokolle über alle Komponenten</w:t>
            </w:r>
          </w:p>
        </w:tc>
      </w:tr>
    </w:tbl>
    <w:p>
      <w:pPr>
        <w:pStyle w:val="Heading2"/>
      </w:pPr>
      <w:r>
        <w:t>2 2 Technologie und Datenmodell</w:t>
      </w:r>
    </w:p>
    <w:p>
      <w:r>
        <w:t>Als Frontend wird Angular, als Backend NestJS eingesetzt. NGINX liefert die Angular-Anwendung aus und leitet API-Anfragen als Reverse Proxy an NestJS weiter. Coolify dient der Bereitstellung und Administration der containerisierten Anwendungen; es wird nicht als eigener Webserver eingeordnet. PostgreSQL/PostGIS für die Datenhaltung und OpenLayers für den Kartenviewer bleiben vorgeschlagen. GDAL wird für FGDB-Verarbeitung geprüft; Schreibfähigkeit und Datentreue sind mit den gelieferten Schemata nachzuweisen. Für PDF-Kartenausgaben ist ein serverseitiger Druckdienst, beispielsweise MapFish Print, vorgesehen. Versionen, Erweiterungen und Lizenzen werden vor Freigabe einzeln geprüft.</w:t>
      </w:r>
    </w:p>
    <w:p>
      <w:r>
        <w:t>Schiessplätze und Stellungsräume bilden zeitlich unabhängige Referenzobjekte. Berechnungsspezifische Geometrien und Werte gehören zu einem versionierten Berechnungsstand. Schiessplatznutzungen werden unabhängig gespeichert. Datenbankregeln sichern Referenzintegrität und eindeutige Kennzeichnungen wie den aktuell gültigen Stand. Berechnungsergebnisse referenzieren Eingabestand, Zeitraum, Parameter und verwendete Softwareversion.</w:t>
      </w:r>
    </w:p>
    <w:p>
      <w:pPr>
        <w:pStyle w:val="Heading2"/>
      </w:pPr>
      <w:r>
        <w:t>2 3 Sicherheit und Deployment</w:t>
      </w:r>
    </w:p>
    <w:p>
      <w:r>
        <w:t>Vier Fachrollen gemäss B1 werden um schiessplatzbezogene Rechte ergänzt. Jeder API-Zugriff und Deep Link prüft die Berechtigung serverseitig. MFA wird vorgesehen; die alternative AGOV-Anbindung bleibt bis zur Klärung von Zugang und Zuständigkeiten offen. Ein kontrollierter Notfalladministratorzugang und Protokollierung aller Anmeldeversuche werden umgesetzt.</w:t>
      </w:r>
    </w:p>
    <w:p>
      <w:r>
        <w:t>Containerisierte Dienste laufen auf einer vom Anbieter bereitgestellten Schweizer Plattform. Coolify verwaltet die Bereitstellung und Betriebsadministration. Sein Administrationszugang wird vom öffentlichen SLIM-Zugang getrennt und auf autorisierte Betriebspersonen beschränkt. Entwicklung, Akzeptanz und Produktion werden getrennt; Geheimnisse und Zugriffsrechte werden umgebungsspezifisch verwaltet. Deployments verwenden versionierte Artefakte mit Migration, Smoke-Test und Rückfallverfahren. Die genaue Aufgabenverteilung zwischen NGINX und dem von Coolify verwalteten Eingangsproxy sowie TLS-Terminierung, Provider, Netzschema und Kapazitäten sind noch festzulegen.</w:t>
      </w:r>
    </w:p>
    <w:p>
      <w:r>
        <w:br w:type="page"/>
      </w:r>
    </w:p>
    <w:p>
      <w:pPr>
        <w:pStyle w:val="Heading1"/>
      </w:pPr>
      <w:r>
        <w:t>3 Schnittstellen</w:t>
      </w:r>
    </w:p>
    <w:p>
      <w:pPr>
        <w:pStyle w:val="Heading2"/>
      </w:pPr>
      <w:r>
        <w:t>3 1 Schusszahlenerfassung ELO</w:t>
      </w:r>
    </w:p>
    <w:p>
      <w:r>
        <w:t>SLIM stellt die dokumentierte REST-Schnittstelle nach B1 bereit. ELO bezieht die erlaubten Stammdaten und übermittelt jeweils eine Nutzung. Requests verwenden JSON UTF-8 über HTTPS mit mindestens TLS 1.2. Schema, Pflichtfelder, IDs, Zeitraster und fachliche Beziehungen werden vor dem Speichern geprüft. Fehler werden mit den vorgegebenen Statuscodes und verständlicher Beschreibung synchron zurückgegeben.</w:t>
      </w:r>
    </w:p>
    <w:p>
      <w:r>
        <w:t>Ein gültiger Datensatz wird transaktional übernommen. Das Verhalten bei Wiederholung eines Requests wird mit ELO abgestimmt, damit Wiederholungen keine unbemerkten Doppelmeldungen erzeugen. Schnittstellenverträge und automatisierte Integrationstests dokumentieren das Verhalten. Laut FAQ 17 verantwortet die Auftraggeberin die ELO-seitige Spezifikation unter Zuzug der Entwicklerfirma und trägt ELO-seitige Anpassungen. Testumgebung und Termine sind gemeinsam abzustimmen.</w:t>
      </w:r>
    </w:p>
    <w:p>
      <w:pPr>
        <w:pStyle w:val="Heading2"/>
      </w:pPr>
      <w:r>
        <w:t>3 2 Import und Migration</w:t>
      </w:r>
    </w:p>
    <w:p>
      <w:r>
        <w:t>CSV-/Datenbankimporte übernehmen Stammdaten und Zuordnungen; Excel-Importe verarbeiten Schusszahlen nach Vorlage. FGDB, WLR-DAY/WLR-NIGHT und Betriebsdaten werden zunächst in einen Prüfbereich geladen. Struktur, Schlüssel, Pflichtattribute, Geometrien und Querverweise werden validiert. Unbekannte Stellungsräume verhindern die Übernahme des betroffenen Berechnungsimports; ein Prüfbericht nennt die Ursache. Die externe FME-Validierung bleibt gemäss Ausgangslage berücksichtigt.</w:t>
      </w:r>
    </w:p>
    <w:p>
      <w:r>
        <w:t>Die Übernahme erfolgt erst nach erfolgreicher Prüfung als konsistenter Stand. Die Migration wird auf dem Akzeptanzsystem geprobt; Mengenabgleich, Stichproben und fachliche Freigabe werden protokolliert. Quelldatenqualität, Datenvolumen und Bereitstellungstermine: [OFFEN]. Ein Wechsel des Austauschformats wird erst nach verbindlicher Klärung in die Planung übernommen.</w:t>
      </w:r>
    </w:p>
    <w:p>
      <w:pPr>
        <w:pStyle w:val="Heading2"/>
      </w:pPr>
      <w:r>
        <w:t>3 3 Export und nachgelagerte Systeme</w:t>
      </w:r>
    </w:p>
    <w:p>
      <w:r>
        <w:t>Tabellen und Schusszahlen werden in den geforderten Excel-/CSV-Formaten exportiert; Berechnungsstände als GeoDB. Für MGDM/ImmoGIS werden abgestimmte, lesende Datenbank-Views bereitgestellt. Eigene technische Konten, begrenzte Rechte und gesicherte Verbindungen trennen diese Zugriffe vom Anwendungsbetrieb. Exportstände enthalten eindeutige fachliche Identifikatoren und nachvollziehbare Zeitbezüge.</w:t>
      </w:r>
    </w:p>
    <w:p>
      <w:r>
        <w:t>Gemäss FAQ 15 sind bundesinterne Empfänger gemeint; eine zusätzliche kantonale Schnittstelle wird daraus nicht abgeleitet. Die Gesamtstatistik berücksichtigt die geforderten Stammdaten, Grenzwertüberschreitungen und Statusfelder. Schema- und Exporttests vergleichen vollständige Datensätze mit den vereinbarten Vorlagen.</w:t>
      </w:r>
    </w:p>
    <w:p>
      <w:r>
        <w:br w:type="page"/>
      </w:r>
    </w:p>
    <w:p>
      <w:pPr>
        <w:pStyle w:val="Heading1"/>
      </w:pPr>
      <w:r>
        <w:t>4 Umsetzung der Lärmberechnung</w:t>
      </w:r>
    </w:p>
    <w:p>
      <w:pPr>
        <w:pStyle w:val="Heading2"/>
      </w:pPr>
      <w:r>
        <w:t>4 1 Fachlicher Ablauf</w:t>
      </w:r>
    </w:p>
    <w:p>
      <w:r>
        <w:t>Die Berechnung übernimmt die akustischen Grundlagen aus den importierten Berechnungsständen; ein Nachbau der gesamten Schallausbreitungssoftware ist nicht vorgesehen. Die endgültige fachliche Abgrenzung wird anhand B1 und der vollständigen Antwort zu FAQ 19 bestätigt. Für jeden Lauf werden Schiessplatz, Berechnungsstand, Auswertungsperiode und repräsentative Jahre eindeutig festgelegt.</w:t>
      </w:r>
    </w:p>
    <w:p>
      <w:r>
        <w:t>1. Nutzungen nach Zeitraum, Nutzungskategorie und gültigen Zuordnungen auswählen und auf Vollständigkeit prüfen.</w:t>
      </w:r>
    </w:p>
    <w:p>
      <w:r>
        <w:t>2. Schiesshalbtage und Schusszahlen entsprechend Anhang 7/9 aufbereiten; lokale Feiertage und anteilige Zeitfenster berücksichtigen.</w:t>
      </w:r>
    </w:p>
    <w:p>
      <w:r>
        <w:t>3. Schusszahlen gemäss Betriebs- und WLR-Daten auf Quellen verteilen und die vorgesehenen Mehrjahresbetrachtungen bilden.</w:t>
      </w:r>
    </w:p>
    <w:p>
      <w:r>
        <w:t>4. Beurteilungspegel je Empfangspunkt anhand energetischer Aggregation berechnen; Nullfälle und ungültige Eingangswerte explizit behandeln.</w:t>
      </w:r>
    </w:p>
    <w:p>
      <w:r>
        <w:t>5. Grenzwerte nach Empfindlichkeitsstufe und Anlagenkonstellation vergleichen, Ampeln sowie Kontingentvergleich bestimmen und Ergebnisse nachvollziehbar anzeigen.</w:t>
      </w:r>
    </w:p>
    <w:p>
      <w:pPr>
        <w:pStyle w:val="Heading2"/>
      </w:pPr>
      <w:r>
        <w:t>4 2 Nachweis der Korrektheit</w:t>
      </w:r>
    </w:p>
    <w:p>
      <w:r>
        <w:t>ESM/GEMW und die Rechenketten werden gegen die Empa-Demowerte aus B1.4 geprüft. Die zulässige numerische Toleranz wird fachlich festgelegt; angezeigte Dezimalstellen sind kein Genauigkeitsnachweis. Zusätzliche Tests betreffen Feiertage, Halbtagzählung, gemischte Baujahre, fehlende Quellen, Schusszahlen null, repräsentative Jahre und Grenzwertschwellen. Der Fachverantwortliche bestätigt erwartete Resultate vor Abnahme.</w:t>
      </w:r>
    </w:p>
    <w:p>
      <w:pPr>
        <w:pStyle w:val="Heading2"/>
      </w:pPr>
      <w:r>
        <w:t>4 3 Geschwindigkeit und Skalierbarkeit</w:t>
      </w:r>
    </w:p>
    <w:p>
      <w:r>
        <w:t>Auslegungsziel sind bis zu zehn gleichzeitig arbeitende Nutzer und die Antwortzeiten gemäss B1, insbesondere durchschnittlich fünf und maximal zehn Sekunden für die Lärmberechnung. Diese Werte sind Zielanforderungen, noch keine gemessenen Ergebnisse. Worker mit begrenzter Parallelität, Datenbankindizes, gebündelte Abfragen und voraggregierte Nutzungsdaten vermeiden wiederholte Vollauswertungen. Fortschritt und Abbruch werden für lange Vorgänge bereitgestellt.</w:t>
      </w:r>
    </w:p>
    <w:p>
      <w:r>
        <w:t>Lasttests verwenden vereinbarte grosse Referenzstände und parallele Bedienvorgänge. Geodaten werden im Import gestreamt beziehungsweise in Teilmengen verarbeitet. Räumliche Indizes und ausschnittbezogene Abfragen begrenzen den Kartenabruf. Bei wachsendem Volumen lassen sich Worker unabhängig erweitern. Datenmengen und Infrastrukturgrösse werden vor Dimensionierung bestätigt.</w:t>
      </w:r>
    </w:p>
    <w:p>
      <w:r>
        <w:br w:type="page"/>
      </w:r>
    </w:p>
    <w:p>
      <w:pPr>
        <w:pStyle w:val="Heading1"/>
      </w:pPr>
      <w:r>
        <w:t>5 Usability und UX</w:t>
      </w:r>
    </w:p>
    <w:p>
      <w:pPr>
        <w:pStyle w:val="Heading2"/>
      </w:pPr>
      <w:r>
        <w:t>5 1 Navigation und Tabellen</w:t>
      </w:r>
    </w:p>
    <w:p>
      <w:r>
        <w:t>Die Startseite führt in Schiessplatznutzungen und Datenverwaltung. Schiessplatzübersicht, Details, Empfangspunkte und Berechnungsstände verwenden konsistente Navigation und eindeutige Kontextanzeigen. Deep Links öffnen berechtigte Entitäten direkt. Fehlende Berechnungsgrundlagen werden sichtbar erläutert; zulässige Ansichten und die Datenerfassung bleiben nutzbar.</w:t>
      </w:r>
    </w:p>
    <w:p>
      <w:r>
        <w:t>Tabellen bieten Textsuche, Sortierung, Mehrfachfilter, Spaltenauswahl und Exporte. Einstellungen bleiben benutzerbezogen über Sitzungen erhalten. Stammdaten, Waffen/Kaliber und Auswahllisten lassen sich im erlaubten Rollenumfang pflegen und inaktivieren. Fehlermeldungen benennen Ursache und Behebung; destruktive Änderungen werden bewusst bestätigt. Mehrere Browser-Tabs dürfen unabhängig verwendet werden.</w:t>
      </w:r>
    </w:p>
    <w:p>
      <w:pPr>
        <w:pStyle w:val="Heading2"/>
      </w:pPr>
      <w:r>
        <w:t>5 2 GIS Integration</w:t>
      </w:r>
    </w:p>
    <w:p>
      <w:r>
        <w:t>OpenLayers ist für den konfigurierbaren Kartenviewer vorgesehen. Er zeigt Massstab, Zoom und LV95-Koordinaten sowie Anlagenteile und Immissionspunkte. Hintergrundkarten werden live aus den vorgegebenen Swisstopo-Diensten bezogen, ohne eigens eingerichteten Karten-Zwischenspeicher. Browser-/HTTP-Cacheverhalten und Nutzungsbedingungen werden im Detail geklärt. Layer, Symbole und Sichtbarkeit werden konfiguriert, ohne den Anwendungscode neu zu kompilieren.</w:t>
      </w:r>
    </w:p>
    <w:p>
      <w:r>
        <w:t>Kartenexporte enthalten Massstab, Legende und erforderliche Metadaten. Der serverseitige Druckpfad wird auf vollständige Layer und konsistente Ausgabe geprüft. Gebäude, Isophonen und Untersuchungsperimeter werden gemäss FAQ 13 als Erweiterung über LP5 beschrieben; konkrete Aufwandsschätzung: [OFFEN]. Verhalten bei Ausfall externer Kartendienste und SLA-Zuordnung: [OFFEN].</w:t>
      </w:r>
    </w:p>
    <w:p>
      <w:pPr>
        <w:pStyle w:val="Heading2"/>
      </w:pPr>
      <w:r>
        <w:t>5 3 Mobile Nutzung und Sprachen</w:t>
      </w:r>
    </w:p>
    <w:p>
      <w:r>
        <w:t>Die Oberfläche wird responsiv gestaltet. Für die optionale integrierte Erfassung öffnet ein signierter QR-Code eine vorbelegte Maske. Kontextabhängige Pflichtfelder und Zeitwahl reduzieren Fehleingaben. Offline gespeicherte Entwürfe werden nach Verbindungsaufbau validiert übertragen; Konflikte und Dubletten werden sichtbar behandelt. Lokale Daten werden auf das notwendige Minimum begrenzt und nach erfolgreicher Übernahme gelöscht. Sicherheits- und Standortkonzept für Endgeräte: [OFFEN].</w:t>
      </w:r>
    </w:p>
    <w:p>
      <w:r>
        <w:t>DE/FR/IT werden über Übersetzungsressourcen, persistente Sprachwahl und lokalisierte Datums-/Zahlenformate umgesetzt. Fachliche Bezeichnungen und Berichte werden mitübersetzt. Zuständigkeiten für Übersetzungen, insbesondere Italienisch, sind vor Freigabe zu bestätigen.</w:t>
      </w:r>
    </w:p>
    <w:p>
      <w:pPr>
        <w:pStyle w:val="Heading2"/>
      </w:pPr>
      <w:r>
        <w:t>5 4 Ergonomie und Barrierefreiheit</w:t>
      </w:r>
    </w:p>
    <w:p>
      <w:r>
        <w:t>Tastaturbedienung, verständliche Beschriftungen, sichtbarer Fokus und Informationen zusätzlich zur Ampelfarbe werden eingeplant. Karteninformationen sollen soweit möglich auch tabellarisch zugänglich sein. Der verbindliche Prüfstandard einschliesslich PDF-Ausgaben bleibt angesichts FAQ 9/128 zu klären. Usability-Reviews mit repräsentativen Rollen konkretisieren die Anforderungen aus slm 50–52.</w:t>
      </w:r>
    </w:p>
    <w:p>
      <w:r>
        <w:br w:type="page"/>
      </w:r>
    </w:p>
    <w:p>
      <w:pPr>
        <w:pStyle w:val="Heading1"/>
      </w:pPr>
      <w:r>
        <w:t>6 Weitere nichtfunktionale Anforderungen</w:t>
      </w:r>
    </w:p>
    <w:p>
      <w:pPr>
        <w:pStyle w:val="Heading2"/>
      </w:pPr>
      <w:r>
        <w:t>6 1 Änderbarkeit und Wartbarkeit</w:t>
      </w:r>
    </w:p>
    <w:p>
      <w:r>
        <w:t>Module für Stammdaten, Nutzungen, Berechnungen, GIS und Schnittstellen werden getrennt dokumentiert. Fachparameter werden administrativ beziehungsweise per Konfiguration gepflegt. Automatisierte Tests, Code-Reviews, Datenbankmigrationen und gepflegte Abhängigkeiten unterstützen reproduzierbare Releases. Änderungen werden mit Anforderungsbezug und Auswirkungen auf Betrieb, Sicherheit und Dokumentation bewertet (slm 55).</w:t>
      </w:r>
    </w:p>
    <w:p>
      <w:pPr>
        <w:pStyle w:val="Heading2"/>
      </w:pPr>
      <w:r>
        <w:t>6 2 Betrieb und Datensicherung</w:t>
      </w:r>
    </w:p>
    <w:p>
      <w:r>
        <w:t>Der Betrieb wird auf 99 Prozent Verfügbarkeit innerhalb Mo–Fr 07:00–19:00 ausgelegt. Wartungsunterbrüche werden vorgängig genehmigt und in zulässige Zeitfenster gelegt. Metriken, technische Alarmierung und Incident-Protokolle ermöglichen den SLA-Nachweis. Provider, Serviceverantwortliche, Eskalationskontakte und Vertretungen: [OFFEN].</w:t>
      </w:r>
    </w:p>
    <w:p>
      <w:r>
        <w:t>Vorgesehen sind tägliche Sicherungen und ein Mehrgenerationenkonzept über mindestens zwölf Monate mit RPO einem Tag und RTO zwei Tagen. Sicherungen innerhalb der Providerinfrastruktur und in Schweizer Cloud-Speicher werden unterstützt. Fehlende oder fehlgeschlagene Sicherungen alarmieren aktiv (slm 57). Wiederherstellungen werden mindestens jährlich getestet; Integrität und komponentenübergreifende Konsistenz sind Teil des Tests. Ein lesbarer Datendump wird auf Verlangen bereitgestellt.</w:t>
      </w:r>
    </w:p>
    <w:p>
      <w:pPr>
        <w:pStyle w:val="Heading2"/>
      </w:pPr>
      <w:r>
        <w:t>6 3 Support und Informationsschutz</w:t>
      </w:r>
    </w:p>
    <w:p>
      <w:r>
        <w:t>Die Auftraggebertrainer leisten 1st Level; die Anbieterorganisation stellt 2nd/3rd Level Mo–Fr 08:00–17:00 für die Trainer bereit. Das Prioritätenmodell sieht für erhebliche Störungen Reaktion innerhalb vier Stunden, Behebungsbeginn innerhalb 24 Stunden und Behebung in der Regel innerhalb 48 Stunden vor. Die Berechnung dieser Fristen ist noch zu klären. Standorte, Personal und Ersatzfähigkeit werden im Projekt- und Betriebskonzept konkret benannt.</w:t>
      </w:r>
    </w:p>
    <w:p>
      <w:r>
        <w:t>Si001 und die vertraglichen Informationsschutzvorgaben werden in einer Kontrollübersicht auf technische Massnahmen, Verantwortliche und Nachweise abgebildet. Datenflüsse einschliesslich Quellcode, CI/CD, Tickets und KI werden im Datenhaltungskonzept erfasst. Bis zur Klärung des Widerspruchs zwischen FAQ 39–41 und 49 werden keine EU-Werkzeuge als freigegeben vorausgesetzt (slm 35/56).</w:t>
      </w:r>
    </w:p>
    <w:p>
      <w:pPr>
        <w:pStyle w:val="Heading2"/>
      </w:pPr>
      <w:r>
        <w:t>6 4 Dokumentation Hilfe und Schulung</w:t>
      </w:r>
    </w:p>
    <w:p>
      <w:r>
        <w:t>Ein deutsches Benutzerhandbuch wird online und als PDF bereitgestellt und bei Produktivsetzungen aktualisiert. Kontextsensitive Hilfe öffnet den passenden Inhalt innerhalb des geforderten Zielwerts von zwei Sekunden (slm 53). Trainer werden anhand rollenbezogener Aufgaben geschult. Deutsche Trainerschulung wird aus FAQ 38 abgeleitet; vollständige Antwort 37 und widersprüchliche Schulungsmengen aus FAQ 36/38 sind vor finaler Kalkulation zu klären.</w:t>
      </w:r>
    </w:p>
    <w:p>
      <w:r>
        <w:t>Abnahmetests verbinden jede Anforderung mit Prüfschritten, Sollwerten und Ergebnissen. Die folgende Matrix ordnet alle 57 nummerierten Anforderungen dem Konzept zu; sie ersetzt nicht die Prüfung sämtlicher Detailfestlegungen im Fliesstext von B1. Simulation wird technisch vorgesehen; die Zuordnung zu LP1a/LP1b ist wegen slm 12 und FAQ 117 noch offen.</w:t>
      </w:r>
    </w:p>
    <w:p>
      <w:r>
        <w:br w:type="page"/>
      </w:r>
    </w:p>
    <w:p>
      <w:pPr>
        <w:pStyle w:val="Heading1"/>
      </w:pPr>
      <w:r>
        <w:t>Anforderungsmatrix 1</w:t>
      </w:r>
    </w:p>
    <w:p>
      <w:r>
        <w:t>Zuordnung zum Konzeptentwurf. Status V = Umsetzung vorgeschlagen, noch zu verifizieren; O = zusätzliche Klärung offen. Kurzbezeichnungen ersetzen nicht den Wortlaut von B1.</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907"/>
            <w:tcBorders>
              <w:top w:val="single" w:sz="4" w:color="D9D9D9"/>
              <w:left w:val="single" w:sz="4" w:color="D9D9D9"/>
              <w:bottom w:val="single" w:sz="4" w:color="D9D9D9"/>
              <w:right w:val="single" w:sz="4" w:color="D9D9D9"/>
            </w:tcBorders>
            <w:shd w:fill="E9EEF2"/>
          </w:tcPr>
          <w:p>
            <w:pPr>
              <w:spacing w:after="60" w:before="60"/>
            </w:pPr>
            <w:r>
              <w:rPr>
                <w:b/>
                <w:sz w:val="18"/>
              </w:rPr>
              <w:t>ID</w:t>
            </w:r>
          </w:p>
        </w:tc>
        <w:tc>
          <w:tcPr>
            <w:tcW w:type="dxa" w:w="5102"/>
            <w:tcBorders>
              <w:top w:val="single" w:sz="4" w:color="D9D9D9"/>
              <w:left w:val="single" w:sz="4" w:color="D9D9D9"/>
              <w:bottom w:val="single" w:sz="4" w:color="D9D9D9"/>
              <w:right w:val="single" w:sz="4" w:color="D9D9D9"/>
            </w:tcBorders>
            <w:shd w:fill="E9EEF2"/>
          </w:tcPr>
          <w:p>
            <w:pPr>
              <w:spacing w:after="60" w:before="60"/>
            </w:pPr>
            <w:r>
              <w:rPr>
                <w:b/>
                <w:sz w:val="18"/>
              </w:rPr>
              <w:t>Anforderung kurz</w:t>
            </w:r>
          </w:p>
        </w:tc>
        <w:tc>
          <w:tcPr>
            <w:tcW w:type="dxa" w:w="2494"/>
            <w:tcBorders>
              <w:top w:val="single" w:sz="4" w:color="D9D9D9"/>
              <w:left w:val="single" w:sz="4" w:color="D9D9D9"/>
              <w:bottom w:val="single" w:sz="4" w:color="D9D9D9"/>
              <w:right w:val="single" w:sz="4" w:color="D9D9D9"/>
            </w:tcBorders>
            <w:shd w:fill="E9EEF2"/>
          </w:tcPr>
          <w:p>
            <w:pPr>
              <w:spacing w:after="60" w:before="60"/>
            </w:pPr>
            <w:r>
              <w:rPr>
                <w:b/>
                <w:sz w:val="18"/>
              </w:rPr>
              <w:t>Kapitel</w:t>
            </w:r>
          </w:p>
        </w:tc>
        <w:tc>
          <w:tcPr>
            <w:tcW w:type="dxa" w:w="1134"/>
            <w:tcBorders>
              <w:top w:val="single" w:sz="4" w:color="D9D9D9"/>
              <w:left w:val="single" w:sz="4" w:color="D9D9D9"/>
              <w:bottom w:val="single" w:sz="4" w:color="D9D9D9"/>
              <w:right w:val="single" w:sz="4" w:color="D9D9D9"/>
            </w:tcBorders>
            <w:shd w:fill="E9EEF2"/>
          </w:tcPr>
          <w:p>
            <w:pPr>
              <w:spacing w:after="60" w:before="60"/>
            </w:pPr>
            <w:r>
              <w:rPr>
                <w:b/>
                <w:sz w:val="18"/>
              </w:rPr>
              <w:t>Status</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Auswahllisten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Kartenviewer</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Tabellenfunktionen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Ohne Berechnungsgrundlage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Deep Links</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2.3 / 6.3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6</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Zugriffskontrolle für Links</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2.3 / 6.3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7</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Startseite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8</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Schiessplatzübersicht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9</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Schiessplatzdetails</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10</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Nutzungen und Schusszahlen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11</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Empfangspunkte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12</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Simulation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4 / 6.4</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13</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Datenverwaltungsübersicht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14</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Allgemeine Platzdaten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15</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Stellungsräume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16</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Stammdatenpflege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17</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Waffe Kaliber Zuordnung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18</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Berechnungsstände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19</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GDB Import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20</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GeoDB und CSV Export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21</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WLR und Betriebsdetails</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3.2 / 4.1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22</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Waffe Kaliber Pflege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23</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Kaliberpflege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24</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Waffenpflege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25</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Waffenkategorien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26</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Benutzerverwaltung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2.3 / 6.3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27</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Erweiterte Konfiguration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28</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ELO Stammdaten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29</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ELO Nutzungsannahme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bl>
    <w:p>
      <w:r>
        <w:br w:type="page"/>
      </w:r>
    </w:p>
    <w:p>
      <w:pPr>
        <w:pStyle w:val="Heading1"/>
      </w:pPr>
      <w:r>
        <w:t>Anforderungsmatrix 2</w:t>
      </w:r>
    </w:p>
    <w:p>
      <w:r>
        <w:t>Zuordnung zum Konzeptentwurf. Status V = Umsetzung vorgeschlagen, noch zu verifizieren; O = zusätzliche Klärung offen. Kurzbezeichnungen ersetzen nicht den Wortlaut von B1.</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907"/>
            <w:tcBorders>
              <w:top w:val="single" w:sz="4" w:color="D9D9D9"/>
              <w:left w:val="single" w:sz="4" w:color="D9D9D9"/>
              <w:bottom w:val="single" w:sz="4" w:color="D9D9D9"/>
              <w:right w:val="single" w:sz="4" w:color="D9D9D9"/>
            </w:tcBorders>
            <w:shd w:fill="E9EEF2"/>
          </w:tcPr>
          <w:p>
            <w:pPr>
              <w:spacing w:after="60" w:before="60"/>
            </w:pPr>
            <w:r>
              <w:rPr>
                <w:b/>
                <w:sz w:val="18"/>
              </w:rPr>
              <w:t>ID</w:t>
            </w:r>
          </w:p>
        </w:tc>
        <w:tc>
          <w:tcPr>
            <w:tcW w:type="dxa" w:w="5102"/>
            <w:tcBorders>
              <w:top w:val="single" w:sz="4" w:color="D9D9D9"/>
              <w:left w:val="single" w:sz="4" w:color="D9D9D9"/>
              <w:bottom w:val="single" w:sz="4" w:color="D9D9D9"/>
              <w:right w:val="single" w:sz="4" w:color="D9D9D9"/>
            </w:tcBorders>
            <w:shd w:fill="E9EEF2"/>
          </w:tcPr>
          <w:p>
            <w:pPr>
              <w:spacing w:after="60" w:before="60"/>
            </w:pPr>
            <w:r>
              <w:rPr>
                <w:b/>
                <w:sz w:val="18"/>
              </w:rPr>
              <w:t>Anforderung kurz</w:t>
            </w:r>
          </w:p>
        </w:tc>
        <w:tc>
          <w:tcPr>
            <w:tcW w:type="dxa" w:w="2494"/>
            <w:tcBorders>
              <w:top w:val="single" w:sz="4" w:color="D9D9D9"/>
              <w:left w:val="single" w:sz="4" w:color="D9D9D9"/>
              <w:bottom w:val="single" w:sz="4" w:color="D9D9D9"/>
              <w:right w:val="single" w:sz="4" w:color="D9D9D9"/>
            </w:tcBorders>
            <w:shd w:fill="E9EEF2"/>
          </w:tcPr>
          <w:p>
            <w:pPr>
              <w:spacing w:after="60" w:before="60"/>
            </w:pPr>
            <w:r>
              <w:rPr>
                <w:b/>
                <w:sz w:val="18"/>
              </w:rPr>
              <w:t>Kapitel</w:t>
            </w:r>
          </w:p>
        </w:tc>
        <w:tc>
          <w:tcPr>
            <w:tcW w:type="dxa" w:w="1134"/>
            <w:tcBorders>
              <w:top w:val="single" w:sz="4" w:color="D9D9D9"/>
              <w:left w:val="single" w:sz="4" w:color="D9D9D9"/>
              <w:bottom w:val="single" w:sz="4" w:color="D9D9D9"/>
              <w:right w:val="single" w:sz="4" w:color="D9D9D9"/>
            </w:tcBorders>
            <w:shd w:fill="E9EEF2"/>
          </w:tcPr>
          <w:p>
            <w:pPr>
              <w:spacing w:after="60" w:before="60"/>
            </w:pPr>
            <w:r>
              <w:rPr>
                <w:b/>
                <w:sz w:val="18"/>
              </w:rPr>
              <w:t>Status</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30</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ELO technische Vorgaben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31</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LSV Betriebsdaten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4.1 / 4.2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32</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Quellenzuordnung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4.1 / 4.2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33</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Beurteilungspegel</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4.1 / 4.2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34</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Grenzwertvergleich</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4.1 / 4.2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35</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Rollen und Anmeldung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2.3 / 6.3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36</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Initialer Import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37</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Excel Schusszahlen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38</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Geodatenbank und Views</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39</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Datenexport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40</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Nutzungsexport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41</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Gesamtstatistik</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42</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Referenzstruktur</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43</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Berechnungsstruktur</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44</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Unabhängige Nutzungen</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45</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Stellungsraummatching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3.2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46</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QR Einstieg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47</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Erfassungsmaske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48</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Offline und Validierung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49</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QR Signatur</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50</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Einheitliche Oberfläche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51</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Mehrsprachigkeit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52</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Ergonomie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5.4</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53</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Handbuch und Hilfe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6.4</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54</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Performance</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4.3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55</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Wartbarkeit</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6.1</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56</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Authentifizierung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2.3 / 6.3</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O</w:t>
            </w:r>
          </w:p>
        </w:tc>
      </w:tr>
      <w:tr>
        <w:trPr>
          <w:cantSplit/>
        </w:trPr>
        <w:tc>
          <w:tcPr>
            <w:tcW w:type="dxa" w:w="907"/>
            <w:tcBorders>
              <w:top w:val="single" w:sz="4" w:color="D9D9D9"/>
              <w:left w:val="single" w:sz="4" w:color="D9D9D9"/>
              <w:bottom w:val="single" w:sz="4" w:color="D9D9D9"/>
              <w:right w:val="single" w:sz="4" w:color="D9D9D9"/>
            </w:tcBorders>
          </w:tcPr>
          <w:p>
            <w:pPr>
              <w:spacing w:after="60" w:before="60"/>
            </w:pPr>
            <w:r>
              <w:rPr>
                <w:b w:val="0"/>
                <w:sz w:val="18"/>
              </w:rPr>
              <w:t>slm 57</w:t>
            </w:r>
          </w:p>
        </w:tc>
        <w:tc>
          <w:tcPr>
            <w:tcW w:type="dxa" w:w="5102"/>
            <w:tcBorders>
              <w:top w:val="single" w:sz="4" w:color="D9D9D9"/>
              <w:left w:val="single" w:sz="4" w:color="D9D9D9"/>
              <w:bottom w:val="single" w:sz="4" w:color="D9D9D9"/>
              <w:right w:val="single" w:sz="4" w:color="D9D9D9"/>
            </w:tcBorders>
          </w:tcPr>
          <w:p>
            <w:pPr>
              <w:spacing w:after="60" w:before="60"/>
            </w:pPr>
            <w:r>
              <w:rPr>
                <w:b w:val="0"/>
                <w:sz w:val="18"/>
              </w:rPr>
              <w:t>Backupüberwachung</w:t>
            </w:r>
          </w:p>
        </w:tc>
        <w:tc>
          <w:tcPr>
            <w:tcW w:type="dxa" w:w="2494"/>
            <w:tcBorders>
              <w:top w:val="single" w:sz="4" w:color="D9D9D9"/>
              <w:left w:val="single" w:sz="4" w:color="D9D9D9"/>
              <w:bottom w:val="single" w:sz="4" w:color="D9D9D9"/>
              <w:right w:val="single" w:sz="4" w:color="D9D9D9"/>
            </w:tcBorders>
          </w:tcPr>
          <w:p>
            <w:pPr>
              <w:spacing w:after="60" w:before="60"/>
            </w:pPr>
            <w:r>
              <w:rPr>
                <w:b w:val="0"/>
                <w:sz w:val="18"/>
              </w:rPr>
              <w:t>6.2</w:t>
            </w:r>
          </w:p>
        </w:tc>
        <w:tc>
          <w:tcPr>
            <w:tcW w:type="dxa" w:w="1134"/>
            <w:tcBorders>
              <w:top w:val="single" w:sz="4" w:color="D9D9D9"/>
              <w:left w:val="single" w:sz="4" w:color="D9D9D9"/>
              <w:bottom w:val="single" w:sz="4" w:color="D9D9D9"/>
              <w:right w:val="single" w:sz="4" w:color="D9D9D9"/>
            </w:tcBorders>
          </w:tcPr>
          <w:p>
            <w:pPr>
              <w:spacing w:after="60" w:before="60"/>
            </w:pPr>
            <w:r>
              <w:rPr>
                <w:b w:val="0"/>
                <w:sz w:val="18"/>
              </w:rPr>
              <w:t>V</w:t>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SLIM | Lösungskonzept | Entwurf 0.1 • 11.09.2026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