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11.9.2026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vier Sprachen.</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einer erprobten Plattform, die bereits ELO trägt.</w:t>
      </w:r>
    </w:p>
    <w:p>
      <w:pPr>
        <w:spacing w:after="120"/>
      </w:pPr>
      <w:r>
        <w:t xml:space="preserve">Wesentliche Vorteile: Der Berechnungskern reproduziert die Kontrollwerte der Beilage B1.4 (Anhang 9 vollständig, Anhang 7 bis auf eine begründete Abweichung, Kapitel 4.3); die zentralen Masken (Schusszahlen, Details, Simulation) laufen als Prototyp, abgesichert durch 275 automatisierte Tests (Stand 11.09.2026, Testbericht im Repository); ELO und SLIM stammen von derselben Anbieterin und teilen Plattform und Datenmodell – die Schnittstelle wird trotzdem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61245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867275"/>
                    </a:xfrm>
                    <a:prstGeom prst="rect">
                      <a:avLst/>
                    </a:prstGeom>
                  </pic:spPr>
                </pic:pic>
              </a:graphicData>
            </a:graphic>
          </wp:inline>
        </w:drawing>
      </w:r>
    </w:p>
    <w:p>
      <w:pPr>
        <w:spacing w:after="120"/>
      </w:pPr>
      <w:r>
        <w:t xml:space="preserve">Gestrichelt = Zielzustand, noch nicht im Prototyp; alles andere läuft heute.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w:t>
      </w:r>
      <w:r>
        <w:rPr>
          <w:rFonts w:ascii="Consolas" w:cs="Consolas" w:eastAsia="Consolas" w:hAnsi="Consolas"/>
          <w:sz w:val="20"/>
          <w:szCs w:val="20"/>
          <w:shd w:fill="F2F2F2" w:val="clear"/>
        </w:rPr>
        <w:t xml:space="preserve">area</w:t>
      </w:r>
      <w:r>
        <w:t xml:space="preserve">, </w:t>
      </w:r>
      <w:r>
        <w:rPr>
          <w:rFonts w:ascii="Consolas" w:cs="Consolas" w:eastAsia="Consolas" w:hAnsi="Consolas"/>
          <w:sz w:val="20"/>
          <w:szCs w:val="20"/>
          <w:shd w:fill="F2F2F2" w:val="clear"/>
        </w:rPr>
        <w:t xml:space="preserve">usage</w:t>
      </w:r>
      <w:r>
        <w:t xml:space="preserve">, </w:t>
      </w:r>
      <w:r>
        <w:rPr>
          <w:rFonts w:ascii="Consolas" w:cs="Consolas" w:eastAsia="Consolas" w:hAnsi="Consolas"/>
          <w:sz w:val="20"/>
          <w:szCs w:val="20"/>
          <w:shd w:fill="F2F2F2" w:val="clear"/>
        </w:rPr>
        <w:t xml:space="preserve">calculation</w:t>
      </w:r>
      <w:r>
        <w:t xml:space="preserve">, </w:t>
      </w:r>
      <w:r>
        <w:rPr>
          <w:rFonts w:ascii="Consolas" w:cs="Consolas" w:eastAsia="Consolas" w:hAnsi="Consolas"/>
          <w:sz w:val="20"/>
          <w:szCs w:val="20"/>
          <w:shd w:fill="F2F2F2" w:val="clear"/>
        </w:rPr>
        <w:t xml:space="preserve">import/export</w:t>
      </w:r>
      <w:r>
        <w:t xml:space="preserve">).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(eigene, in ELO produktive Plattform)</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SLIM ergänzt nur die Fachrollen</w:t>
            </w:r>
          </w:p>
        </w:tc>
      </w:tr>
      <w:tr>
        <w:trPr>
          <w:tblHeader w:val="false"/>
        </w:trPr>
        <w:tc>
          <w:tcPr>
            <w:tcMar>
              <w:top w:type="dxa" w:w="60"/>
              <w:left w:type="dxa" w:w="90"/>
              <w:bottom w:type="dxa" w:w="60"/>
              <w:right w:type="dxa" w:w="90"/>
            </w:tcMar>
          </w:tcPr>
          <w:p>
            <w:pPr>
              <w:spacing w:after="0"/>
            </w:pPr>
            <w:r>
              <w:rPr>
                <w:sz w:val="19"/>
                <w:szCs w:val="19"/>
              </w:rPr>
              <w:t xml:space="preserve">PostgreSQL 16 + PostGIS</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lesende Views für MGDM/ImmoGIS, FGDB-Austausch über GDAL. Der Prototyp läuft über TypeORM auf SQLite/MariaDB; der Treiber ist Konfiguration, Migrationen werden gegen PostgreSQL geführt</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(OpenFileGDB), ExcelJS</w:t>
            </w:r>
          </w:p>
        </w:tc>
        <w:tc>
          <w:tcPr>
            <w:tcMar>
              <w:top w:type="dxa" w:w="60"/>
              <w:left w:type="dxa" w:w="90"/>
              <w:bottom w:type="dxa" w:w="60"/>
              <w:right w:type="dxa" w:w="90"/>
            </w:tcMar>
          </w:tcPr>
          <w:p>
            <w:pPr>
              <w:spacing w:after="0"/>
            </w:pPr>
            <w:r>
              <w:rPr>
                <w:sz w:val="19"/>
                <w:szCs w:val="19"/>
              </w:rPr>
              <w:t xml:space="preserve">Lesen und Schreiben von File-Geodatabases und Excel mit Standardbibliotheken</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Zustände sind versioniert (Baujahr-Klasse, «gültig», «Stand MGDM») und tragen die WLR-Werte je Empfangspunkt × Quelle. Nutzungen sind davon entkoppelt (Herkunft manuell/ELO/Import, Soft-Delete, Änderungshistorie im Logbuch).</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 5.23 «Berechnungen») jedes fachlich relevante Ergebnis unveränderbar: Zeitraum, Zustand, Parameter (Feiertagskalender, Grenzwerte, Ampelschwellen, Jahre der Mittelung), die verwendeten Nutzungen als Kopie (ID, Datum, Stellungsraum, Waffe, Schusszahl), Softwareversion des Berechnungskerns, Ergebnisse je Empfangspunkt, Ersteller und Zeitpunkt. Ein Berechnungsstand lässt sich später mit derselben Kernversion nachrechnen (Prüfsumme über die Eingaben) und mit dem aktuellen Stand vergleichen; er ist die Grundlage für MGDM-Stände und Exporte. Jede Tabelle trägt </w:t>
      </w:r>
      <w:r>
        <w:rPr>
          <w:rFonts w:ascii="Consolas" w:cs="Consolas" w:eastAsia="Consolas" w:hAnsi="Consolas"/>
          <w:sz w:val="20"/>
          <w:szCs w:val="20"/>
          <w:shd w:fill="F2F2F2" w:val="clear"/>
        </w:rPr>
        <w:t xml:space="preserve">tenantId</w:t>
      </w:r>
      <w:r>
        <w:t xml:space="preserve">, Zeitstempel und Löschmarke; das Schema wird per Migration versioniert und als ERD automatisch dokumentiert. </w:t>
      </w:r>
      <w:r>
        <w:rPr>
          <w:i/>
          <w:iCs/>
        </w:rPr>
        <w:t xml:space="preserve">Prototyp:</w:t>
      </w:r>
      <w:r>
        <w:t xml:space="preserve"> Kernmodell (Schiessplatz, Stellungsraum, Kombination, Zustand, Empfangspunkt, WLR, Nutzung) umgesetzt mit genau einer Quelle je Kombination und Live-Berechnung; Quellengewichte und Berechnungsstand sind Zielzustand. Der Demo-Datensatz «SLIM Demo» mit neun Schiessplätzen wird aus diesem Modell erzeugt.</w:t>
      </w:r>
    </w:p>
    <w:p>
      <w:pPr>
        <w:spacing w:after="160" w:before="120"/>
        <w:jc w:val="center"/>
      </w:pPr>
      <w:r>
        <w:drawing>
          <wp:inline distT="0" distB="0" distL="0" distR="0">
            <wp:extent cx="47815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20097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Passwortregeln, Sperre nach Fehlversuchen, Zwei-Faktor per E-Mail-Code oder TOTP-App – damit ist «MFA oder AGOV» erfüllt; eine AGOV-Anbindung über OIDC ist als Option vorgesehen [OFFEN: Entscheid Auftraggeberin].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2FA, Logbuch inkl. aller Auth-Ereignisse umgesetzt und getestet; CASL-Ableitung folgt.</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Releases sind versionierte Artefakte mit Datenbankmigration, Smoke-Test über Health-Endpunkte und Rückfall auf das vorherige Image. Sicherung: täglich, Mehrgenerationen über zwölf Monate, RPO ein Tag, RTO zwei Tage, Alarm bei fehlender Sicherung (slm 57), jährlicher Restore-Test. Monitoring: Health-Endpunkte, Metriken (Antwortzeiten, Fehlerraten, Jobs) und Alarmierung für den SLA-Nachweis (99 % Mo–Fr 07–19 Uhr). </w:t>
      </w:r>
      <w:r>
        <w:rPr>
          <w:i/>
          <w:iCs/>
        </w:rPr>
        <w:t xml:space="preserve">Prototyp:</w:t>
      </w:r>
      <w:r>
        <w:t xml:space="preserve"> Docker-Image (Node 24, pm2), Compose mit MariaDB, Health-Endpunkte,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JSON UTF-8, HTTPS mit TLS ≥ 1.2.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SLIM stellt früh eine Testumgebung mit Demo-Daten bereit; Integrationstests über beide Systeme (Anlagenabruf, Meldung, alle Fehlerfälle) gehören zur Abnahme. Dass ELO von derselben Anbieterin auf derselben Plattform stammt, verkürzt Abstimmung und Fehlersuche, ersetzt diese Schritte aber nicht. </w:t>
      </w:r>
      <w:r>
        <w:rPr>
          <w:i/>
          <w:iCs/>
        </w:rPr>
        <w:t xml:space="preserve">Prototyp:</w:t>
      </w:r>
      <w:r>
        <w:t xml:space="preserve"> Datenmodell, Herkunft «ELO» mit Kennzeichen in der Maske und die Validierungsregeln des Nutzungs-Service sind umgesetzt;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Datenqualität und Volumen werden mit der Auftraggeberin an den Originaldaten vorab geprüft [OFFEN: Testdaten].</w:t>
      </w:r>
    </w:p>
    <w:p>
      <w:pPr>
        <w:pStyle w:val="ListParagraph"/>
        <w:numPr>
          <w:ilvl w:val="0"/>
          <w:numId w:val="2"/>
        </w:numPr>
        <w:spacing w:after="40"/>
      </w:pPr>
      <w:r>
        <w:rPr>
          <w:b/>
          <w:bCs/>
        </w:rPr>
        <w:t xml:space="preserve">Schusszahlen (slm 37):</w:t>
      </w:r>
      <w:r>
        <w:t xml:space="preserve"> Excel-Import nach Vorlage (5.20)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FGDB aus sonARMS (Anlagenteile, Empfangspunkte, WLR-DAY/WLR-NIGHT, Betriebsdaten A9/A7) wird mit GDAL/OGR gelesen, in Staging geladen und geprüft: Quellen-IDs müssen auf bekannte Stellungsräume/Waffen abbilden, Empfangspunkte brauchen ES und EGID,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Zielstrukturen (Zustand, Empfangspunkte, WLR je Empfangspunkt × Quelle) und die Formate aus B1.4 werden bereits vom Demo-Datensatz-Generator bedient; der Importdialog (5.18–5.21) mit Prüfbericht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Schusszahlen und Gesamtstatistik (slm 39–41) nach den Vorlagen aus B1. Berechnungsstände werden als GeoDB (GDAL) und CSV exportiert (slm 20). Für MGDM und ImmoGIS (slm 38) stellt PostgreSQL lesende Views mit eigenen technischen Konten bereit (nur SELECT, mandantengebunden, protokolliert); bundesinterne Empfänger gemäss FAQ 15. </w:t>
      </w:r>
      <w:r>
        <w:rPr>
          <w:i/>
          <w:iCs/>
        </w:rPr>
        <w:t xml:space="preserve">Prototyp:</w:t>
      </w:r>
      <w:r>
        <w:t xml:space="preserve"> Excel-Export des Logbuchs, Exportknöpfe der Fachmasken vorbereitet.</w:t>
      </w:r>
    </w:p>
    <w:p>
      <w:pPr>
        <w:pStyle w:val="Heading2"/>
      </w:pPr>
      <w:r>
        <w:t xml:space="preserve">4 Lärmberechnung</w:t>
      </w:r>
    </w:p>
    <w:p>
      <w:pPr>
        <w:pStyle w:val="Heading3"/>
      </w:pPr>
      <w:r>
        <w:t xml:space="preserve">4.1 Berechnungsablauf</w:t>
      </w:r>
    </w:p>
    <w:p>
      <w:pPr>
        <w:spacing w:after="120"/>
      </w:pPr>
      <w:r>
        <w:t xml:space="preserve">Eingaben: Nutzungen des Zeitraums, Quellen (Stellungsraum × Waffe) mit Kategorie, der gewählte Zustand mit LAE Tag/Abend und LAFmax je Empfangspunkt × Quelle, Empfangspunkte mit Empfindlichkeitsstufe und Baujahr.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61245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8192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Nutzungsart wählen (militärisch → Anhang 9, zivil → Anhang 7, alle bei «Gesamtbeurteilung Anhang 7»); nur Nutzungen mit gültiger Zuordnung Stellungsraum × Waffe.</w:t>
      </w:r>
    </w:p>
    <w:p>
      <w:pPr>
        <w:pStyle w:val="ListParagraph"/>
        <w:numPr>
          <w:ilvl w:val="0"/>
          <w:numId w:val="3"/>
        </w:numPr>
        <w:spacing w:after="40"/>
      </w:pPr>
      <w:r>
        <w:t xml:space="preserve">Betriebsdaten: Schuss anteilig innerhalb/ausserhalb Werktag (Sa/So/Feiertag ganz ausserhalb; Feiertagskalender national + Kanton des Schiessplatzes, pflegbar in der Konfiguration), Schiesshalbtage je Waffenkategorie, Mittelung über die konfigurierten Jahre.</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w:t>
      </w:r>
    </w:p>
    <w:p>
      <w:pPr>
        <w:pStyle w:val="ListParagraph"/>
        <w:numPr>
          <w:ilvl w:val="0"/>
          <w:numId w:val="3"/>
        </w:numPr>
        <w:spacing w:after="40"/>
      </w:pPr>
      <w:r>
        <w:t xml:space="preserve">Energetische Aggregation je Empfangspunkt; leere Quellen und Nullfälle explizit.</w:t>
      </w:r>
    </w:p>
    <w:p>
      <w:pPr>
        <w:pStyle w:val="ListParagraph"/>
        <w:numPr>
          <w:ilvl w:val="0"/>
          <w:numId w:val="3"/>
        </w:numPr>
        <w:spacing w:after="40"/>
      </w:pPr>
      <w:r>
        <w:t xml:space="preserve">Grenzwerte nach ES und Baujahr (vor 1985 IGW, danach PW, gemischt beides); Ampel rot &gt; Grenzwert, orange &gt; Grenzwert − 5 dB, sonst grün; Kontingent-Ampel 100 %/125 %. Grenzwerttabellen und Schwellen liegen in der erweiterten Konfiguration.</w:t>
      </w:r>
    </w:p>
    <w:p>
      <w:pPr>
        <w:spacing w:after="80"/>
      </w:pPr>
    </w:p>
    <w:p>
      <w:pPr>
        <w:pStyle w:val="Heading3"/>
      </w:pPr>
      <w:r>
        <w:t xml:space="preserve">4.3 Nachweis der Korrektheit</w:t>
      </w:r>
    </w:p>
    <w:p>
      <w:pPr>
        <w:spacing w:after="120"/>
      </w:pPr>
      <w:r>
        <w:t xml:space="preserve">Der Berechnungskern wird gegen die Empa-Demorechnung B1.4 getestet (95 automatisierte Tests, Stand 11.09.2026). </w:t>
      </w:r>
      <w:r>
        <w:rPr>
          <w:b/>
          <w:bCs/>
        </w:rPr>
        <w:t xml:space="preserve">Anhang 9:</w:t>
      </w:r>
      <w:r>
        <w:t xml:space="preserve"> LAE1, LAE2 und Lr stimmen für alle zwölf Empfangspunkte auf 0.1 dB mit den Kontrollwerten überein (z. B. E1 60.7/73.8, E4a 41.8/53.1). </w:t>
      </w:r>
      <w:r>
        <w:rPr>
          <w:b/>
          <w:bCs/>
        </w:rPr>
        <w:t xml:space="preserve">Anhang 7:</w:t>
      </w:r>
      <w:r>
        <w:t xml:space="preserve"> Li, Lri und Lr stimmen für elf Empfangspunkte überein; bei E8 liefert der Kern 28.0 dB statt 28.08 dB. Ursache: Die Excel-Vorlage schreibt für Waffenkategorien ohne Schüsse 0 dB in die Lri-Zellen und summiert diese mit, was einen sehr leisen Empfangspunkt um wenige Hundertstel anhebt; der Kern lässt Kategorien ohne Schüsse aus der energetischen Summe weg, wie es die Formel in B1 7.6 vorsieht. Diese Abweichung ist im Test ausdrücklich dokumentiert; die fachlich verbindliche Variante lässt die Anbieterin von der Fachstelle bestätigen und setzt sie als Parameter um, sodass beide Lesarten nachrechenbar bleiben. Weitere Tests decken Werktag-/Feiertagsregeln, Halbtagzählung, gemischte Baujahre, fehlende Quellen, Schusszahl null, Skalierung (×10 = +10 dB, Abend +5 dB) und die Ampelschwellen ab. Jeder weitere Referenzfall der Auftraggeberin wird als Test aufgenommen; die Fachverantwortlichen bestätigen die Resultate vor der Abnahme. </w:t>
      </w:r>
      <w:r>
        <w:rPr>
          <w:i/>
          <w:iCs/>
        </w:rPr>
        <w:t xml:space="preserve">Prototyp:</w:t>
      </w:r>
      <w:r>
        <w:t xml:space="preserve"> erbracht.</w:t>
      </w:r>
    </w:p>
    <w:p>
      <w:pPr>
        <w:pStyle w:val="Heading3"/>
      </w:pPr>
      <w:r>
        <w:t xml:space="preserve">4.4 Performance, Skalierung und grosse Datenmengen</w:t>
      </w:r>
    </w:p>
    <w:p>
      <w:pPr>
        <w:spacing w:after="120"/>
      </w:pPr>
      <w:r>
        <w:t xml:space="preserve">Auslegung: 126 Schiessplätze, 766 Stellungsräume, zehn gleichzeitige Nutzer, Antwortzeiten nach B1 12.5 (Suche Ø 2 s, Berechnung Ø 5 s/max. 10 s). Eine Beurteilung braucht im Prototyp mit 16 Quellen, 6 Empfangspunkten und einem Jahr Nutzungen rund 100 ms; Nutzungen werden je Schiessplatz und Zeitraum über Indizes gelesen und in einer Abfrage summiert. </w:t>
      </w:r>
      <w:r>
        <w:rPr>
          <w:b/>
          <w:bCs/>
        </w:rPr>
        <w:t xml:space="preserve">Ressourcenisolation:</w:t>
      </w:r>
      <w:r>
        <w:t xml:space="preserve"> Im Zielzustand rechnet nicht der API-Prozess, sondern ein Pool von Worker-Prozessen (eigener Container, Node-Worker-Threads)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eines Nutzers blockiert so weder die API noch die Berechnungen anderer; die API antwortet bei Überlast mit Wartehinweis statt Timeout.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Kontext und die drei Fachmasken 5.11–5.13 umgesetzt (Bilder); Datenverwaltungsmasken 5.14–5.28 folgen nach demselben Muster.</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Kartenexport (slm 2) über einen serverseitigen Druckdienst: die gleiche Kartenkomponente wird in Chromium gerendert und mit Titel, Copyright, Datum, Massstab und Legende als PDF/PNG ausgegeben. Fällt der Kartendienst aus, zeigt SLIM Empfangspunkte als Liste und schematisch. Gebäude und Isophonen gemäss FAQ 13 als Erweiterung über LP5.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w:t>
      </w:r>
      <w:r>
        <w:rPr>
          <w:i/>
          <w:iCs/>
        </w:rPr>
        <w:t xml:space="preserve">Prototyp:</w:t>
      </w:r>
      <w:r>
        <w:t xml:space="preserve"> Sortierung, Suche, Statusfilter, Mehrfachselektion, kompakte Ansicht mit Aktions-Icons; Spaltenauswahl und -filter folgen in der gemeinsamen Komponente.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DE/FR/IT/EN über Übersetzungsressourcen je Fachbereich, Sprachwahl persistent, Formate lokalisiert (de-CH). Fachübersetzungen werden maschinell vorbereitet und von Fachpersonen der Anbieterin für FR und EN geprüft; für IT wird eine Fachübersetzung eingeplant [OFFEN: Umfang und Kostenträger für IT vor Abgabe festlegen]. Barrierefreiheit nach eCH-0059 / WCAG 2.1 AA: Tastaturbedienung, sichtbarer Fokus, beschriftete Steuerelemente, Ampeln zusätzlich mit Symbol und Text, Karteninhalte als Tabelle; automatisierte axe-Prüfung im Build, Prüfstandard gemäss FAQ 9/128 bestätigt.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Entwürfe werden offline in der PWA gehalten und beim nächsten Kontakt gesendet; die Meldung selbst erfolgt mit angemeldetem Konto. </w:t>
      </w:r>
      <w:r>
        <w:rPr>
          <w:i/>
          <w:iCs/>
        </w:rPr>
        <w:t xml:space="preserve">Prototyp:</w:t>
      </w:r>
      <w:r>
        <w:t xml:space="preserve"> mobile Layouts, vier Sprachen, Themes und Fokusführung umgesetzt.</w:t>
      </w:r>
    </w:p>
    <w:p>
      <w:pPr>
        <w:spacing w:after="40" w:before="120"/>
        <w:jc w:val="center"/>
      </w:pPr>
      <w:r>
        <w:drawing>
          <wp:inline distT="0" distB="0" distL="0" distR="0">
            <wp:extent cx="122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28725" cy="2638425"/>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Import/Export, Benutzer/Rollen, Logbuch), generiertem API-Vertrag und automatisch dokumentiertem Datenmodell; Fachparameter (Rollen, Rechte, Grenzwerte, Ampelschwellen, Feiertage, Kartenlayer) sind Konfiguration; neue Masken entstehen aus Design System, Facade und generiertem Client. Qualitätssicherung: Lint, Unit- und Service-Tests (API 180, Frontend 63), End-to-End-Tests (32) und Kriterien-Tests je B1-Anforderung in jedem Build; reproduzierbares Setup per Wizard.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Auftraggeberin, 2nd/3rd Level Mo–Fr 08–17 Uhr, Reaktion innerhalb vier Stunden, Behebungsbeginn innerhalb 24 Stunden, Behebung bei erheblichen Störungen in der Regel innerhalb 48 Stunden. Informationsschutz: Si001 wird in einer Kontrollübersicht auf die Massnahmen aus 2.4/2.5 abgebildet (Zugriffsrechte-Prozess, Anmeldemittel, Protokollierung, Break-Glass – aus ELO übernommen); Werkzeuge nur nach Freigabe gemäss FAQ 39–41/49.</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(Umfang gemäss FAQ 36/38). Abnahme: jede B1-Anforderung ist mit Prüfschritten als Testfall hinterlegt; die Kontrollwerte der Berechnung sind bereits als Tests erbracht.</w:t>
      </w:r>
    </w:p>
    <w:p>
      <w:r>
        <w:br w:type="page"/>
      </w:r>
    </w:p>
    <w:p>
      <w:pPr>
        <w:pStyle w:val="Heading2"/>
      </w:pPr>
      <w:r>
        <w:t xml:space="preserve">7 Anforderungsmatrix</w:t>
      </w:r>
    </w:p>
    <w:p>
      <w:pPr>
        <w:spacing w:after="120"/>
      </w:pPr>
      <w:r>
        <w:t xml:space="preserve">Zuordnung der B1-Anforderungen zu den Kapiteln. Status: </w:t>
      </w:r>
      <w:r>
        <w:rPr>
          <w:b/>
          <w:bCs/>
        </w:rPr>
        <w:t xml:space="preserve">P</w:t>
      </w:r>
      <w:r>
        <w:t xml:space="preserve"> = im Prototyp umgesetzt und getestet, </w:t>
      </w:r>
      <w:r>
        <w:rPr>
          <w:b/>
          <w:bCs/>
        </w:rPr>
        <w:t xml:space="preserve">Z</w:t>
      </w:r>
      <w:r>
        <w:t xml:space="preserve"> = Zielzustand, in diesem Konzept verbindlich beschrieben, </w:t>
      </w:r>
      <w:r>
        <w:rPr>
          <w:b/>
          <w:bCs/>
        </w:rPr>
        <w:t xml:space="preserve">O</w:t>
      </w:r>
      <w:r>
        <w:t xml:space="preserve"> = Option / Klärung mit der Auftraggeberin.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ID</w:t>
            </w:r>
          </w:p>
        </w:tc>
        <w:tc>
          <w:tcPr>
            <w:shd w:fill="E7E6E6" w:val="clear"/>
            <w:tcMar>
              <w:top w:type="dxa" w:w="60"/>
              <w:left w:type="dxa" w:w="90"/>
              <w:bottom w:type="dxa" w:w="60"/>
              <w:right w:type="dxa" w:w="90"/>
            </w:tcMar>
          </w:tcPr>
          <w:p>
            <w:pPr>
              <w:spacing w:after="0"/>
            </w:pPr>
            <w:r>
              <w:rPr>
                <w:b/>
                <w:bCs/>
                <w:sz w:val="19"/>
                <w:szCs w:val="19"/>
              </w:rPr>
              <w:t xml:space="preserve">Anforderung kurz</w:t>
            </w:r>
          </w:p>
        </w:tc>
        <w:tc>
          <w:tcPr>
            <w:shd w:fill="E7E6E6" w:val="clear"/>
            <w:tcMar>
              <w:top w:type="dxa" w:w="60"/>
              <w:left w:type="dxa" w:w="90"/>
              <w:bottom w:type="dxa" w:w="60"/>
              <w:right w:type="dxa" w:w="90"/>
            </w:tcMar>
          </w:tcPr>
          <w:p>
            <w:pPr>
              <w:spacing w:after="0"/>
            </w:pPr>
            <w:r>
              <w:rPr>
                <w:b/>
                <w:bCs/>
                <w:sz w:val="19"/>
                <w:szCs w:val="19"/>
              </w:rPr>
              <w:t xml:space="preserve">Kapitel</w:t>
            </w:r>
          </w:p>
        </w:tc>
        <w:tc>
          <w:tcPr>
            <w:shd w:fill="E7E6E6" w:val="clear"/>
            <w:tcMar>
              <w:top w:type="dxa" w:w="60"/>
              <w:left w:type="dxa" w:w="90"/>
              <w:bottom w:type="dxa" w:w="60"/>
              <w:right w:type="dxa" w:w="90"/>
            </w:tcMar>
          </w:tcPr>
          <w:p>
            <w:pPr>
              <w:spacing w:after="0"/>
            </w:pPr>
            <w:r>
              <w:rPr>
                <w:b/>
                <w:bCs/>
                <w:sz w:val="19"/>
                <w:szCs w:val="19"/>
              </w:rPr>
              <w:t xml:space="preserve">Status</w:t>
            </w:r>
          </w:p>
        </w:tc>
      </w:tr>
      <w:tr>
        <w:trPr>
          <w:tblHeader w:val="false"/>
        </w:trPr>
        <w:tc>
          <w:tcPr>
            <w:tcMar>
              <w:top w:type="dxa" w:w="60"/>
              <w:left w:type="dxa" w:w="90"/>
              <w:bottom w:type="dxa" w:w="60"/>
              <w:right w:type="dxa" w:w="90"/>
            </w:tcMar>
          </w:tcPr>
          <w:p>
            <w:pPr>
              <w:spacing w:after="0"/>
            </w:pPr>
            <w:r>
              <w:rPr>
                <w:sz w:val="19"/>
                <w:szCs w:val="19"/>
              </w:rPr>
              <w:t xml:space="preserve">slm 1</w:t>
            </w:r>
          </w:p>
        </w:tc>
        <w:tc>
          <w:tcPr>
            <w:tcMar>
              <w:top w:type="dxa" w:w="60"/>
              <w:left w:type="dxa" w:w="90"/>
              <w:bottom w:type="dxa" w:w="60"/>
              <w:right w:type="dxa" w:w="90"/>
            </w:tcMar>
          </w:tcPr>
          <w:p>
            <w:pPr>
              <w:spacing w:after="0"/>
            </w:pPr>
            <w:r>
              <w:rPr>
                <w:sz w:val="19"/>
                <w:szCs w:val="19"/>
              </w:rPr>
              <w:t xml:space="preserve">Auswahllisten</w:t>
            </w:r>
          </w:p>
        </w:tc>
        <w:tc>
          <w:tcPr>
            <w:tcMar>
              <w:top w:type="dxa" w:w="60"/>
              <w:left w:type="dxa" w:w="90"/>
              <w:bottom w:type="dxa" w:w="60"/>
              <w:right w:type="dxa" w:w="90"/>
            </w:tcMar>
          </w:tcPr>
          <w:p>
            <w:pPr>
              <w:spacing w:after="0"/>
            </w:pPr>
            <w:r>
              <w:rPr>
                <w:sz w:val="19"/>
                <w:szCs w:val="19"/>
              </w:rPr>
              <w:t xml:space="preserve">5.3, 6.1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w:t>
            </w:r>
          </w:p>
        </w:tc>
        <w:tc>
          <w:tcPr>
            <w:tcMar>
              <w:top w:type="dxa" w:w="60"/>
              <w:left w:type="dxa" w:w="90"/>
              <w:bottom w:type="dxa" w:w="60"/>
              <w:right w:type="dxa" w:w="90"/>
            </w:tcMar>
          </w:tcPr>
          <w:p>
            <w:pPr>
              <w:spacing w:after="0"/>
            </w:pPr>
            <w:r>
              <w:rPr>
                <w:sz w:val="19"/>
                <w:szCs w:val="19"/>
              </w:rPr>
              <w:t xml:space="preserve">Kartenviewer, Kartenexport</w:t>
            </w:r>
          </w:p>
        </w:tc>
        <w:tc>
          <w:tcPr>
            <w:tcMar>
              <w:top w:type="dxa" w:w="60"/>
              <w:left w:type="dxa" w:w="90"/>
              <w:bottom w:type="dxa" w:w="60"/>
              <w:right w:type="dxa" w:w="90"/>
            </w:tcMar>
          </w:tcPr>
          <w:p>
            <w:pPr>
              <w:spacing w:after="0"/>
            </w:pPr>
            <w:r>
              <w:rPr>
                <w:sz w:val="19"/>
                <w:szCs w:val="19"/>
              </w:rPr>
              <w:t xml:space="preserve">5.2</w:t>
            </w:r>
          </w:p>
        </w:tc>
        <w:tc>
          <w:tcPr>
            <w:tcMar>
              <w:top w:type="dxa" w:w="60"/>
              <w:left w:type="dxa" w:w="90"/>
              <w:bottom w:type="dxa" w:w="60"/>
              <w:right w:type="dxa" w:w="90"/>
            </w:tcMar>
          </w:tcPr>
          <w:p>
            <w:pPr>
              <w:spacing w:after="0"/>
            </w:pPr>
            <w:r>
              <w:rPr>
                <w:sz w:val="19"/>
                <w:szCs w:val="19"/>
              </w:rPr>
              <w:t xml:space="preserve">Z (schematische Karte P)</w:t>
            </w:r>
          </w:p>
        </w:tc>
      </w:tr>
      <w:tr>
        <w:trPr>
          <w:tblHeader w:val="false"/>
        </w:trPr>
        <w:tc>
          <w:tcPr>
            <w:tcMar>
              <w:top w:type="dxa" w:w="60"/>
              <w:left w:type="dxa" w:w="90"/>
              <w:bottom w:type="dxa" w:w="60"/>
              <w:right w:type="dxa" w:w="90"/>
            </w:tcMar>
          </w:tcPr>
          <w:p>
            <w:pPr>
              <w:spacing w:after="0"/>
            </w:pPr>
            <w:r>
              <w:rPr>
                <w:sz w:val="19"/>
                <w:szCs w:val="19"/>
              </w:rPr>
              <w:t xml:space="preserve">slm 3</w:t>
            </w:r>
          </w:p>
        </w:tc>
        <w:tc>
          <w:tcPr>
            <w:tcMar>
              <w:top w:type="dxa" w:w="60"/>
              <w:left w:type="dxa" w:w="90"/>
              <w:bottom w:type="dxa" w:w="60"/>
              <w:right w:type="dxa" w:w="90"/>
            </w:tcMar>
          </w:tcPr>
          <w:p>
            <w:pPr>
              <w:spacing w:after="0"/>
            </w:pPr>
            <w:r>
              <w:rPr>
                <w:sz w:val="19"/>
                <w:szCs w:val="19"/>
              </w:rPr>
              <w:t xml:space="preserve">Tabellenfunktionen</w:t>
            </w:r>
          </w:p>
        </w:tc>
        <w:tc>
          <w:tcPr>
            <w:tcMar>
              <w:top w:type="dxa" w:w="60"/>
              <w:left w:type="dxa" w:w="90"/>
              <w:bottom w:type="dxa" w:w="60"/>
              <w:right w:type="dxa" w:w="90"/>
            </w:tcMar>
          </w:tcPr>
          <w:p>
            <w:pPr>
              <w:spacing w:after="0"/>
            </w:pPr>
            <w:r>
              <w:rPr>
                <w:sz w:val="19"/>
                <w:szCs w:val="19"/>
              </w:rPr>
              <w:t xml:space="preserve">5.3</w:t>
            </w:r>
          </w:p>
        </w:tc>
        <w:tc>
          <w:tcPr>
            <w:tcMar>
              <w:top w:type="dxa" w:w="60"/>
              <w:left w:type="dxa" w:w="90"/>
              <w:bottom w:type="dxa" w:w="60"/>
              <w:right w:type="dxa" w:w="90"/>
            </w:tcMar>
          </w:tcPr>
          <w:p>
            <w:pPr>
              <w:spacing w:after="0"/>
            </w:pPr>
            <w:r>
              <w:rPr>
                <w:sz w:val="19"/>
                <w:szCs w:val="19"/>
              </w:rPr>
              <w:t xml:space="preserve">Z (Suche, Sortierung, Selektion P)</w:t>
            </w:r>
          </w:p>
        </w:tc>
      </w:tr>
      <w:tr>
        <w:trPr>
          <w:tblHeader w:val="false"/>
        </w:trPr>
        <w:tc>
          <w:tcPr>
            <w:tcMar>
              <w:top w:type="dxa" w:w="60"/>
              <w:left w:type="dxa" w:w="90"/>
              <w:bottom w:type="dxa" w:w="60"/>
              <w:right w:type="dxa" w:w="90"/>
            </w:tcMar>
          </w:tcPr>
          <w:p>
            <w:pPr>
              <w:spacing w:after="0"/>
            </w:pPr>
            <w:r>
              <w:rPr>
                <w:sz w:val="19"/>
                <w:szCs w:val="19"/>
              </w:rPr>
              <w:t xml:space="preserve">slm 4</w:t>
            </w:r>
          </w:p>
        </w:tc>
        <w:tc>
          <w:tcPr>
            <w:tcMar>
              <w:top w:type="dxa" w:w="60"/>
              <w:left w:type="dxa" w:w="90"/>
              <w:bottom w:type="dxa" w:w="60"/>
              <w:right w:type="dxa" w:w="90"/>
            </w:tcMar>
          </w:tcPr>
          <w:p>
            <w:pPr>
              <w:spacing w:after="0"/>
            </w:pPr>
            <w:r>
              <w:rPr>
                <w:sz w:val="19"/>
                <w:szCs w:val="19"/>
              </w:rPr>
              <w:t xml:space="preserve">Nutzbar ohne Berechnungsgrundlage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Deep Links, Zugriffskontrolle</w:t>
            </w:r>
          </w:p>
        </w:tc>
        <w:tc>
          <w:tcPr>
            <w:tcMar>
              <w:top w:type="dxa" w:w="60"/>
              <w:left w:type="dxa" w:w="90"/>
              <w:bottom w:type="dxa" w:w="60"/>
              <w:right w:type="dxa" w:w="90"/>
            </w:tcMar>
          </w:tcPr>
          <w:p>
            <w:pPr>
              <w:spacing w:after="0"/>
            </w:pPr>
            <w:r>
              <w:rPr>
                <w:sz w:val="19"/>
                <w:szCs w:val="19"/>
              </w:rPr>
              <w:t xml:space="preserve">2.4, 5.1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7–8</w:t>
            </w:r>
          </w:p>
        </w:tc>
        <w:tc>
          <w:tcPr>
            <w:tcMar>
              <w:top w:type="dxa" w:w="60"/>
              <w:left w:type="dxa" w:w="90"/>
              <w:bottom w:type="dxa" w:w="60"/>
              <w:right w:type="dxa" w:w="90"/>
            </w:tcMar>
          </w:tcPr>
          <w:p>
            <w:pPr>
              <w:spacing w:after="0"/>
            </w:pPr>
            <w:r>
              <w:rPr>
                <w:sz w:val="19"/>
                <w:szCs w:val="19"/>
              </w:rPr>
              <w:t xml:space="preserve">Startseite, Schiessplatzübersicht</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9</w:t>
            </w:r>
          </w:p>
        </w:tc>
        <w:tc>
          <w:tcPr>
            <w:tcMar>
              <w:top w:type="dxa" w:w="60"/>
              <w:left w:type="dxa" w:w="90"/>
              <w:bottom w:type="dxa" w:w="60"/>
              <w:right w:type="dxa" w:w="90"/>
            </w:tcMar>
          </w:tcPr>
          <w:p>
            <w:pPr>
              <w:spacing w:after="0"/>
            </w:pPr>
            <w:r>
              <w:rPr>
                <w:sz w:val="19"/>
                <w:szCs w:val="19"/>
              </w:rPr>
              <w:t xml:space="preserve">Schiessplatz-Übersicht 5.10</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 (Ampeln, Kontext P)</w:t>
            </w:r>
          </w:p>
        </w:tc>
      </w:tr>
      <w:tr>
        <w:trPr>
          <w:tblHeader w:val="false"/>
        </w:trPr>
        <w:tc>
          <w:tcPr>
            <w:tcMar>
              <w:top w:type="dxa" w:w="60"/>
              <w:left w:type="dxa" w:w="90"/>
              <w:bottom w:type="dxa" w:w="60"/>
              <w:right w:type="dxa" w:w="90"/>
            </w:tcMar>
          </w:tcPr>
          <w:p>
            <w:pPr>
              <w:spacing w:after="0"/>
            </w:pPr>
            <w:r>
              <w:rPr>
                <w:sz w:val="19"/>
                <w:szCs w:val="19"/>
              </w:rPr>
              <w:t xml:space="preserve">slm 10</w:t>
            </w:r>
          </w:p>
        </w:tc>
        <w:tc>
          <w:tcPr>
            <w:tcMar>
              <w:top w:type="dxa" w:w="60"/>
              <w:left w:type="dxa" w:w="90"/>
              <w:bottom w:type="dxa" w:w="60"/>
              <w:right w:type="dxa" w:w="90"/>
            </w:tcMar>
          </w:tcPr>
          <w:p>
            <w:pPr>
              <w:spacing w:after="0"/>
            </w:pPr>
            <w:r>
              <w:rPr>
                <w:sz w:val="19"/>
                <w:szCs w:val="19"/>
              </w:rPr>
              <w:t xml:space="preserve">Nutzungen und Schusszahlen 5.11</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11</w:t>
            </w:r>
          </w:p>
        </w:tc>
        <w:tc>
          <w:tcPr>
            <w:tcMar>
              <w:top w:type="dxa" w:w="60"/>
              <w:left w:type="dxa" w:w="90"/>
              <w:bottom w:type="dxa" w:w="60"/>
              <w:right w:type="dxa" w:w="90"/>
            </w:tcMar>
          </w:tcPr>
          <w:p>
            <w:pPr>
              <w:spacing w:after="0"/>
            </w:pPr>
            <w:r>
              <w:rPr>
                <w:sz w:val="19"/>
                <w:szCs w:val="19"/>
              </w:rPr>
              <w:t xml:space="preserve">Empfangspunkte, Details 5.12</w:t>
            </w:r>
          </w:p>
        </w:tc>
        <w:tc>
          <w:tcPr>
            <w:tcMar>
              <w:top w:type="dxa" w:w="60"/>
              <w:left w:type="dxa" w:w="90"/>
              <w:bottom w:type="dxa" w:w="60"/>
              <w:right w:type="dxa" w:w="90"/>
            </w:tcMar>
          </w:tcPr>
          <w:p>
            <w:pPr>
              <w:spacing w:after="0"/>
            </w:pPr>
            <w:r>
              <w:rPr>
                <w:sz w:val="19"/>
                <w:szCs w:val="19"/>
              </w:rPr>
              <w:t xml:space="preserve">4, 5.2</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12</w:t>
            </w:r>
          </w:p>
        </w:tc>
        <w:tc>
          <w:tcPr>
            <w:tcMar>
              <w:top w:type="dxa" w:w="60"/>
              <w:left w:type="dxa" w:w="90"/>
              <w:bottom w:type="dxa" w:w="60"/>
              <w:right w:type="dxa" w:w="90"/>
            </w:tcMar>
          </w:tcPr>
          <w:p>
            <w:pPr>
              <w:spacing w:after="0"/>
            </w:pPr>
            <w:r>
              <w:rPr>
                <w:sz w:val="19"/>
                <w:szCs w:val="19"/>
              </w:rPr>
              <w:t xml:space="preserve">Simulation 5.13</w:t>
            </w:r>
          </w:p>
        </w:tc>
        <w:tc>
          <w:tcPr>
            <w:tcMar>
              <w:top w:type="dxa" w:w="60"/>
              <w:left w:type="dxa" w:w="90"/>
              <w:bottom w:type="dxa" w:w="60"/>
              <w:right w:type="dxa" w:w="90"/>
            </w:tcMar>
          </w:tcPr>
          <w:p>
            <w:pPr>
              <w:spacing w:after="0"/>
            </w:pPr>
            <w:r>
              <w:rPr>
                <w:sz w:val="19"/>
                <w:szCs w:val="19"/>
              </w:rPr>
              <w:t xml:space="preserve">4, 5.1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13–18</w:t>
            </w:r>
          </w:p>
        </w:tc>
        <w:tc>
          <w:tcPr>
            <w:tcMar>
              <w:top w:type="dxa" w:w="60"/>
              <w:left w:type="dxa" w:w="90"/>
              <w:bottom w:type="dxa" w:w="60"/>
              <w:right w:type="dxa" w:w="90"/>
            </w:tcMar>
          </w:tcPr>
          <w:p>
            <w:pPr>
              <w:spacing w:after="0"/>
            </w:pPr>
            <w:r>
              <w:rPr>
                <w:sz w:val="19"/>
                <w:szCs w:val="19"/>
              </w:rPr>
              <w:t xml:space="preserve">Datenverwaltung: Übersicht, Platzdaten, Stellungsräume, Kontingente, Waffen-Zuordnung, Zustände, Berechnungsstände</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19</w:t>
            </w:r>
          </w:p>
        </w:tc>
        <w:tc>
          <w:tcPr>
            <w:tcMar>
              <w:top w:type="dxa" w:w="60"/>
              <w:left w:type="dxa" w:w="90"/>
              <w:bottom w:type="dxa" w:w="60"/>
              <w:right w:type="dxa" w:w="90"/>
            </w:tcMar>
          </w:tcPr>
          <w:p>
            <w:pPr>
              <w:spacing w:after="0"/>
            </w:pPr>
            <w:r>
              <w:rPr>
                <w:sz w:val="19"/>
                <w:szCs w:val="19"/>
              </w:rPr>
              <w:t xml:space="preserve">GDB-Import</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20</w:t>
            </w:r>
          </w:p>
        </w:tc>
        <w:tc>
          <w:tcPr>
            <w:tcMar>
              <w:top w:type="dxa" w:w="60"/>
              <w:left w:type="dxa" w:w="90"/>
              <w:bottom w:type="dxa" w:w="60"/>
              <w:right w:type="dxa" w:w="90"/>
            </w:tcMar>
          </w:tcPr>
          <w:p>
            <w:pPr>
              <w:spacing w:after="0"/>
            </w:pPr>
            <w:r>
              <w:rPr>
                <w:sz w:val="19"/>
                <w:szCs w:val="19"/>
              </w:rPr>
              <w:t xml:space="preserve">GeoDB-/CSV-Export</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21</w:t>
            </w:r>
          </w:p>
        </w:tc>
        <w:tc>
          <w:tcPr>
            <w:tcMar>
              <w:top w:type="dxa" w:w="60"/>
              <w:left w:type="dxa" w:w="90"/>
              <w:bottom w:type="dxa" w:w="60"/>
              <w:right w:type="dxa" w:w="90"/>
            </w:tcMar>
          </w:tcPr>
          <w:p>
            <w:pPr>
              <w:spacing w:after="0"/>
            </w:pPr>
            <w:r>
              <w:rPr>
                <w:sz w:val="19"/>
                <w:szCs w:val="19"/>
              </w:rPr>
              <w:t xml:space="preserve">WLR und Betriebsdaten</w:t>
            </w:r>
          </w:p>
        </w:tc>
        <w:tc>
          <w:tcPr>
            <w:tcMar>
              <w:top w:type="dxa" w:w="60"/>
              <w:left w:type="dxa" w:w="90"/>
              <w:bottom w:type="dxa" w:w="60"/>
              <w:right w:type="dxa" w:w="90"/>
            </w:tcMar>
          </w:tcPr>
          <w:p>
            <w:pPr>
              <w:spacing w:after="0"/>
            </w:pPr>
            <w:r>
              <w:rPr>
                <w:sz w:val="19"/>
                <w:szCs w:val="19"/>
              </w:rPr>
              <w:t xml:space="preserve">3.2, 4.1</w:t>
            </w:r>
          </w:p>
        </w:tc>
        <w:tc>
          <w:tcPr>
            <w:tcMar>
              <w:top w:type="dxa" w:w="60"/>
              <w:left w:type="dxa" w:w="90"/>
              <w:bottom w:type="dxa" w:w="60"/>
              <w:right w:type="dxa" w:w="90"/>
            </w:tcMar>
          </w:tcPr>
          <w:p>
            <w:pPr>
              <w:spacing w:after="0"/>
            </w:pPr>
            <w:r>
              <w:rPr>
                <w:sz w:val="19"/>
                <w:szCs w:val="19"/>
              </w:rPr>
              <w:t xml:space="preserve">Z (Formate P)</w:t>
            </w:r>
          </w:p>
        </w:tc>
      </w:tr>
      <w:tr>
        <w:trPr>
          <w:tblHeader w:val="false"/>
        </w:trPr>
        <w:tc>
          <w:tcPr>
            <w:tcMar>
              <w:top w:type="dxa" w:w="60"/>
              <w:left w:type="dxa" w:w="90"/>
              <w:bottom w:type="dxa" w:w="60"/>
              <w:right w:type="dxa" w:w="90"/>
            </w:tcMar>
          </w:tcPr>
          <w:p>
            <w:pPr>
              <w:spacing w:after="0"/>
            </w:pPr>
            <w:r>
              <w:rPr>
                <w:sz w:val="19"/>
                <w:szCs w:val="19"/>
              </w:rPr>
              <w:t xml:space="preserve">slm 22–25</w:t>
            </w:r>
          </w:p>
        </w:tc>
        <w:tc>
          <w:tcPr>
            <w:tcMar>
              <w:top w:type="dxa" w:w="60"/>
              <w:left w:type="dxa" w:w="90"/>
              <w:bottom w:type="dxa" w:w="60"/>
              <w:right w:type="dxa" w:w="90"/>
            </w:tcMar>
          </w:tcPr>
          <w:p>
            <w:pPr>
              <w:spacing w:after="0"/>
            </w:pPr>
            <w:r>
              <w:rPr>
                <w:sz w:val="19"/>
                <w:szCs w:val="19"/>
              </w:rPr>
              <w:t xml:space="preserve">Waffe/Kaliber, Kaliber, Waffe, Kategorie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26</w:t>
            </w:r>
          </w:p>
        </w:tc>
        <w:tc>
          <w:tcPr>
            <w:tcMar>
              <w:top w:type="dxa" w:w="60"/>
              <w:left w:type="dxa" w:w="90"/>
              <w:bottom w:type="dxa" w:w="60"/>
              <w:right w:type="dxa" w:w="90"/>
            </w:tcMar>
          </w:tcPr>
          <w:p>
            <w:pPr>
              <w:spacing w:after="0"/>
            </w:pPr>
            <w:r>
              <w:rPr>
                <w:sz w:val="19"/>
                <w:szCs w:val="19"/>
              </w:rPr>
              <w:t xml:space="preserve">Benutzerverwaltung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27</w:t>
            </w:r>
          </w:p>
        </w:tc>
        <w:tc>
          <w:tcPr>
            <w:tcMar>
              <w:top w:type="dxa" w:w="60"/>
              <w:left w:type="dxa" w:w="90"/>
              <w:bottom w:type="dxa" w:w="60"/>
              <w:right w:type="dxa" w:w="90"/>
            </w:tcMar>
          </w:tcPr>
          <w:p>
            <w:pPr>
              <w:spacing w:after="0"/>
            </w:pPr>
            <w:r>
              <w:rPr>
                <w:sz w:val="19"/>
                <w:szCs w:val="19"/>
              </w:rPr>
              <w:t xml:space="preserve">Erweiterte Konfiguration</w:t>
            </w:r>
          </w:p>
        </w:tc>
        <w:tc>
          <w:tcPr>
            <w:tcMar>
              <w:top w:type="dxa" w:w="60"/>
              <w:left w:type="dxa" w:w="90"/>
              <w:bottom w:type="dxa" w:w="60"/>
              <w:right w:type="dxa" w:w="90"/>
            </w:tcMar>
          </w:tcPr>
          <w:p>
            <w:pPr>
              <w:spacing w:after="0"/>
            </w:pPr>
            <w:r>
              <w:rPr>
                <w:sz w:val="19"/>
                <w:szCs w:val="19"/>
              </w:rPr>
              <w:t xml:space="preserve">4.2, 6.1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28–30</w:t>
            </w:r>
          </w:p>
        </w:tc>
        <w:tc>
          <w:tcPr>
            <w:tcMar>
              <w:top w:type="dxa" w:w="60"/>
              <w:left w:type="dxa" w:w="90"/>
              <w:bottom w:type="dxa" w:w="60"/>
              <w:right w:type="dxa" w:w="90"/>
            </w:tcMar>
          </w:tcPr>
          <w:p>
            <w:pPr>
              <w:spacing w:after="0"/>
            </w:pPr>
            <w:r>
              <w:rPr>
                <w:sz w:val="19"/>
                <w:szCs w:val="19"/>
              </w:rPr>
              <w:t xml:space="preserve">ELO-Schnittstelle</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(Modell, Validierung, Kennzeichen P)</w:t>
            </w:r>
          </w:p>
        </w:tc>
      </w:tr>
      <w:tr>
        <w:trPr>
          <w:tblHeader w:val="false"/>
        </w:trPr>
        <w:tc>
          <w:tcPr>
            <w:tcMar>
              <w:top w:type="dxa" w:w="60"/>
              <w:left w:type="dxa" w:w="90"/>
              <w:bottom w:type="dxa" w:w="60"/>
              <w:right w:type="dxa" w:w="90"/>
            </w:tcMar>
          </w:tcPr>
          <w:p>
            <w:pPr>
              <w:spacing w:after="0"/>
            </w:pPr>
            <w:r>
              <w:rPr>
                <w:sz w:val="19"/>
                <w:szCs w:val="19"/>
              </w:rPr>
              <w:t xml:space="preserve">slm 31</w:t>
            </w:r>
          </w:p>
        </w:tc>
        <w:tc>
          <w:tcPr>
            <w:tcMar>
              <w:top w:type="dxa" w:w="60"/>
              <w:left w:type="dxa" w:w="90"/>
              <w:bottom w:type="dxa" w:w="60"/>
              <w:right w:type="dxa" w:w="90"/>
            </w:tcMar>
          </w:tcPr>
          <w:p>
            <w:pPr>
              <w:spacing w:after="0"/>
            </w:pPr>
            <w:r>
              <w:rPr>
                <w:sz w:val="19"/>
                <w:szCs w:val="19"/>
              </w:rPr>
              <w:t xml:space="preserve">LSV-Betriebsdaten</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32</w:t>
            </w:r>
          </w:p>
        </w:tc>
        <w:tc>
          <w:tcPr>
            <w:tcMar>
              <w:top w:type="dxa" w:w="60"/>
              <w:left w:type="dxa" w:w="90"/>
              <w:bottom w:type="dxa" w:w="60"/>
              <w:right w:type="dxa" w:w="90"/>
            </w:tcMar>
          </w:tcPr>
          <w:p>
            <w:pPr>
              <w:spacing w:after="0"/>
            </w:pPr>
            <w:r>
              <w:rPr>
                <w:sz w:val="19"/>
                <w:szCs w:val="19"/>
              </w:rPr>
              <w:t xml:space="preserve">Quellenzuordnung</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P (eine Quelle), Gewichte Z</w:t>
            </w:r>
          </w:p>
        </w:tc>
      </w:tr>
      <w:tr>
        <w:trPr>
          <w:tblHeader w:val="false"/>
        </w:trPr>
        <w:tc>
          <w:tcPr>
            <w:tcMar>
              <w:top w:type="dxa" w:w="60"/>
              <w:left w:type="dxa" w:w="90"/>
              <w:bottom w:type="dxa" w:w="60"/>
              <w:right w:type="dxa" w:w="90"/>
            </w:tcMar>
          </w:tcPr>
          <w:p>
            <w:pPr>
              <w:spacing w:after="0"/>
            </w:pPr>
            <w:r>
              <w:rPr>
                <w:sz w:val="19"/>
                <w:szCs w:val="19"/>
              </w:rPr>
              <w:t xml:space="preserve">slm 33–34</w:t>
            </w:r>
          </w:p>
        </w:tc>
        <w:tc>
          <w:tcPr>
            <w:tcMar>
              <w:top w:type="dxa" w:w="60"/>
              <w:left w:type="dxa" w:w="90"/>
              <w:bottom w:type="dxa" w:w="60"/>
              <w:right w:type="dxa" w:w="90"/>
            </w:tcMar>
          </w:tcPr>
          <w:p>
            <w:pPr>
              <w:spacing w:after="0"/>
            </w:pPr>
            <w:r>
              <w:rPr>
                <w:sz w:val="19"/>
                <w:szCs w:val="19"/>
              </w:rPr>
              <w:t xml:space="preserve">Beurteilungspegel, Grenzwertvergleich</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35</w:t>
            </w:r>
          </w:p>
        </w:tc>
        <w:tc>
          <w:tcPr>
            <w:tcMar>
              <w:top w:type="dxa" w:w="60"/>
              <w:left w:type="dxa" w:w="90"/>
              <w:bottom w:type="dxa" w:w="60"/>
              <w:right w:type="dxa" w:w="90"/>
            </w:tcMar>
          </w:tcPr>
          <w:p>
            <w:pPr>
              <w:spacing w:after="0"/>
            </w:pPr>
            <w:r>
              <w:rPr>
                <w:sz w:val="19"/>
                <w:szCs w:val="19"/>
              </w:rPr>
              <w:t xml:space="preserve">Rollen und Anmeldung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(AGOV O)</w:t>
            </w:r>
          </w:p>
        </w:tc>
      </w:tr>
      <w:tr>
        <w:trPr>
          <w:tblHeader w:val="false"/>
        </w:trPr>
        <w:tc>
          <w:tcPr>
            <w:tcMar>
              <w:top w:type="dxa" w:w="60"/>
              <w:left w:type="dxa" w:w="90"/>
              <w:bottom w:type="dxa" w:w="60"/>
              <w:right w:type="dxa" w:w="90"/>
            </w:tcMar>
          </w:tcPr>
          <w:p>
            <w:pPr>
              <w:spacing w:after="0"/>
            </w:pPr>
            <w:r>
              <w:rPr>
                <w:sz w:val="19"/>
                <w:szCs w:val="19"/>
              </w:rPr>
              <w:t xml:space="preserve">slm 36–37</w:t>
            </w:r>
          </w:p>
        </w:tc>
        <w:tc>
          <w:tcPr>
            <w:tcMar>
              <w:top w:type="dxa" w:w="60"/>
              <w:left w:type="dxa" w:w="90"/>
              <w:bottom w:type="dxa" w:w="60"/>
              <w:right w:type="dxa" w:w="90"/>
            </w:tcMar>
          </w:tcPr>
          <w:p>
            <w:pPr>
              <w:spacing w:after="0"/>
            </w:pPr>
            <w:r>
              <w:rPr>
                <w:sz w:val="19"/>
                <w:szCs w:val="19"/>
              </w:rPr>
              <w:t xml:space="preserve">Initialimport, Excel-Schusszahlen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38</w:t>
            </w:r>
          </w:p>
        </w:tc>
        <w:tc>
          <w:tcPr>
            <w:tcMar>
              <w:top w:type="dxa" w:w="60"/>
              <w:left w:type="dxa" w:w="90"/>
              <w:bottom w:type="dxa" w:w="60"/>
              <w:right w:type="dxa" w:w="90"/>
            </w:tcMar>
          </w:tcPr>
          <w:p>
            <w:pPr>
              <w:spacing w:after="0"/>
            </w:pPr>
            <w:r>
              <w:rPr>
                <w:sz w:val="19"/>
                <w:szCs w:val="19"/>
              </w:rPr>
              <w:t xml:space="preserve">Geodatenbank und Views</w:t>
            </w:r>
          </w:p>
        </w:tc>
        <w:tc>
          <w:tcPr>
            <w:tcMar>
              <w:top w:type="dxa" w:w="60"/>
              <w:left w:type="dxa" w:w="90"/>
              <w:bottom w:type="dxa" w:w="60"/>
              <w:right w:type="dxa" w:w="90"/>
            </w:tcMar>
          </w:tcPr>
          <w:p>
            <w:pPr>
              <w:spacing w:after="0"/>
            </w:pPr>
            <w:r>
              <w:rPr>
                <w:sz w:val="19"/>
                <w:szCs w:val="19"/>
              </w:rPr>
              <w:t xml:space="preserve">2.3, 3.4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39–41</w:t>
            </w:r>
          </w:p>
        </w:tc>
        <w:tc>
          <w:tcPr>
            <w:tcMar>
              <w:top w:type="dxa" w:w="60"/>
              <w:left w:type="dxa" w:w="90"/>
              <w:bottom w:type="dxa" w:w="60"/>
              <w:right w:type="dxa" w:w="90"/>
            </w:tcMar>
          </w:tcPr>
          <w:p>
            <w:pPr>
              <w:spacing w:after="0"/>
            </w:pPr>
            <w:r>
              <w:rPr>
                <w:sz w:val="19"/>
                <w:szCs w:val="19"/>
              </w:rPr>
              <w:t xml:space="preserve">Exporte, Nutzungsexport, Gesamtstatistik</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 (Logbuch-Export P)</w:t>
            </w:r>
          </w:p>
        </w:tc>
      </w:tr>
      <w:tr>
        <w:trPr>
          <w:tblHeader w:val="false"/>
        </w:trPr>
        <w:tc>
          <w:tcPr>
            <w:tcMar>
              <w:top w:type="dxa" w:w="60"/>
              <w:left w:type="dxa" w:w="90"/>
              <w:bottom w:type="dxa" w:w="60"/>
              <w:right w:type="dxa" w:w="90"/>
            </w:tcMar>
          </w:tcPr>
          <w:p>
            <w:pPr>
              <w:spacing w:after="0"/>
            </w:pPr>
            <w:r>
              <w:rPr>
                <w:sz w:val="19"/>
                <w:szCs w:val="19"/>
              </w:rPr>
              <w:t xml:space="preserve">slm 42–44</w:t>
            </w:r>
          </w:p>
        </w:tc>
        <w:tc>
          <w:tcPr>
            <w:tcMar>
              <w:top w:type="dxa" w:w="60"/>
              <w:left w:type="dxa" w:w="90"/>
              <w:bottom w:type="dxa" w:w="60"/>
              <w:right w:type="dxa" w:w="90"/>
            </w:tcMar>
          </w:tcPr>
          <w:p>
            <w:pPr>
              <w:spacing w:after="0"/>
            </w:pPr>
            <w:r>
              <w:rPr>
                <w:sz w:val="19"/>
                <w:szCs w:val="19"/>
              </w:rPr>
              <w:t xml:space="preserve">Entkoppeltes Datenmodell, Reproduzierbarkeit</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(Modell), Berechnungsstand Z</w:t>
            </w:r>
          </w:p>
        </w:tc>
      </w:tr>
      <w:tr>
        <w:trPr>
          <w:tblHeader w:val="false"/>
        </w:trPr>
        <w:tc>
          <w:tcPr>
            <w:tcMar>
              <w:top w:type="dxa" w:w="60"/>
              <w:left w:type="dxa" w:w="90"/>
              <w:bottom w:type="dxa" w:w="60"/>
              <w:right w:type="dxa" w:w="90"/>
            </w:tcMar>
          </w:tcPr>
          <w:p>
            <w:pPr>
              <w:spacing w:after="0"/>
            </w:pPr>
            <w:r>
              <w:rPr>
                <w:sz w:val="19"/>
                <w:szCs w:val="19"/>
              </w:rPr>
              <w:t xml:space="preserve">slm 45</w:t>
            </w:r>
          </w:p>
        </w:tc>
        <w:tc>
          <w:tcPr>
            <w:tcMar>
              <w:top w:type="dxa" w:w="60"/>
              <w:left w:type="dxa" w:w="90"/>
              <w:bottom w:type="dxa" w:w="60"/>
              <w:right w:type="dxa" w:w="90"/>
            </w:tcMar>
          </w:tcPr>
          <w:p>
            <w:pPr>
              <w:spacing w:after="0"/>
            </w:pPr>
            <w:r>
              <w:rPr>
                <w:sz w:val="19"/>
                <w:szCs w:val="19"/>
              </w:rPr>
              <w:t xml:space="preserve">Stellungsraum-Abgleich beim Import</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 (Regel P)</w:t>
            </w:r>
          </w:p>
        </w:tc>
      </w:tr>
      <w:tr>
        <w:trPr>
          <w:tblHeader w:val="false"/>
        </w:trPr>
        <w:tc>
          <w:tcPr>
            <w:tcMar>
              <w:top w:type="dxa" w:w="60"/>
              <w:left w:type="dxa" w:w="90"/>
              <w:bottom w:type="dxa" w:w="60"/>
              <w:right w:type="dxa" w:w="90"/>
            </w:tcMar>
          </w:tcPr>
          <w:p>
            <w:pPr>
              <w:spacing w:after="0"/>
            </w:pPr>
            <w:r>
              <w:rPr>
                <w:sz w:val="19"/>
                <w:szCs w:val="19"/>
              </w:rPr>
              <w:t xml:space="preserve">slm 46–49</w:t>
            </w:r>
          </w:p>
        </w:tc>
        <w:tc>
          <w:tcPr>
            <w:tcMar>
              <w:top w:type="dxa" w:w="60"/>
              <w:left w:type="dxa" w:w="90"/>
              <w:bottom w:type="dxa" w:w="60"/>
              <w:right w:type="dxa" w:w="90"/>
            </w:tcMar>
          </w:tcPr>
          <w:p>
            <w:pPr>
              <w:spacing w:after="0"/>
            </w:pPr>
            <w:r>
              <w:rPr>
                <w:sz w:val="19"/>
                <w:szCs w:val="19"/>
              </w:rPr>
              <w:t xml:space="preserve">QR-Einstieg, Erfassung, Offline, Signatur</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50–51</w:t>
            </w:r>
          </w:p>
        </w:tc>
        <w:tc>
          <w:tcPr>
            <w:tcMar>
              <w:top w:type="dxa" w:w="60"/>
              <w:left w:type="dxa" w:w="90"/>
              <w:bottom w:type="dxa" w:w="60"/>
              <w:right w:type="dxa" w:w="90"/>
            </w:tcMar>
          </w:tcPr>
          <w:p>
            <w:pPr>
              <w:spacing w:after="0"/>
            </w:pPr>
            <w:r>
              <w:rPr>
                <w:sz w:val="19"/>
                <w:szCs w:val="19"/>
              </w:rPr>
              <w:t xml:space="preserve">Einheitliche Oberfläche, Mehrsprachigkeit</w:t>
            </w:r>
          </w:p>
        </w:tc>
        <w:tc>
          <w:tcPr>
            <w:tcMar>
              <w:top w:type="dxa" w:w="60"/>
              <w:left w:type="dxa" w:w="90"/>
              <w:bottom w:type="dxa" w:w="60"/>
              <w:right w:type="dxa" w:w="90"/>
            </w:tcMar>
          </w:tcPr>
          <w:p>
            <w:pPr>
              <w:spacing w:after="0"/>
            </w:pPr>
            <w:r>
              <w:rPr>
                <w:sz w:val="19"/>
                <w:szCs w:val="19"/>
              </w:rPr>
              <w:t xml:space="preserve">5.1, 5.4</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52</w:t>
            </w:r>
          </w:p>
        </w:tc>
        <w:tc>
          <w:tcPr>
            <w:tcMar>
              <w:top w:type="dxa" w:w="60"/>
              <w:left w:type="dxa" w:w="90"/>
              <w:bottom w:type="dxa" w:w="60"/>
              <w:right w:type="dxa" w:w="90"/>
            </w:tcMar>
          </w:tcPr>
          <w:p>
            <w:pPr>
              <w:spacing w:after="0"/>
            </w:pPr>
            <w:r>
              <w:rPr>
                <w:sz w:val="19"/>
                <w:szCs w:val="19"/>
              </w:rPr>
              <w:t xml:space="preserve">Ergonomie, Barrierefreiheit</w:t>
            </w:r>
          </w:p>
        </w:tc>
        <w:tc>
          <w:tcPr>
            <w:tcMar>
              <w:top w:type="dxa" w:w="60"/>
              <w:left w:type="dxa" w:w="90"/>
              <w:bottom w:type="dxa" w:w="60"/>
              <w:right w:type="dxa" w:w="90"/>
            </w:tcMar>
          </w:tcPr>
          <w:p>
            <w:pPr>
              <w:spacing w:after="0"/>
            </w:pPr>
            <w:r>
              <w:rPr>
                <w:sz w:val="19"/>
                <w:szCs w:val="19"/>
              </w:rPr>
              <w:t xml:space="preserve">5.4, 6.3</w:t>
            </w:r>
          </w:p>
        </w:tc>
        <w:tc>
          <w:tcPr>
            <w:tcMar>
              <w:top w:type="dxa" w:w="60"/>
              <w:left w:type="dxa" w:w="90"/>
              <w:bottom w:type="dxa" w:w="60"/>
              <w:right w:type="dxa" w:w="90"/>
            </w:tcMar>
          </w:tcPr>
          <w:p>
            <w:pPr>
              <w:spacing w:after="0"/>
            </w:pPr>
            <w:r>
              <w:rPr>
                <w:sz w:val="19"/>
                <w:szCs w:val="19"/>
              </w:rPr>
              <w:t xml:space="preserve">Z (Grundlagen P)</w:t>
            </w:r>
          </w:p>
        </w:tc>
      </w:tr>
      <w:tr>
        <w:trPr>
          <w:tblHeader w:val="false"/>
        </w:trPr>
        <w:tc>
          <w:tcPr>
            <w:tcMar>
              <w:top w:type="dxa" w:w="60"/>
              <w:left w:type="dxa" w:w="90"/>
              <w:bottom w:type="dxa" w:w="60"/>
              <w:right w:type="dxa" w:w="90"/>
            </w:tcMar>
          </w:tcPr>
          <w:p>
            <w:pPr>
              <w:spacing w:after="0"/>
            </w:pPr>
            <w:r>
              <w:rPr>
                <w:sz w:val="19"/>
                <w:szCs w:val="19"/>
              </w:rPr>
              <w:t xml:space="preserve">slm 53</w:t>
            </w:r>
          </w:p>
        </w:tc>
        <w:tc>
          <w:tcPr>
            <w:tcMar>
              <w:top w:type="dxa" w:w="60"/>
              <w:left w:type="dxa" w:w="90"/>
              <w:bottom w:type="dxa" w:w="60"/>
              <w:right w:type="dxa" w:w="90"/>
            </w:tcMar>
          </w:tcPr>
          <w:p>
            <w:pPr>
              <w:spacing w:after="0"/>
            </w:pPr>
            <w:r>
              <w:rPr>
                <w:sz w:val="19"/>
                <w:szCs w:val="19"/>
              </w:rPr>
              <w:t xml:space="preserve">Handbuch und Hilfe</w:t>
            </w:r>
          </w:p>
        </w:tc>
        <w:tc>
          <w:tcPr>
            <w:tcMar>
              <w:top w:type="dxa" w:w="60"/>
              <w:left w:type="dxa" w:w="90"/>
              <w:bottom w:type="dxa" w:w="60"/>
              <w:right w:type="dxa" w:w="90"/>
            </w:tcMar>
          </w:tcPr>
          <w:p>
            <w:pPr>
              <w:spacing w:after="0"/>
            </w:pPr>
            <w:r>
              <w:rPr>
                <w:sz w:val="19"/>
                <w:szCs w:val="19"/>
              </w:rPr>
              <w:t xml:space="preserve">6.4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54</w:t>
            </w:r>
          </w:p>
        </w:tc>
        <w:tc>
          <w:tcPr>
            <w:tcMar>
              <w:top w:type="dxa" w:w="60"/>
              <w:left w:type="dxa" w:w="90"/>
              <w:bottom w:type="dxa" w:w="60"/>
              <w:right w:type="dxa" w:w="90"/>
            </w:tcMar>
          </w:tcPr>
          <w:p>
            <w:pPr>
              <w:spacing w:after="0"/>
            </w:pPr>
            <w:r>
              <w:rPr>
                <w:sz w:val="19"/>
                <w:szCs w:val="19"/>
              </w:rPr>
              <w:t xml:space="preserve">Performance, Ressourcenisolation</w:t>
            </w:r>
          </w:p>
        </w:tc>
        <w:tc>
          <w:tcPr>
            <w:tcMar>
              <w:top w:type="dxa" w:w="60"/>
              <w:left w:type="dxa" w:w="90"/>
              <w:bottom w:type="dxa" w:w="60"/>
              <w:right w:type="dxa" w:w="90"/>
            </w:tcMar>
          </w:tcPr>
          <w:p>
            <w:pPr>
              <w:spacing w:after="0"/>
            </w:pPr>
            <w:r>
              <w:rPr>
                <w:sz w:val="19"/>
                <w:szCs w:val="19"/>
              </w:rPr>
              <w:t xml:space="preserve">4.4, 6.2</w:t>
            </w:r>
          </w:p>
        </w:tc>
        <w:tc>
          <w:tcPr>
            <w:tcMar>
              <w:top w:type="dxa" w:w="60"/>
              <w:left w:type="dxa" w:w="90"/>
              <w:bottom w:type="dxa" w:w="60"/>
              <w:right w:type="dxa" w:w="90"/>
            </w:tcMar>
          </w:tcPr>
          <w:p>
            <w:pPr>
              <w:spacing w:after="0"/>
            </w:pPr>
            <w:r>
              <w:rPr>
                <w:sz w:val="19"/>
                <w:szCs w:val="19"/>
              </w:rPr>
              <w:t xml:space="preserve">Z (Messung P)</w:t>
            </w:r>
          </w:p>
        </w:tc>
      </w:tr>
      <w:tr>
        <w:trPr>
          <w:tblHeader w:val="false"/>
        </w:trPr>
        <w:tc>
          <w:tcPr>
            <w:tcMar>
              <w:top w:type="dxa" w:w="60"/>
              <w:left w:type="dxa" w:w="90"/>
              <w:bottom w:type="dxa" w:w="60"/>
              <w:right w:type="dxa" w:w="90"/>
            </w:tcMar>
          </w:tcPr>
          <w:p>
            <w:pPr>
              <w:spacing w:after="0"/>
            </w:pPr>
            <w:r>
              <w:rPr>
                <w:sz w:val="19"/>
                <w:szCs w:val="19"/>
              </w:rPr>
              <w:t xml:space="preserve">slm 55</w:t>
            </w:r>
          </w:p>
        </w:tc>
        <w:tc>
          <w:tcPr>
            <w:tcMar>
              <w:top w:type="dxa" w:w="60"/>
              <w:left w:type="dxa" w:w="90"/>
              <w:bottom w:type="dxa" w:w="60"/>
              <w:right w:type="dxa" w:w="90"/>
            </w:tcMar>
          </w:tcPr>
          <w:p>
            <w:pPr>
              <w:spacing w:after="0"/>
            </w:pPr>
            <w:r>
              <w:rPr>
                <w:sz w:val="19"/>
                <w:szCs w:val="19"/>
              </w:rPr>
              <w:t xml:space="preserve">Wartbarkeit</w:t>
            </w:r>
          </w:p>
        </w:tc>
        <w:tc>
          <w:tcPr>
            <w:tcMar>
              <w:top w:type="dxa" w:w="60"/>
              <w:left w:type="dxa" w:w="90"/>
              <w:bottom w:type="dxa" w:w="60"/>
              <w:right w:type="dxa" w:w="90"/>
            </w:tcMar>
          </w:tcPr>
          <w:p>
            <w:pPr>
              <w:spacing w:after="0"/>
            </w:pPr>
            <w:r>
              <w:rPr>
                <w:sz w:val="19"/>
                <w:szCs w:val="19"/>
              </w:rPr>
              <w:t xml:space="preserve">6.1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Authentifizierung, Logging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57</w:t>
            </w:r>
          </w:p>
        </w:tc>
        <w:tc>
          <w:tcPr>
            <w:tcMar>
              <w:top w:type="dxa" w:w="60"/>
              <w:left w:type="dxa" w:w="90"/>
              <w:bottom w:type="dxa" w:w="60"/>
              <w:right w:type="dxa" w:w="90"/>
            </w:tcMar>
          </w:tcPr>
          <w:p>
            <w:pPr>
              <w:spacing w:after="0"/>
            </w:pPr>
            <w:r>
              <w:rPr>
                <w:sz w:val="19"/>
                <w:szCs w:val="19"/>
              </w:rPr>
              <w:t xml:space="preserve">Backupüberwachung</w:t>
            </w:r>
          </w:p>
        </w:tc>
        <w:tc>
          <w:tcPr>
            <w:tcMar>
              <w:top w:type="dxa" w:w="60"/>
              <w:left w:type="dxa" w:w="90"/>
              <w:bottom w:type="dxa" w:w="60"/>
              <w:right w:type="dxa" w:w="90"/>
            </w:tcMar>
          </w:tcPr>
          <w:p>
            <w:pPr>
              <w:spacing w:after="0"/>
            </w:pPr>
            <w:r>
              <w:rPr>
                <w:sz w:val="19"/>
                <w:szCs w:val="19"/>
              </w:rPr>
              <w:t xml:space="preserve">2.5</w:t>
            </w:r>
          </w:p>
        </w:tc>
        <w:tc>
          <w:tcPr>
            <w:tcMar>
              <w:top w:type="dxa" w:w="60"/>
              <w:left w:type="dxa" w:w="90"/>
              <w:bottom w:type="dxa" w:w="60"/>
              <w:right w:type="dxa" w:w="90"/>
            </w:tcMar>
          </w:tcPr>
          <w:p>
            <w:pPr>
              <w:spacing w:after="0"/>
            </w:pPr>
            <w:r>
              <w:rPr>
                <w:sz w:val="19"/>
                <w:szCs w:val="19"/>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00096805eea513684afd6b3e8833837f3d9c0c6.png"/><Relationship Id="rId9" Type="http://schemas.openxmlformats.org/officeDocument/2006/relationships/image" Target="media/3ec695dd31e620f643265a9dedbcae610583ca13.png"/><Relationship Id="rId10" Type="http://schemas.openxmlformats.org/officeDocument/2006/relationships/image" Target="media/2f4934436884b84698e3bdac92c4b1b723c0285b.png"/><Relationship Id="rId11" Type="http://schemas.openxmlformats.org/officeDocument/2006/relationships/image" Target="media/1e93139d99ebf89de9ccbc87ce420af7abe31182.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2026-09-11T19:55:07.446Z</dcterms:created>
  <dcterms:modified xsi:type="dcterms:W3CDTF">2026-09-11T19:55:07.446Z</dcterms:modified>
</cp:coreProperties>
</file>

<file path=docProps/custom.xml><?xml version="1.0" encoding="utf-8"?>
<Properties xmlns="http://schemas.openxmlformats.org/officeDocument/2006/custom-properties" xmlns:vt="http://schemas.openxmlformats.org/officeDocument/2006/docPropsVTypes"/>
</file>