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5F6F2B94" w14:textId="7038A595" w:rsidR="007F2FDE" w:rsidRPr="00A02770" w:rsidRDefault="00E17627">
      <w:pPr>
        <w:spacing w:after="120" w:line="240" w:lineRule="auto"/>
        <w:jc w:val="center"/>
        <w:rPr>
          <w:b/>
          <w:sz w:val="36"/>
          <w:szCs w:val="36"/>
        </w:rPr>
      </w:pPr>
      <w:r>
        <w:rPr>
          <w:b/>
          <w:sz w:val="36"/>
          <w:szCs w:val="36"/>
        </w:rPr>
        <w:t>L SANDI</w:t>
      </w:r>
    </w:p>
    <w:p w14:paraId="46E7C6C0" w14:textId="4F562683" w:rsidR="007F2FDE" w:rsidRPr="00E96B25" w:rsidRDefault="00E17627">
      <w:pPr>
        <w:spacing w:after="120" w:line="240" w:lineRule="auto"/>
        <w:jc w:val="center"/>
        <w:rPr>
          <w:bCs/>
          <w:sz w:val="36"/>
          <w:szCs w:val="36"/>
        </w:rPr>
      </w:pPr>
      <w:r>
        <w:rPr>
          <w:bCs/>
          <w:sz w:val="36"/>
          <w:szCs w:val="36"/>
        </w:rPr>
        <w:t>38924846</w:t>
      </w:r>
    </w:p>
    <w:p w14:paraId="4B027391" w14:textId="77777777" w:rsidR="00E96B25" w:rsidRDefault="00E96B25">
      <w:pPr>
        <w:spacing w:after="120" w:line="240" w:lineRule="auto"/>
        <w:jc w:val="center"/>
        <w:rPr>
          <w:b/>
          <w:sz w:val="36"/>
          <w:szCs w:val="36"/>
        </w:rPr>
      </w:pPr>
    </w:p>
    <w:p w14:paraId="3651EE0F" w14:textId="77777777" w:rsidR="00E96B25" w:rsidRDefault="00E96B25">
      <w:pPr>
        <w:spacing w:after="120" w:line="240" w:lineRule="auto"/>
        <w:jc w:val="center"/>
        <w:rPr>
          <w:b/>
          <w:sz w:val="36"/>
          <w:szCs w:val="36"/>
        </w:rPr>
      </w:pPr>
    </w:p>
    <w:p w14:paraId="18DAAFDF" w14:textId="6505C43C" w:rsidR="00E96B25" w:rsidRDefault="00E96B25">
      <w:pPr>
        <w:spacing w:after="120" w:line="240" w:lineRule="auto"/>
        <w:jc w:val="center"/>
        <w:rPr>
          <w:bCs/>
          <w:i/>
          <w:iCs/>
          <w:sz w:val="28"/>
          <w:szCs w:val="28"/>
        </w:rPr>
      </w:pPr>
      <w:r w:rsidRPr="00E96B25">
        <w:rPr>
          <w:b/>
          <w:sz w:val="28"/>
          <w:szCs w:val="28"/>
        </w:rPr>
        <w:t xml:space="preserve">Date: </w:t>
      </w:r>
      <w:r w:rsidR="00E17627">
        <w:rPr>
          <w:bCs/>
          <w:i/>
          <w:iCs/>
          <w:sz w:val="28"/>
          <w:szCs w:val="28"/>
        </w:rPr>
        <w:t>2024</w:t>
      </w:r>
      <w:commentRangeStart w:id="0"/>
      <w:r w:rsidRPr="00E96B25">
        <w:rPr>
          <w:bCs/>
          <w:i/>
          <w:iCs/>
          <w:sz w:val="28"/>
          <w:szCs w:val="28"/>
        </w:rPr>
        <w:t>-</w:t>
      </w:r>
      <w:r w:rsidR="00E17627">
        <w:rPr>
          <w:bCs/>
          <w:i/>
          <w:iCs/>
          <w:sz w:val="28"/>
          <w:szCs w:val="28"/>
        </w:rPr>
        <w:t>07</w:t>
      </w:r>
      <w:r w:rsidRPr="00E96B25">
        <w:rPr>
          <w:bCs/>
          <w:i/>
          <w:iCs/>
          <w:sz w:val="28"/>
          <w:szCs w:val="28"/>
        </w:rPr>
        <w:t>-</w:t>
      </w:r>
      <w:commentRangeEnd w:id="0"/>
      <w:r w:rsidR="00E17627">
        <w:rPr>
          <w:bCs/>
          <w:i/>
          <w:iCs/>
          <w:sz w:val="28"/>
          <w:szCs w:val="28"/>
        </w:rPr>
        <w:t>29</w:t>
      </w:r>
      <w:r>
        <w:rPr>
          <w:rStyle w:val="CommentReference"/>
        </w:rPr>
        <w:commentReference w:id="0"/>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3"/>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1" w:name="_Toc322953584"/>
      <w:r w:rsidRPr="00A02770">
        <w:lastRenderedPageBreak/>
        <w:t>Table of contents</w:t>
      </w:r>
      <w:bookmarkEnd w:id="1"/>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1621F2">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1621F2">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1621F2">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1621F2">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4"/>
          <w:footerReference w:type="default" r:id="rId15"/>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6EB0355C" w14:textId="77777777" w:rsidR="00946735" w:rsidRDefault="00946735" w:rsidP="00946735">
      <w:pPr>
        <w:pStyle w:val="Heading1"/>
      </w:pPr>
      <w:bookmarkStart w:id="2" w:name="_Toc138061460"/>
      <w:bookmarkStart w:id="3" w:name="_Toc163734480"/>
      <w:bookmarkStart w:id="4" w:name="_Toc171508441"/>
      <w:r>
        <w:lastRenderedPageBreak/>
        <w:t>Introduction</w:t>
      </w:r>
      <w:bookmarkEnd w:id="2"/>
      <w:bookmarkEnd w:id="3"/>
      <w:bookmarkEnd w:id="4"/>
    </w:p>
    <w:p w14:paraId="78FC08AC" w14:textId="484B9C3C" w:rsidR="00946735" w:rsidRDefault="00996873" w:rsidP="00946735">
      <w:pPr>
        <w:pStyle w:val="NTTBodyText"/>
        <w:ind w:left="0"/>
        <w:jc w:val="both"/>
      </w:pPr>
      <w:r w:rsidRPr="00996873">
        <w:t>NWU Tech Trends, a consulting firm specializing in Data Integration, Generative AI (GenAI), and Automation, faces the challenge of quantifying the benefits and value realized in client environments. This is crucial as benefits, especially qualitative ones, are often subjective and inconsistently measured. The goal of this project is to develop a comprehensive solution that addresses this challenge, enabling NWU Tech Trends to accurately measure and visualize the time and cost savings their automation solutions deliver to clients.</w:t>
      </w:r>
    </w:p>
    <w:p w14:paraId="00B15086" w14:textId="77777777" w:rsidR="00996873" w:rsidRDefault="00996873" w:rsidP="00996873">
      <w:pPr>
        <w:pStyle w:val="NTTBodyText"/>
        <w:ind w:left="0"/>
        <w:rPr>
          <w:lang w:eastAsia="en-GB"/>
        </w:rPr>
      </w:pPr>
      <w:r>
        <w:rPr>
          <w:lang w:eastAsia="en-GB"/>
        </w:rPr>
        <w:t>Projects Overview</w:t>
      </w:r>
    </w:p>
    <w:p w14:paraId="2D6ACEA4" w14:textId="77777777" w:rsidR="00996873" w:rsidRDefault="00996873" w:rsidP="00996873">
      <w:pPr>
        <w:pStyle w:val="NTTBodyText"/>
        <w:ind w:left="0"/>
        <w:rPr>
          <w:lang w:eastAsia="en-GB"/>
        </w:rPr>
      </w:pPr>
      <w:r>
        <w:rPr>
          <w:lang w:eastAsia="en-GB"/>
        </w:rPr>
        <w:t>To solve this problem, the solution will be divided into multiple interconnected projects:</w:t>
      </w:r>
    </w:p>
    <w:p w14:paraId="3AF06950" w14:textId="77777777" w:rsidR="00996873" w:rsidRDefault="00996873" w:rsidP="00996873">
      <w:pPr>
        <w:pStyle w:val="NTTBodyText"/>
        <w:ind w:left="0"/>
        <w:rPr>
          <w:lang w:eastAsia="en-GB"/>
        </w:rPr>
      </w:pPr>
      <w:r>
        <w:rPr>
          <w:lang w:eastAsia="en-GB"/>
        </w:rPr>
        <w:t>Web API Development: To allow automations to store telemetry data linked to projects and clients.</w:t>
      </w:r>
    </w:p>
    <w:p w14:paraId="3404F0AA" w14:textId="77777777" w:rsidR="00996873" w:rsidRDefault="00996873" w:rsidP="00996873">
      <w:pPr>
        <w:pStyle w:val="NTTBodyText"/>
        <w:ind w:left="0"/>
        <w:rPr>
          <w:lang w:eastAsia="en-GB"/>
        </w:rPr>
      </w:pPr>
      <w:r>
        <w:rPr>
          <w:lang w:eastAsia="en-GB"/>
        </w:rPr>
        <w:t>Web Application Development: To enable CRUD operations for managing projects and clients.</w:t>
      </w:r>
    </w:p>
    <w:p w14:paraId="58E59DD3" w14:textId="7BE48D67" w:rsidR="00996873" w:rsidRDefault="00996873" w:rsidP="00996873">
      <w:pPr>
        <w:pStyle w:val="NTTBodyText"/>
        <w:ind w:left="0"/>
        <w:rPr>
          <w:lang w:eastAsia="en-GB"/>
        </w:rPr>
      </w:pPr>
      <w:r>
        <w:rPr>
          <w:lang w:eastAsia="en-GB"/>
        </w:rPr>
        <w:t>Robotic Process Automation (RPA) Testing: To ensure the web application's functionality.</w:t>
      </w:r>
    </w:p>
    <w:p w14:paraId="379F15B2" w14:textId="0A119BE3" w:rsidR="00946735" w:rsidRDefault="00996873" w:rsidP="00996873">
      <w:pPr>
        <w:pStyle w:val="NTTBodyText"/>
        <w:ind w:left="0"/>
        <w:rPr>
          <w:lang w:eastAsia="en-GB"/>
        </w:rPr>
      </w:pPr>
      <w:r>
        <w:rPr>
          <w:lang w:eastAsia="en-GB"/>
        </w:rPr>
        <w:t>Reporting Component: To visualize time and cost savings for each project and client over time.</w:t>
      </w:r>
    </w:p>
    <w:p w14:paraId="647919D6" w14:textId="1122A6BC" w:rsidR="00996873" w:rsidRDefault="00996873" w:rsidP="00996873">
      <w:pPr>
        <w:pStyle w:val="NTTBodyText"/>
        <w:ind w:left="0"/>
      </w:pPr>
      <w:r>
        <w:t>Problems addressed</w:t>
      </w:r>
    </w:p>
    <w:p w14:paraId="14E10BD3" w14:textId="77777777" w:rsidR="00996873" w:rsidRDefault="00996873" w:rsidP="00996873">
      <w:pPr>
        <w:pStyle w:val="NTTBodyText"/>
        <w:ind w:left="0"/>
      </w:pPr>
      <w:r>
        <w:t>Quantifying time and cost savings: The solution measures and combines time savings with costs grouped by project and customer.</w:t>
      </w:r>
    </w:p>
    <w:p w14:paraId="188F5268" w14:textId="7091D001" w:rsidR="00996873" w:rsidRDefault="00996873" w:rsidP="00996873">
      <w:pPr>
        <w:pStyle w:val="NTTBodyText"/>
        <w:ind w:left="0"/>
      </w:pPr>
      <w:r>
        <w:t>Information management and visualization: The user interface stores and displays information related to each project and client.</w:t>
      </w:r>
    </w:p>
    <w:p w14:paraId="4D590E76" w14:textId="77777777" w:rsidR="00996873" w:rsidRDefault="00996873" w:rsidP="00996873">
      <w:pPr>
        <w:pStyle w:val="NTTBodyText"/>
        <w:ind w:left="0"/>
      </w:pPr>
      <w:r>
        <w:t>Iterative value delivery: The solution is delivered and presented repeatedly.</w:t>
      </w:r>
    </w:p>
    <w:p w14:paraId="6C8CA4EC" w14:textId="77777777" w:rsidR="00996873" w:rsidRDefault="00996873" w:rsidP="00996873">
      <w:pPr>
        <w:pStyle w:val="NTTBodyText"/>
        <w:ind w:left="0"/>
      </w:pPr>
      <w:r>
        <w:t>Data security: Ensuring secure processing and storage of data.</w:t>
      </w:r>
    </w:p>
    <w:p w14:paraId="6A9FECB0" w14:textId="77777777" w:rsidR="00996873" w:rsidRDefault="00996873" w:rsidP="00996873">
      <w:pPr>
        <w:pStyle w:val="NTTBodyText"/>
        <w:ind w:left="0"/>
      </w:pPr>
      <w:r>
        <w:t>Deployment flexibility: the solution supports both cloud services and local deployments.</w:t>
      </w:r>
    </w:p>
    <w:p w14:paraId="6096037E" w14:textId="10A20A90" w:rsidR="00996873" w:rsidRPr="00DC337B" w:rsidRDefault="00996873" w:rsidP="00996873">
      <w:pPr>
        <w:pStyle w:val="NTTBodyText"/>
        <w:ind w:left="0"/>
      </w:pPr>
      <w:r>
        <w:t xml:space="preserve">Complies with industry standards: The solution is designed to be reusable and </w:t>
      </w:r>
      <w:r w:rsidR="00A96E50">
        <w:t>scalable.</w:t>
      </w:r>
    </w:p>
    <w:p w14:paraId="6D101106" w14:textId="77777777" w:rsidR="00946735" w:rsidRDefault="00946735" w:rsidP="00946735">
      <w:pPr>
        <w:pStyle w:val="Heading1"/>
      </w:pPr>
      <w:bookmarkStart w:id="5" w:name="_Toc138061461"/>
      <w:bookmarkStart w:id="6" w:name="_Toc163734481"/>
      <w:bookmarkStart w:id="7" w:name="_Toc171508442"/>
      <w:r>
        <w:t>Solution Design</w:t>
      </w:r>
      <w:bookmarkEnd w:id="5"/>
      <w:bookmarkEnd w:id="6"/>
      <w:bookmarkEnd w:id="7"/>
    </w:p>
    <w:p w14:paraId="39D1F2D8" w14:textId="77777777" w:rsidR="00946735" w:rsidRDefault="00946735" w:rsidP="00946735">
      <w:pPr>
        <w:pStyle w:val="Heading2"/>
      </w:pPr>
      <w:bookmarkStart w:id="8" w:name="_Toc138061463"/>
      <w:bookmarkStart w:id="9" w:name="_Toc163734483"/>
      <w:bookmarkStart w:id="10" w:name="_Toc171508443"/>
      <w:r w:rsidRPr="00946735">
        <w:t>Detailed Solution Design</w:t>
      </w:r>
      <w:bookmarkEnd w:id="8"/>
      <w:bookmarkEnd w:id="9"/>
      <w:bookmarkEnd w:id="10"/>
    </w:p>
    <w:p w14:paraId="01D0A31D" w14:textId="6F55C8E4" w:rsidR="00567FDB" w:rsidRDefault="00567FDB" w:rsidP="00946735">
      <w:pPr>
        <w:pStyle w:val="NTTBodyText"/>
        <w:ind w:left="0"/>
        <w:rPr>
          <w:color w:val="auto"/>
          <w:lang w:eastAsia="en-GB"/>
        </w:rPr>
      </w:pPr>
      <w:r w:rsidRPr="00567FDB">
        <w:rPr>
          <w:color w:val="auto"/>
          <w:lang w:eastAsia="en-GB"/>
        </w:rPr>
        <w:t>The proposed solution will utilize several technologies, each playing a vital role in the overall system. The interaction between these technologies is illustrated in the context flow diagram below.</w:t>
      </w:r>
    </w:p>
    <w:p w14:paraId="6F55F11A" w14:textId="77777777" w:rsidR="00567FDB" w:rsidRPr="00567FDB" w:rsidRDefault="00567FDB" w:rsidP="00567FDB">
      <w:pPr>
        <w:pStyle w:val="NTTBodyText"/>
        <w:ind w:left="0"/>
        <w:rPr>
          <w:color w:val="auto"/>
          <w:lang w:eastAsia="en-GB"/>
        </w:rPr>
      </w:pPr>
      <w:r w:rsidRPr="00567FDB">
        <w:rPr>
          <w:color w:val="auto"/>
          <w:lang w:eastAsia="en-GB"/>
        </w:rPr>
        <w:t>Technologies and Interactions</w:t>
      </w:r>
    </w:p>
    <w:p w14:paraId="4F0F5B7F" w14:textId="77777777" w:rsidR="00567FDB" w:rsidRPr="00567FDB" w:rsidRDefault="00567FDB" w:rsidP="00567FDB">
      <w:pPr>
        <w:pStyle w:val="NTTBodyText"/>
        <w:ind w:left="0"/>
        <w:rPr>
          <w:color w:val="auto"/>
          <w:lang w:eastAsia="en-GB"/>
        </w:rPr>
      </w:pPr>
      <w:r w:rsidRPr="00567FDB">
        <w:rPr>
          <w:color w:val="auto"/>
          <w:lang w:eastAsia="en-GB"/>
        </w:rPr>
        <w:t>Web API: Built using a framework like ASP.NET Core or Node.js, the API will handle data submission from automation tools, storing telemetry data related to projects and clients.</w:t>
      </w:r>
    </w:p>
    <w:p w14:paraId="1B35E417" w14:textId="77777777" w:rsidR="00567FDB" w:rsidRPr="00567FDB" w:rsidRDefault="00567FDB" w:rsidP="00567FDB">
      <w:pPr>
        <w:pStyle w:val="NTTBodyText"/>
        <w:ind w:left="0"/>
        <w:rPr>
          <w:color w:val="auto"/>
          <w:lang w:eastAsia="en-GB"/>
        </w:rPr>
      </w:pPr>
      <w:r w:rsidRPr="00567FDB">
        <w:rPr>
          <w:color w:val="auto"/>
          <w:lang w:eastAsia="en-GB"/>
        </w:rPr>
        <w:t>Web Application: Developed with a front-end framework such as React or Angular, paired with a back-end like ASP.NET Core or Node.js, it will facilitate CRUD operations on project and client data.</w:t>
      </w:r>
    </w:p>
    <w:p w14:paraId="7D7C0EBC" w14:textId="77777777" w:rsidR="00567FDB" w:rsidRPr="00567FDB" w:rsidRDefault="00567FDB" w:rsidP="00567FDB">
      <w:pPr>
        <w:pStyle w:val="NTTBodyText"/>
        <w:ind w:left="0"/>
        <w:rPr>
          <w:color w:val="auto"/>
          <w:lang w:eastAsia="en-GB"/>
        </w:rPr>
      </w:pPr>
      <w:r w:rsidRPr="00567FDB">
        <w:rPr>
          <w:color w:val="auto"/>
          <w:lang w:eastAsia="en-GB"/>
        </w:rPr>
        <w:t>RPA Testing: Utilizing tools like UiPath or Automation Anywhere, RPA bots will conduct tests to ensure the web application's functionality.</w:t>
      </w:r>
    </w:p>
    <w:p w14:paraId="4908BD60" w14:textId="1B4E2DF9" w:rsidR="00567FDB" w:rsidRDefault="00567FDB" w:rsidP="00567FDB">
      <w:pPr>
        <w:pStyle w:val="NTTBodyText"/>
        <w:ind w:left="0"/>
        <w:rPr>
          <w:color w:val="auto"/>
          <w:lang w:eastAsia="en-GB"/>
        </w:rPr>
      </w:pPr>
      <w:r w:rsidRPr="00567FDB">
        <w:rPr>
          <w:color w:val="auto"/>
          <w:lang w:eastAsia="en-GB"/>
        </w:rPr>
        <w:t>Reporting Component: Implemented with a tool like Power BI or Tableau, it will visualize the collected data, showing time and cost savings per project and client over time</w:t>
      </w:r>
    </w:p>
    <w:p w14:paraId="192CE885" w14:textId="2384CD34" w:rsidR="00946735" w:rsidRPr="00946735" w:rsidRDefault="00567FDB" w:rsidP="00567FDB">
      <w:pPr>
        <w:pStyle w:val="NTTBodyText"/>
        <w:ind w:left="0"/>
        <w:rPr>
          <w:color w:val="auto"/>
          <w:lang w:eastAsia="en-GB"/>
        </w:rPr>
      </w:pPr>
      <w:r>
        <w:rPr>
          <w:noProof/>
          <w:color w:val="auto"/>
          <w:lang w:val="en-ZA" w:eastAsia="en-ZA"/>
        </w:rPr>
        <w:lastRenderedPageBreak/>
        <w:drawing>
          <wp:inline distT="0" distB="0" distL="0" distR="0" wp14:anchorId="0D1D9422" wp14:editId="1BE1A6BE">
            <wp:extent cx="5940425" cy="2349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0425" cy="2349500"/>
                    </a:xfrm>
                    <a:prstGeom prst="rect">
                      <a:avLst/>
                    </a:prstGeom>
                  </pic:spPr>
                </pic:pic>
              </a:graphicData>
            </a:graphic>
          </wp:inline>
        </w:drawing>
      </w:r>
    </w:p>
    <w:p w14:paraId="6AE0E6F1" w14:textId="3074C9ED" w:rsidR="00946735" w:rsidRPr="00946735" w:rsidRDefault="00946735" w:rsidP="00946735">
      <w:pPr>
        <w:pStyle w:val="Caption"/>
        <w:jc w:val="center"/>
        <w:rPr>
          <w:color w:val="auto"/>
        </w:rPr>
      </w:pPr>
      <w:bookmarkStart w:id="11" w:name="_Toc138061470"/>
      <w:bookmarkStart w:id="12" w:name="_Toc163734493"/>
      <w:commentRangeStart w:id="13"/>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1"/>
      <w:commentRangeEnd w:id="13"/>
      <w:r w:rsidRPr="00946735">
        <w:rPr>
          <w:rStyle w:val="CommentReference"/>
          <w:rFonts w:eastAsiaTheme="minorHAnsi" w:cstheme="minorBidi"/>
          <w:color w:val="auto"/>
          <w:kern w:val="2"/>
          <w:lang w:val="en-US"/>
          <w14:ligatures w14:val="standardContextual"/>
        </w:rPr>
        <w:commentReference w:id="13"/>
      </w:r>
      <w:bookmarkEnd w:id="12"/>
    </w:p>
    <w:p w14:paraId="072215B7" w14:textId="77777777" w:rsidR="00946735" w:rsidRDefault="00946735" w:rsidP="00946735">
      <w:pPr>
        <w:pStyle w:val="Heading2"/>
      </w:pPr>
      <w:bookmarkStart w:id="14" w:name="_Toc138061464"/>
      <w:bookmarkStart w:id="15" w:name="_Toc163734484"/>
      <w:bookmarkStart w:id="16" w:name="_Toc171508444"/>
      <w:r w:rsidRPr="00946735">
        <w:t>Data Design</w:t>
      </w:r>
      <w:bookmarkEnd w:id="14"/>
      <w:bookmarkEnd w:id="15"/>
      <w:bookmarkEnd w:id="16"/>
    </w:p>
    <w:p w14:paraId="73A6E18C" w14:textId="77777777" w:rsidR="00E96B25" w:rsidRPr="0094673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6BA2BF5F" w:rsidR="00E96B25" w:rsidRPr="00946735" w:rsidRDefault="00453780" w:rsidP="00E96B25">
      <w:pPr>
        <w:pStyle w:val="NTTBodyText"/>
        <w:keepNext/>
        <w:ind w:left="0"/>
        <w:jc w:val="center"/>
        <w:rPr>
          <w:color w:val="auto"/>
        </w:rPr>
      </w:pPr>
      <w:r>
        <w:rPr>
          <w:noProof/>
          <w:color w:val="auto"/>
          <w:lang w:val="en-ZA" w:eastAsia="en-ZA"/>
        </w:rPr>
        <w:drawing>
          <wp:inline distT="0" distB="0" distL="0" distR="0" wp14:anchorId="5D9494C6" wp14:editId="295DBBA3">
            <wp:extent cx="57245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7">
                      <a:extLst>
                        <a:ext uri="{28A0092B-C50C-407E-A947-70E740481C1C}">
                          <a14:useLocalDpi xmlns:a14="http://schemas.microsoft.com/office/drawing/2010/main" val="0"/>
                        </a:ext>
                      </a:extLst>
                    </a:blip>
                    <a:stretch>
                      <a:fillRect/>
                    </a:stretch>
                  </pic:blipFill>
                  <pic:spPr>
                    <a:xfrm>
                      <a:off x="0" y="0"/>
                      <a:ext cx="5724525" cy="3810000"/>
                    </a:xfrm>
                    <a:prstGeom prst="rect">
                      <a:avLst/>
                    </a:prstGeom>
                  </pic:spPr>
                </pic:pic>
              </a:graphicData>
            </a:graphic>
          </wp:inline>
        </w:drawing>
      </w:r>
    </w:p>
    <w:p w14:paraId="60910938" w14:textId="64C74E3D" w:rsidR="00E96B25" w:rsidRPr="00946735" w:rsidRDefault="00E96B25" w:rsidP="00E96B25">
      <w:pPr>
        <w:pStyle w:val="Caption"/>
        <w:jc w:val="center"/>
        <w:rPr>
          <w:color w:val="auto"/>
        </w:rPr>
      </w:pPr>
      <w:bookmarkStart w:id="17" w:name="_Toc138061472"/>
      <w:bookmarkStart w:id="18" w:name="_Toc163734494"/>
      <w:commentRangeStart w:id="19"/>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17"/>
      <w:r w:rsidRPr="00946735">
        <w:rPr>
          <w:color w:val="auto"/>
        </w:rPr>
        <w:t>Data Flow Diagram</w:t>
      </w:r>
      <w:commentRangeEnd w:id="19"/>
      <w:r w:rsidRPr="00946735">
        <w:rPr>
          <w:rStyle w:val="CommentReference"/>
          <w:rFonts w:eastAsiaTheme="minorHAnsi" w:cstheme="minorBidi"/>
          <w:color w:val="auto"/>
          <w:kern w:val="2"/>
          <w:lang w:val="en-US"/>
          <w14:ligatures w14:val="standardContextual"/>
        </w:rPr>
        <w:commentReference w:id="19"/>
      </w:r>
      <w:bookmarkEnd w:id="18"/>
    </w:p>
    <w:p w14:paraId="18AB1592" w14:textId="77777777" w:rsidR="00453780" w:rsidRDefault="00453780" w:rsidP="00453780">
      <w:pPr>
        <w:spacing w:before="100" w:beforeAutospacing="1" w:after="100" w:afterAutospacing="1" w:line="240" w:lineRule="auto"/>
        <w:ind w:left="360"/>
        <w:jc w:val="left"/>
        <w:rPr>
          <w:rFonts w:cs="Arial"/>
          <w:sz w:val="24"/>
          <w:szCs w:val="24"/>
          <w:lang w:eastAsia="en-ZA"/>
        </w:rPr>
      </w:pPr>
      <w:bookmarkStart w:id="20" w:name="_Toc138061473"/>
      <w:r w:rsidRPr="00453780">
        <w:rPr>
          <w:rFonts w:cs="Arial"/>
          <w:b/>
          <w:bCs/>
          <w:sz w:val="24"/>
          <w:szCs w:val="24"/>
          <w:lang w:eastAsia="en-ZA"/>
        </w:rPr>
        <w:t>Capture Project and Client Information</w:t>
      </w:r>
      <w:r w:rsidRPr="00453780">
        <w:rPr>
          <w:rFonts w:cs="Arial"/>
          <w:sz w:val="24"/>
          <w:szCs w:val="24"/>
          <w:lang w:eastAsia="en-ZA"/>
        </w:rPr>
        <w:t>:</w:t>
      </w:r>
    </w:p>
    <w:p w14:paraId="33242B82"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Client Registration</w:t>
      </w:r>
      <w:r w:rsidRPr="00453780">
        <w:rPr>
          <w:rFonts w:cs="Arial"/>
          <w:sz w:val="24"/>
          <w:szCs w:val="24"/>
          <w:lang w:eastAsia="en-ZA"/>
        </w:rPr>
        <w:t>: Clients register their information, which is stored in the Client Database.</w:t>
      </w:r>
    </w:p>
    <w:p w14:paraId="5670B731" w14:textId="77777777" w:rsid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lastRenderedPageBreak/>
        <w:t>Project Registration</w:t>
      </w:r>
      <w:r w:rsidRPr="00453780">
        <w:rPr>
          <w:rFonts w:cs="Arial"/>
          <w:sz w:val="24"/>
          <w:szCs w:val="24"/>
          <w:lang w:eastAsia="en-ZA"/>
        </w:rPr>
        <w:t>: Projects are registered, linked to clients, and stored in the Project Database.</w:t>
      </w:r>
    </w:p>
    <w:p w14:paraId="21749F4E" w14:textId="77777777" w:rsid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
          <w:bCs/>
          <w:sz w:val="24"/>
          <w:szCs w:val="24"/>
          <w:lang w:eastAsia="en-ZA"/>
        </w:rPr>
        <w:t>Store Telemetry Data</w:t>
      </w:r>
      <w:r w:rsidRPr="00453780">
        <w:rPr>
          <w:rFonts w:cs="Arial"/>
          <w:sz w:val="24"/>
          <w:szCs w:val="24"/>
          <w:lang w:eastAsia="en-ZA"/>
        </w:rPr>
        <w:t>:</w:t>
      </w:r>
    </w:p>
    <w:p w14:paraId="39A3F303"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Receive Telemetry Data</w:t>
      </w:r>
      <w:r w:rsidRPr="00453780">
        <w:rPr>
          <w:rFonts w:cs="Arial"/>
          <w:sz w:val="24"/>
          <w:szCs w:val="24"/>
          <w:lang w:eastAsia="en-ZA"/>
        </w:rPr>
        <w:t>: Automation tools submit telemetry data to the system.</w:t>
      </w:r>
    </w:p>
    <w:p w14:paraId="21C3E117"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Validate Data</w:t>
      </w:r>
      <w:r w:rsidRPr="00453780">
        <w:rPr>
          <w:rFonts w:cs="Arial"/>
          <w:sz w:val="24"/>
          <w:szCs w:val="24"/>
          <w:lang w:eastAsia="en-ZA"/>
        </w:rPr>
        <w:t>: The system validates the telemetry data.</w:t>
      </w:r>
    </w:p>
    <w:p w14:paraId="3E8F128D" w14:textId="4E7CB8A1"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Store Data</w:t>
      </w:r>
      <w:r w:rsidRPr="00453780">
        <w:rPr>
          <w:rFonts w:cs="Arial"/>
          <w:sz w:val="24"/>
          <w:szCs w:val="24"/>
          <w:lang w:eastAsia="en-ZA"/>
        </w:rPr>
        <w:t>: Validated data is stored in the Telemetry Database.</w:t>
      </w:r>
    </w:p>
    <w:p w14:paraId="2BE9113E"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
          <w:bCs/>
          <w:sz w:val="24"/>
          <w:szCs w:val="24"/>
          <w:lang w:eastAsia="en-ZA"/>
        </w:rPr>
        <w:t>Generate Reports</w:t>
      </w:r>
      <w:r w:rsidRPr="00453780">
        <w:rPr>
          <w:rFonts w:cs="Arial"/>
          <w:sz w:val="24"/>
          <w:szCs w:val="24"/>
          <w:lang w:eastAsia="en-ZA"/>
        </w:rPr>
        <w:t>:</w:t>
      </w:r>
    </w:p>
    <w:p w14:paraId="5212A7EA"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Fetch Data</w:t>
      </w:r>
      <w:r w:rsidRPr="00453780">
        <w:rPr>
          <w:rFonts w:cs="Arial"/>
          <w:sz w:val="24"/>
          <w:szCs w:val="24"/>
          <w:lang w:eastAsia="en-ZA"/>
        </w:rPr>
        <w:t>: The system fetches data from the Client, Project, and Telemetry Databases.</w:t>
      </w:r>
    </w:p>
    <w:p w14:paraId="32BDB43A"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Calculate Savings</w:t>
      </w:r>
      <w:r w:rsidRPr="00453780">
        <w:rPr>
          <w:rFonts w:cs="Arial"/>
          <w:sz w:val="24"/>
          <w:szCs w:val="24"/>
          <w:lang w:eastAsia="en-ZA"/>
        </w:rPr>
        <w:t>: The system calculates time and cost savings based on the data.</w:t>
      </w:r>
    </w:p>
    <w:p w14:paraId="6920C879" w14:textId="77777777" w:rsid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Visualize Data</w:t>
      </w:r>
      <w:r w:rsidRPr="00453780">
        <w:rPr>
          <w:rFonts w:cs="Arial"/>
          <w:sz w:val="24"/>
          <w:szCs w:val="24"/>
          <w:lang w:eastAsia="en-ZA"/>
        </w:rPr>
        <w:t>: The system generates visual reports to display the calculated savings.</w:t>
      </w:r>
    </w:p>
    <w:p w14:paraId="4269A28F" w14:textId="447C2192"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
          <w:bCs/>
          <w:sz w:val="24"/>
          <w:szCs w:val="24"/>
          <w:lang w:eastAsia="en-ZA"/>
        </w:rPr>
        <w:t>Data Stores</w:t>
      </w:r>
      <w:r w:rsidRPr="00453780">
        <w:rPr>
          <w:rFonts w:cs="Arial"/>
          <w:sz w:val="24"/>
          <w:szCs w:val="24"/>
          <w:lang w:eastAsia="en-ZA"/>
        </w:rPr>
        <w:t>:</w:t>
      </w:r>
    </w:p>
    <w:p w14:paraId="698E2A1A"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Client Database</w:t>
      </w:r>
      <w:r w:rsidRPr="00453780">
        <w:rPr>
          <w:rFonts w:cs="Arial"/>
          <w:sz w:val="24"/>
          <w:szCs w:val="24"/>
          <w:lang w:eastAsia="en-ZA"/>
        </w:rPr>
        <w:t>: Stores client information, accessible by processes related to client registration and report generation.</w:t>
      </w:r>
    </w:p>
    <w:p w14:paraId="0DF225B4"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Project Database</w:t>
      </w:r>
      <w:r w:rsidRPr="00453780">
        <w:rPr>
          <w:rFonts w:cs="Arial"/>
          <w:sz w:val="24"/>
          <w:szCs w:val="24"/>
          <w:lang w:eastAsia="en-ZA"/>
        </w:rPr>
        <w:t>: Stores project information, accessible by processes related to project registration and report generation.</w:t>
      </w:r>
    </w:p>
    <w:p w14:paraId="1D9D2057" w14:textId="77777777" w:rsidR="00453780" w:rsidRPr="00453780" w:rsidRDefault="00453780" w:rsidP="00453780">
      <w:pPr>
        <w:spacing w:before="100" w:beforeAutospacing="1" w:after="100" w:afterAutospacing="1" w:line="240" w:lineRule="auto"/>
        <w:ind w:left="360"/>
        <w:jc w:val="left"/>
        <w:rPr>
          <w:rFonts w:cs="Arial"/>
          <w:sz w:val="24"/>
          <w:szCs w:val="24"/>
          <w:lang w:eastAsia="en-ZA"/>
        </w:rPr>
      </w:pPr>
      <w:r w:rsidRPr="00453780">
        <w:rPr>
          <w:rFonts w:cs="Arial"/>
          <w:bCs/>
          <w:sz w:val="24"/>
          <w:szCs w:val="24"/>
          <w:lang w:eastAsia="en-ZA"/>
        </w:rPr>
        <w:t>Telemetry Database</w:t>
      </w:r>
      <w:r w:rsidRPr="00453780">
        <w:rPr>
          <w:rFonts w:cs="Arial"/>
          <w:sz w:val="24"/>
          <w:szCs w:val="24"/>
          <w:lang w:eastAsia="en-ZA"/>
        </w:rPr>
        <w:t>: Stores telemetry data, accessible by processes related to telemetry data storage and report generation.</w:t>
      </w:r>
    </w:p>
    <w:p w14:paraId="41A7C527" w14:textId="2954234F" w:rsidR="00946735" w:rsidRPr="00E96B25" w:rsidRDefault="00B80CD6" w:rsidP="007F32A3">
      <w:pPr>
        <w:pStyle w:val="Caption"/>
        <w:rPr>
          <w:rFonts w:cs="Arial"/>
          <w:b w:val="0"/>
          <w:bCs w:val="0"/>
          <w:color w:val="auto"/>
          <w:kern w:val="20"/>
          <w:sz w:val="20"/>
          <w:szCs w:val="20"/>
          <w:lang w:val="en-GB"/>
        </w:rPr>
      </w:pPr>
      <w:r>
        <w:rPr>
          <w:rFonts w:cs="Arial"/>
          <w:b w:val="0"/>
          <w:bCs w:val="0"/>
          <w:noProof/>
          <w:color w:val="auto"/>
          <w:kern w:val="20"/>
          <w:sz w:val="20"/>
          <w:szCs w:val="20"/>
          <w:lang w:eastAsia="en-ZA"/>
        </w:rPr>
        <w:lastRenderedPageBreak/>
        <w:drawing>
          <wp:inline distT="0" distB="0" distL="0" distR="0" wp14:anchorId="1BDB4A52" wp14:editId="12D5E238">
            <wp:extent cx="5858693" cy="37533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858693" cy="3753374"/>
                    </a:xfrm>
                    <a:prstGeom prst="rect">
                      <a:avLst/>
                    </a:prstGeom>
                  </pic:spPr>
                </pic:pic>
              </a:graphicData>
            </a:graphic>
          </wp:inline>
        </w:drawing>
      </w:r>
      <w:commentRangeStart w:id="21"/>
    </w:p>
    <w:p w14:paraId="29DD8428" w14:textId="5640AC36" w:rsidR="00946735" w:rsidRPr="00A52534" w:rsidRDefault="00946735" w:rsidP="00A52534">
      <w:pPr>
        <w:pStyle w:val="Caption"/>
        <w:jc w:val="center"/>
        <w:rPr>
          <w:color w:val="auto"/>
        </w:rPr>
      </w:pPr>
      <w:bookmarkStart w:id="22"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0"/>
      <w:commentRangeEnd w:id="21"/>
      <w:r w:rsidRPr="00946735">
        <w:rPr>
          <w:rStyle w:val="CommentReference"/>
          <w:rFonts w:eastAsiaTheme="minorHAnsi" w:cstheme="minorBidi"/>
          <w:color w:val="auto"/>
          <w:kern w:val="2"/>
          <w:lang w:val="en-US"/>
          <w14:ligatures w14:val="standardContextual"/>
        </w:rPr>
        <w:commentReference w:id="21"/>
      </w:r>
      <w:bookmarkStart w:id="23" w:name="_Toc120200273"/>
      <w:bookmarkStart w:id="24" w:name="_Toc120208720"/>
      <w:bookmarkStart w:id="25" w:name="_Toc131496433"/>
      <w:bookmarkStart w:id="26" w:name="_Toc131512315"/>
      <w:bookmarkEnd w:id="22"/>
    </w:p>
    <w:p w14:paraId="445B6412" w14:textId="77777777" w:rsidR="00946735" w:rsidRPr="00946735" w:rsidRDefault="00946735" w:rsidP="00946735">
      <w:pPr>
        <w:pStyle w:val="Heading2"/>
        <w:rPr>
          <w:lang w:eastAsia="en-GB"/>
        </w:rPr>
      </w:pPr>
      <w:bookmarkStart w:id="27" w:name="_Toc163734486"/>
      <w:bookmarkStart w:id="28" w:name="_Toc171508445"/>
      <w:bookmarkEnd w:id="23"/>
      <w:bookmarkEnd w:id="24"/>
      <w:bookmarkEnd w:id="25"/>
      <w:bookmarkEnd w:id="26"/>
      <w:commentRangeStart w:id="29"/>
      <w:r w:rsidRPr="00946735">
        <w:rPr>
          <w:lang w:eastAsia="en-GB"/>
        </w:rPr>
        <w:t>Technical Assumptions</w:t>
      </w:r>
      <w:bookmarkEnd w:id="27"/>
      <w:commentRangeEnd w:id="29"/>
      <w:r w:rsidR="009060FA">
        <w:rPr>
          <w:rStyle w:val="CommentReference"/>
          <w:rFonts w:cs="Times New Roman"/>
          <w:b w:val="0"/>
          <w:bCs w:val="0"/>
          <w:iCs w:val="0"/>
        </w:rPr>
        <w:commentReference w:id="29"/>
      </w:r>
      <w:bookmarkEnd w:id="28"/>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1A1D46B5" w14:textId="77777777" w:rsidR="007F32A3" w:rsidRDefault="00946735" w:rsidP="007F32A3">
      <w:pPr>
        <w:pStyle w:val="NTTBodyText"/>
        <w:numPr>
          <w:ilvl w:val="0"/>
          <w:numId w:val="32"/>
        </w:numPr>
        <w:ind w:left="360"/>
        <w:rPr>
          <w:color w:val="auto"/>
          <w:lang w:eastAsia="en-GB"/>
        </w:rPr>
      </w:pPr>
      <w:r w:rsidRPr="00946735">
        <w:rPr>
          <w:color w:val="auto"/>
          <w:lang w:eastAsia="en-GB"/>
        </w:rPr>
        <w:t>All license allocations will be done before development commences.</w:t>
      </w:r>
    </w:p>
    <w:p w14:paraId="090CC5EF" w14:textId="77777777" w:rsidR="007F32A3" w:rsidRDefault="007F32A3" w:rsidP="007F32A3">
      <w:pPr>
        <w:pStyle w:val="NTTBodyText"/>
        <w:numPr>
          <w:ilvl w:val="0"/>
          <w:numId w:val="32"/>
        </w:numPr>
        <w:ind w:left="360"/>
        <w:rPr>
          <w:color w:val="auto"/>
          <w:lang w:eastAsia="en-GB"/>
        </w:rPr>
      </w:pPr>
      <w:r w:rsidRPr="007F32A3">
        <w:rPr>
          <w:color w:val="auto"/>
          <w:lang w:eastAsia="en-GB"/>
        </w:rPr>
        <w:t>The solution will have consistent internet access for cloud-hosted components.</w:t>
      </w:r>
    </w:p>
    <w:p w14:paraId="513FFC07" w14:textId="77777777" w:rsidR="007F32A3" w:rsidRDefault="007F32A3" w:rsidP="007F32A3">
      <w:pPr>
        <w:pStyle w:val="NTTBodyText"/>
        <w:numPr>
          <w:ilvl w:val="0"/>
          <w:numId w:val="32"/>
        </w:numPr>
        <w:ind w:left="360"/>
        <w:rPr>
          <w:color w:val="auto"/>
          <w:lang w:eastAsia="en-GB"/>
        </w:rPr>
      </w:pPr>
      <w:r w:rsidRPr="007F32A3">
        <w:rPr>
          <w:color w:val="auto"/>
          <w:lang w:eastAsia="en-GB"/>
        </w:rPr>
        <w:t>Clients will provide accurate and complete initial data sets.</w:t>
      </w:r>
    </w:p>
    <w:p w14:paraId="7E112C1A" w14:textId="1993AC26" w:rsidR="00946735" w:rsidRPr="007F32A3" w:rsidRDefault="007F32A3" w:rsidP="007F32A3">
      <w:pPr>
        <w:pStyle w:val="NTTBodyText"/>
        <w:numPr>
          <w:ilvl w:val="0"/>
          <w:numId w:val="32"/>
        </w:numPr>
        <w:ind w:left="360"/>
        <w:rPr>
          <w:color w:val="auto"/>
          <w:lang w:eastAsia="en-GB"/>
        </w:rPr>
      </w:pPr>
      <w:r w:rsidRPr="007F32A3">
        <w:rPr>
          <w:color w:val="auto"/>
          <w:lang w:eastAsia="en-GB"/>
        </w:rPr>
        <w:t>Security measures will be enforced according to industry standards.</w:t>
      </w:r>
    </w:p>
    <w:p w14:paraId="73D5D23F" w14:textId="2C0BEB5C" w:rsidR="00946735" w:rsidRPr="00946735" w:rsidRDefault="00946735" w:rsidP="00946735">
      <w:pPr>
        <w:pStyle w:val="Heading2"/>
        <w:rPr>
          <w:lang w:eastAsia="en-GB"/>
        </w:rPr>
      </w:pPr>
      <w:bookmarkStart w:id="30" w:name="_Toc163734487"/>
      <w:bookmarkStart w:id="31" w:name="_Toc171508446"/>
      <w:commentRangeStart w:id="32"/>
      <w:r w:rsidRPr="00946735">
        <w:rPr>
          <w:lang w:eastAsia="en-GB"/>
        </w:rPr>
        <w:t>Technical Caveats</w:t>
      </w:r>
      <w:bookmarkEnd w:id="30"/>
      <w:commentRangeEnd w:id="32"/>
      <w:r w:rsidR="009060FA">
        <w:rPr>
          <w:rStyle w:val="CommentReference"/>
          <w:rFonts w:cs="Times New Roman"/>
          <w:b w:val="0"/>
          <w:bCs w:val="0"/>
          <w:iCs w:val="0"/>
        </w:rPr>
        <w:commentReference w:id="32"/>
      </w:r>
      <w:bookmarkEnd w:id="31"/>
    </w:p>
    <w:p w14:paraId="5668D49E" w14:textId="77777777" w:rsidR="007F32A3" w:rsidRDefault="00946735" w:rsidP="007F32A3">
      <w:pPr>
        <w:pStyle w:val="NTTBodyText"/>
        <w:ind w:left="0"/>
        <w:rPr>
          <w:color w:val="auto"/>
          <w:lang w:eastAsia="en-GB"/>
        </w:rPr>
      </w:pPr>
      <w:r w:rsidRPr="00946735">
        <w:rPr>
          <w:color w:val="auto"/>
          <w:lang w:eastAsia="en-GB"/>
        </w:rPr>
        <w:t>The following caveats have been raised as part of the solution design. These caveats would need to be addressed and may have an impact on the design.</w:t>
      </w:r>
    </w:p>
    <w:p w14:paraId="4A538C2B" w14:textId="77777777" w:rsidR="007F32A3" w:rsidRDefault="007F32A3" w:rsidP="007F32A3">
      <w:pPr>
        <w:pStyle w:val="NTTBodyText"/>
        <w:numPr>
          <w:ilvl w:val="0"/>
          <w:numId w:val="33"/>
        </w:numPr>
        <w:rPr>
          <w:color w:val="auto"/>
          <w:lang w:eastAsia="en-GB"/>
        </w:rPr>
      </w:pPr>
      <w:r w:rsidRPr="007F32A3">
        <w:rPr>
          <w:color w:val="auto"/>
          <w:lang w:eastAsia="en-GB"/>
        </w:rPr>
        <w:t>Network latency may affect real-time data processing.</w:t>
      </w:r>
    </w:p>
    <w:p w14:paraId="2D1DE4D6" w14:textId="77777777" w:rsidR="007F32A3" w:rsidRDefault="007F32A3" w:rsidP="007F32A3">
      <w:pPr>
        <w:pStyle w:val="NTTBodyText"/>
        <w:numPr>
          <w:ilvl w:val="0"/>
          <w:numId w:val="33"/>
        </w:numPr>
        <w:rPr>
          <w:color w:val="auto"/>
          <w:lang w:eastAsia="en-GB"/>
        </w:rPr>
      </w:pPr>
      <w:r w:rsidRPr="007F32A3">
        <w:rPr>
          <w:color w:val="auto"/>
          <w:lang w:eastAsia="en-GB"/>
        </w:rPr>
        <w:t>Integration with legacy systems may require additional customization.</w:t>
      </w:r>
    </w:p>
    <w:p w14:paraId="0F384160" w14:textId="6E6ED63D" w:rsidR="007F32A3" w:rsidRPr="007F32A3" w:rsidRDefault="007F32A3" w:rsidP="007F32A3">
      <w:pPr>
        <w:pStyle w:val="NTTBodyText"/>
        <w:numPr>
          <w:ilvl w:val="0"/>
          <w:numId w:val="33"/>
        </w:numPr>
        <w:rPr>
          <w:color w:val="auto"/>
          <w:lang w:eastAsia="en-GB"/>
        </w:rPr>
      </w:pPr>
      <w:r w:rsidRPr="007F32A3">
        <w:rPr>
          <w:color w:val="auto"/>
          <w:lang w:eastAsia="en-GB"/>
        </w:rPr>
        <w:t>Scalability might be limited by on-premise server capacities if not hosted on the cloud.</w:t>
      </w:r>
    </w:p>
    <w:p w14:paraId="76AF7485" w14:textId="77777777" w:rsidR="00946735" w:rsidRPr="00946735" w:rsidRDefault="00946735" w:rsidP="00946735">
      <w:pPr>
        <w:pStyle w:val="Heading2"/>
      </w:pPr>
      <w:bookmarkStart w:id="33" w:name="_Toc138061466"/>
      <w:bookmarkStart w:id="34" w:name="_Toc163734488"/>
      <w:bookmarkStart w:id="35" w:name="_Toc171508447"/>
      <w:commentRangeStart w:id="36"/>
      <w:r w:rsidRPr="00946735">
        <w:t>Wireframes</w:t>
      </w:r>
      <w:bookmarkEnd w:id="33"/>
      <w:bookmarkEnd w:id="34"/>
      <w:commentRangeEnd w:id="36"/>
      <w:r w:rsidR="009060FA">
        <w:rPr>
          <w:rStyle w:val="CommentReference"/>
          <w:rFonts w:cs="Times New Roman"/>
          <w:b w:val="0"/>
          <w:bCs w:val="0"/>
          <w:iCs w:val="0"/>
        </w:rPr>
        <w:commentReference w:id="36"/>
      </w:r>
      <w:bookmarkEnd w:id="35"/>
    </w:p>
    <w:p w14:paraId="1B72C547" w14:textId="792ADD07" w:rsid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7C6E4BDA" w14:textId="29A1B825" w:rsidR="00453780" w:rsidRDefault="00453780" w:rsidP="00B37BFB">
      <w:pPr>
        <w:pStyle w:val="NTTBodyText"/>
        <w:ind w:left="0"/>
        <w:jc w:val="center"/>
        <w:rPr>
          <w:b/>
          <w:color w:val="auto"/>
          <w:lang w:eastAsia="en-GB"/>
        </w:rPr>
      </w:pPr>
      <w:r>
        <w:rPr>
          <w:noProof/>
          <w:color w:val="auto"/>
          <w:lang w:val="en-ZA" w:eastAsia="en-ZA"/>
        </w:rPr>
        <w:lastRenderedPageBreak/>
        <w:drawing>
          <wp:anchor distT="0" distB="0" distL="114300" distR="114300" simplePos="0" relativeHeight="251658240" behindDoc="0" locked="0" layoutInCell="1" allowOverlap="1" wp14:anchorId="29A4F527" wp14:editId="62188498">
            <wp:simplePos x="904875" y="933450"/>
            <wp:positionH relativeFrom="column">
              <wp:align>left</wp:align>
            </wp:positionH>
            <wp:positionV relativeFrom="paragraph">
              <wp:align>top</wp:align>
            </wp:positionV>
            <wp:extent cx="4167505" cy="423862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age.png"/>
                    <pic:cNvPicPr/>
                  </pic:nvPicPr>
                  <pic:blipFill>
                    <a:blip r:embed="rId19">
                      <a:extLst>
                        <a:ext uri="{28A0092B-C50C-407E-A947-70E740481C1C}">
                          <a14:useLocalDpi xmlns:a14="http://schemas.microsoft.com/office/drawing/2010/main" val="0"/>
                        </a:ext>
                      </a:extLst>
                    </a:blip>
                    <a:stretch>
                      <a:fillRect/>
                    </a:stretch>
                  </pic:blipFill>
                  <pic:spPr>
                    <a:xfrm>
                      <a:off x="0" y="0"/>
                      <a:ext cx="4167505" cy="4238625"/>
                    </a:xfrm>
                    <a:prstGeom prst="rect">
                      <a:avLst/>
                    </a:prstGeom>
                  </pic:spPr>
                </pic:pic>
              </a:graphicData>
            </a:graphic>
          </wp:anchor>
        </w:drawing>
      </w:r>
      <w:r>
        <w:rPr>
          <w:color w:val="auto"/>
          <w:lang w:eastAsia="en-GB"/>
        </w:rPr>
        <w:br w:type="textWrapping" w:clear="all"/>
      </w:r>
      <w:r w:rsidR="00B37BFB" w:rsidRPr="00B37BFB">
        <w:rPr>
          <w:b/>
          <w:color w:val="auto"/>
          <w:lang w:eastAsia="en-GB"/>
        </w:rPr>
        <w:t>LOGIN PAGE</w:t>
      </w:r>
    </w:p>
    <w:p w14:paraId="3C22369D" w14:textId="77777777" w:rsidR="00B37BFB" w:rsidRPr="00B37BFB" w:rsidRDefault="00B37BFB" w:rsidP="00B37BFB">
      <w:pPr>
        <w:pStyle w:val="NTTBodyText"/>
        <w:ind w:left="0"/>
        <w:rPr>
          <w:b/>
          <w:color w:val="auto"/>
          <w:lang w:eastAsia="en-GB"/>
        </w:rPr>
      </w:pPr>
    </w:p>
    <w:p w14:paraId="1D07015F" w14:textId="77777777" w:rsidR="00946735" w:rsidRPr="00946735" w:rsidRDefault="00946735" w:rsidP="00946735">
      <w:pPr>
        <w:pStyle w:val="Heading1"/>
      </w:pPr>
      <w:bookmarkStart w:id="37" w:name="_Toc171508448"/>
      <w:commentRangeStart w:id="38"/>
      <w:r w:rsidRPr="00946735">
        <w:t>Errors &amp; Exceptions</w:t>
      </w:r>
      <w:commentRangeEnd w:id="38"/>
      <w:r w:rsidR="009060FA">
        <w:rPr>
          <w:rStyle w:val="CommentReference"/>
          <w:rFonts w:ascii="Arial" w:hAnsi="Arial" w:cs="Times New Roman"/>
          <w:b w:val="0"/>
          <w:bCs w:val="0"/>
          <w:kern w:val="0"/>
        </w:rPr>
        <w:commentReference w:id="38"/>
      </w:r>
      <w:bookmarkEnd w:id="37"/>
    </w:p>
    <w:p w14:paraId="30CC656A" w14:textId="77777777" w:rsidR="00946735" w:rsidRPr="00946735" w:rsidRDefault="00946735" w:rsidP="00A52534">
      <w:pPr>
        <w:pStyle w:val="Heading2"/>
        <w:rPr>
          <w:rFonts w:eastAsia="Source Sans Pro"/>
        </w:rPr>
      </w:pPr>
      <w:bookmarkStart w:id="39" w:name="_Toc171508449"/>
      <w:r w:rsidRPr="00946735">
        <w:rPr>
          <w:rFonts w:eastAsia="Source Sans Pro"/>
        </w:rPr>
        <w:t>Business Exceptions</w:t>
      </w:r>
      <w:bookmarkEnd w:id="39"/>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A52534">
        <w:trPr>
          <w:cantSplit/>
        </w:trPr>
        <w:tc>
          <w:tcPr>
            <w:tcW w:w="1986" w:type="dxa"/>
            <w:tcBorders>
              <w:top w:val="nil"/>
            </w:tcBorders>
            <w:shd w:val="clear" w:color="auto" w:fill="auto"/>
          </w:tcPr>
          <w:p w14:paraId="7FEAC616" w14:textId="2A29BD3D" w:rsidR="00946735" w:rsidRPr="00A52534" w:rsidRDefault="00831441" w:rsidP="00831441">
            <w:pPr>
              <w:pStyle w:val="NTTTableBodyText"/>
              <w:jc w:val="center"/>
              <w:rPr>
                <w:color w:val="auto"/>
              </w:rPr>
            </w:pPr>
            <w:r w:rsidRPr="00831441">
              <w:rPr>
                <w:color w:val="auto"/>
              </w:rPr>
              <w:t>InvalidDataException</w:t>
            </w:r>
          </w:p>
        </w:tc>
        <w:tc>
          <w:tcPr>
            <w:tcW w:w="1480" w:type="dxa"/>
            <w:tcBorders>
              <w:top w:val="nil"/>
            </w:tcBorders>
            <w:shd w:val="clear" w:color="auto" w:fill="auto"/>
          </w:tcPr>
          <w:p w14:paraId="6CBE49A1" w14:textId="0E36C8FC" w:rsidR="00946735" w:rsidRPr="00A52534" w:rsidRDefault="00831441" w:rsidP="00A52534">
            <w:pPr>
              <w:pStyle w:val="NTTTableBodyText"/>
              <w:rPr>
                <w:color w:val="auto"/>
              </w:rPr>
            </w:pPr>
            <w:r w:rsidRPr="00831441">
              <w:rPr>
                <w:color w:val="auto"/>
              </w:rPr>
              <w:t>Data Submission</w:t>
            </w:r>
          </w:p>
        </w:tc>
        <w:tc>
          <w:tcPr>
            <w:tcW w:w="1607" w:type="dxa"/>
            <w:tcBorders>
              <w:top w:val="nil"/>
            </w:tcBorders>
            <w:shd w:val="clear" w:color="auto" w:fill="auto"/>
          </w:tcPr>
          <w:p w14:paraId="5B1B8745" w14:textId="11EC9317" w:rsidR="00946735" w:rsidRPr="00A52534" w:rsidRDefault="00831441" w:rsidP="00A52534">
            <w:pPr>
              <w:pStyle w:val="NTTTableBodyText"/>
              <w:rPr>
                <w:rFonts w:ascii="Open Sans" w:eastAsia="Open Sans" w:hAnsi="Open Sans" w:cs="Open Sans"/>
                <w:color w:val="auto"/>
              </w:rPr>
            </w:pPr>
            <w:r w:rsidRPr="00831441">
              <w:rPr>
                <w:rFonts w:ascii="Open Sans" w:eastAsia="Open Sans" w:hAnsi="Open Sans" w:cs="Open Sans"/>
                <w:color w:val="auto"/>
              </w:rPr>
              <w:t>Invalid Data Format</w:t>
            </w:r>
          </w:p>
        </w:tc>
        <w:tc>
          <w:tcPr>
            <w:tcW w:w="3260" w:type="dxa"/>
            <w:tcBorders>
              <w:top w:val="nil"/>
            </w:tcBorders>
            <w:shd w:val="clear" w:color="auto" w:fill="auto"/>
          </w:tcPr>
          <w:p w14:paraId="4A213D8E" w14:textId="61327290" w:rsidR="00946735" w:rsidRPr="00A52534" w:rsidRDefault="00831441" w:rsidP="00A52534">
            <w:pPr>
              <w:pStyle w:val="NTTTableBodyText"/>
              <w:rPr>
                <w:color w:val="auto"/>
              </w:rPr>
            </w:pPr>
            <w:r w:rsidRPr="00831441">
              <w:rPr>
                <w:color w:val="auto"/>
              </w:rPr>
              <w:t>Reject data and notify the user</w:t>
            </w:r>
          </w:p>
        </w:tc>
      </w:tr>
    </w:tbl>
    <w:p w14:paraId="474BF7A0" w14:textId="47CC97F4" w:rsidR="00946735" w:rsidRPr="00A52534" w:rsidRDefault="00946735" w:rsidP="00A52534">
      <w:pPr>
        <w:pStyle w:val="Caption"/>
        <w:jc w:val="center"/>
        <w:rPr>
          <w:color w:val="auto"/>
        </w:rPr>
      </w:pPr>
      <w:bookmarkStart w:id="40"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0"/>
    </w:p>
    <w:p w14:paraId="48678BAB" w14:textId="77777777" w:rsidR="00946735" w:rsidRPr="00EC64E7" w:rsidRDefault="00946735" w:rsidP="00946735">
      <w:pPr>
        <w:pStyle w:val="Heading2"/>
      </w:pPr>
      <w:bookmarkStart w:id="41" w:name="_Toc171508450"/>
      <w:r>
        <w:t>Application Errors</w:t>
      </w:r>
      <w:bookmarkEnd w:id="41"/>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A52534">
        <w:trPr>
          <w:cantSplit/>
        </w:trPr>
        <w:tc>
          <w:tcPr>
            <w:tcW w:w="1986" w:type="dxa"/>
            <w:tcBorders>
              <w:top w:val="nil"/>
            </w:tcBorders>
            <w:shd w:val="clear" w:color="auto" w:fill="auto"/>
          </w:tcPr>
          <w:p w14:paraId="65834F38" w14:textId="536710BA" w:rsidR="00946735" w:rsidRPr="00A52534" w:rsidRDefault="00831441" w:rsidP="00A52534">
            <w:pPr>
              <w:pStyle w:val="NTTTableBodyText"/>
              <w:rPr>
                <w:color w:val="auto"/>
              </w:rPr>
            </w:pPr>
            <w:r w:rsidRPr="00831441">
              <w:rPr>
                <w:color w:val="auto"/>
              </w:rPr>
              <w:t>DatabaseConnectionError</w:t>
            </w:r>
          </w:p>
        </w:tc>
        <w:tc>
          <w:tcPr>
            <w:tcW w:w="1480" w:type="dxa"/>
            <w:tcBorders>
              <w:top w:val="nil"/>
            </w:tcBorders>
            <w:shd w:val="clear" w:color="auto" w:fill="auto"/>
          </w:tcPr>
          <w:p w14:paraId="798301AA" w14:textId="47C78B5F" w:rsidR="00946735" w:rsidRPr="00A52534" w:rsidRDefault="00831441" w:rsidP="00A52534">
            <w:pPr>
              <w:pStyle w:val="NTTTableBodyText"/>
              <w:rPr>
                <w:color w:val="auto"/>
              </w:rPr>
            </w:pPr>
            <w:r w:rsidRPr="00831441">
              <w:rPr>
                <w:color w:val="auto"/>
              </w:rPr>
              <w:t>Data Processing</w:t>
            </w:r>
          </w:p>
        </w:tc>
        <w:tc>
          <w:tcPr>
            <w:tcW w:w="1607" w:type="dxa"/>
            <w:tcBorders>
              <w:top w:val="nil"/>
            </w:tcBorders>
            <w:shd w:val="clear" w:color="auto" w:fill="auto"/>
          </w:tcPr>
          <w:p w14:paraId="31E3CD4C" w14:textId="3A2283B9" w:rsidR="00946735" w:rsidRPr="00A52534" w:rsidRDefault="00831441" w:rsidP="00A52534">
            <w:pPr>
              <w:pStyle w:val="NTTTableBodyText"/>
              <w:rPr>
                <w:rFonts w:ascii="Open Sans" w:eastAsia="Open Sans" w:hAnsi="Open Sans" w:cs="Open Sans"/>
                <w:color w:val="auto"/>
              </w:rPr>
            </w:pPr>
            <w:r w:rsidRPr="00831441">
              <w:rPr>
                <w:rFonts w:ascii="Open Sans" w:eastAsia="Open Sans" w:hAnsi="Open Sans" w:cs="Open Sans"/>
                <w:color w:val="auto"/>
              </w:rPr>
              <w:t>Connection Timeout</w:t>
            </w:r>
          </w:p>
        </w:tc>
        <w:tc>
          <w:tcPr>
            <w:tcW w:w="3260" w:type="dxa"/>
            <w:tcBorders>
              <w:top w:val="nil"/>
            </w:tcBorders>
            <w:shd w:val="clear" w:color="auto" w:fill="auto"/>
          </w:tcPr>
          <w:p w14:paraId="0B479DE0" w14:textId="7DE45D2E" w:rsidR="00946735" w:rsidRPr="00A52534" w:rsidRDefault="00831441" w:rsidP="00A52534">
            <w:pPr>
              <w:pStyle w:val="NTTTableBodyText"/>
              <w:rPr>
                <w:color w:val="auto"/>
              </w:rPr>
            </w:pPr>
            <w:r w:rsidRPr="00831441">
              <w:rPr>
                <w:color w:val="auto"/>
              </w:rPr>
              <w:t>Retry connection or notify the admin</w:t>
            </w:r>
          </w:p>
        </w:tc>
      </w:tr>
    </w:tbl>
    <w:p w14:paraId="376B0808" w14:textId="1148BA66" w:rsidR="00946735" w:rsidRPr="00A52534" w:rsidRDefault="00946735" w:rsidP="00946735">
      <w:pPr>
        <w:pStyle w:val="Caption"/>
        <w:jc w:val="center"/>
        <w:rPr>
          <w:color w:val="auto"/>
        </w:rPr>
      </w:pPr>
      <w:bookmarkStart w:id="42"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2"/>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3" w:name="_Toc138061467"/>
      <w:bookmarkStart w:id="44" w:name="_Toc163734489"/>
      <w:bookmarkStart w:id="45" w:name="_Toc171508451"/>
      <w:commentRangeStart w:id="46"/>
      <w:r>
        <w:lastRenderedPageBreak/>
        <w:t xml:space="preserve">Environment </w:t>
      </w:r>
      <w:r w:rsidRPr="00086F49">
        <w:t>Details</w:t>
      </w:r>
      <w:bookmarkEnd w:id="43"/>
      <w:bookmarkEnd w:id="44"/>
      <w:commentRangeEnd w:id="46"/>
      <w:r w:rsidR="009060FA">
        <w:rPr>
          <w:rStyle w:val="CommentReference"/>
          <w:rFonts w:ascii="Arial" w:hAnsi="Arial" w:cs="Times New Roman"/>
          <w:b w:val="0"/>
          <w:bCs w:val="0"/>
          <w:kern w:val="0"/>
        </w:rPr>
        <w:commentReference w:id="46"/>
      </w:r>
      <w:bookmarkEnd w:id="45"/>
    </w:p>
    <w:p w14:paraId="453A16D1" w14:textId="139428F3" w:rsidR="00946735" w:rsidRDefault="00946735" w:rsidP="00A52534">
      <w:pPr>
        <w:pStyle w:val="DDBodyText"/>
        <w:ind w:left="0"/>
        <w:jc w:val="both"/>
      </w:pPr>
      <w:bookmarkStart w:id="47"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41B81AE1" w:rsidR="00A52534" w:rsidRPr="00221771" w:rsidRDefault="00831441"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r w:rsidRPr="00831441">
              <w:rPr>
                <w:rFonts w:eastAsia="Arial Unicode MS"/>
              </w:rPr>
              <w:t>Yes</w:t>
            </w: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1B33A014" w:rsidR="00946735" w:rsidRPr="00221771" w:rsidRDefault="00831441" w:rsidP="00A52534">
            <w:pPr>
              <w:pStyle w:val="NTTTableBodyText"/>
              <w:cnfStyle w:val="000000000000" w:firstRow="0" w:lastRow="0" w:firstColumn="0" w:lastColumn="0" w:oddVBand="0" w:evenVBand="0" w:oddHBand="0" w:evenHBand="0" w:firstRowFirstColumn="0" w:firstRowLastColumn="0" w:lastRowFirstColumn="0" w:lastRowLastColumn="0"/>
            </w:pPr>
            <w:r w:rsidRPr="00831441">
              <w:t>ASP.NET Core, React, Node.js, UiPath</w:t>
            </w: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4313F505" w:rsidR="00A52534" w:rsidRPr="00221771" w:rsidRDefault="00831441"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r w:rsidRPr="00831441">
              <w:rPr>
                <w:rFonts w:eastAsia="Arial Unicode MS"/>
              </w:rPr>
              <w:t>Docker, Kubernetes, Azure/AWS</w:t>
            </w: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5DF1E480" w:rsidR="00946735" w:rsidRPr="00221771" w:rsidRDefault="00831441" w:rsidP="00A52534">
            <w:pPr>
              <w:pStyle w:val="NTTTableBodyText"/>
              <w:cnfStyle w:val="000000000000" w:firstRow="0" w:lastRow="0" w:firstColumn="0" w:lastColumn="0" w:oddVBand="0" w:evenVBand="0" w:oddHBand="0" w:evenHBand="0" w:firstRowFirstColumn="0" w:firstRowLastColumn="0" w:lastRowFirstColumn="0" w:lastRowLastColumn="0"/>
            </w:pPr>
            <w:r w:rsidRPr="00831441">
              <w:t>Yes</w:t>
            </w:r>
          </w:p>
        </w:tc>
      </w:tr>
    </w:tbl>
    <w:p w14:paraId="5DFF3C77" w14:textId="48CCE23B" w:rsidR="00946735" w:rsidRPr="00A52534" w:rsidRDefault="00946735" w:rsidP="00946735">
      <w:pPr>
        <w:pStyle w:val="Caption"/>
        <w:jc w:val="center"/>
        <w:rPr>
          <w:color w:val="auto"/>
        </w:rPr>
      </w:pPr>
      <w:bookmarkStart w:id="48" w:name="_Toc138061475"/>
      <w:bookmarkStart w:id="49"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48"/>
      <w:bookmarkEnd w:id="49"/>
    </w:p>
    <w:bookmarkEnd w:id="47"/>
    <w:p w14:paraId="23BF87A9" w14:textId="5AE1BB66" w:rsidR="00B37BFB" w:rsidRDefault="00B37BFB" w:rsidP="00946735">
      <w:pPr>
        <w:pStyle w:val="NTTBodyText"/>
      </w:pPr>
    </w:p>
    <w:p w14:paraId="20DF254D" w14:textId="5462A59E" w:rsidR="00946735" w:rsidRDefault="00B37BFB" w:rsidP="00B37BFB">
      <w:pPr>
        <w:tabs>
          <w:tab w:val="left" w:pos="1110"/>
        </w:tabs>
        <w:rPr>
          <w:lang w:val="en-GB"/>
        </w:rPr>
      </w:pPr>
      <w:r>
        <w:rPr>
          <w:lang w:val="en-GB"/>
        </w:rPr>
        <w:tab/>
      </w:r>
    </w:p>
    <w:p w14:paraId="67789010" w14:textId="123331F7" w:rsidR="00B37BFB" w:rsidRDefault="00B37BFB" w:rsidP="00B37BFB">
      <w:pPr>
        <w:pStyle w:val="Heading1"/>
        <w:rPr>
          <w:lang w:val="en-GB"/>
        </w:rPr>
      </w:pPr>
      <w:r w:rsidRPr="00B37BFB">
        <w:rPr>
          <w:lang w:val="en-GB"/>
        </w:rPr>
        <w:t>References</w:t>
      </w:r>
    </w:p>
    <w:p w14:paraId="58E84034" w14:textId="39D8A005" w:rsidR="00B37BFB" w:rsidRDefault="00B37BFB" w:rsidP="00B37BFB">
      <w:pPr>
        <w:tabs>
          <w:tab w:val="left" w:pos="1110"/>
        </w:tabs>
      </w:pPr>
      <w:r>
        <w:t>OpenAI. (2024) Explanation of Data Flow Diagram for NWU Tech Trends Solution. Retrieved from ChatGPT model, OpenAI.</w:t>
      </w:r>
    </w:p>
    <w:p w14:paraId="467FA3C7" w14:textId="34BC29C8" w:rsidR="00B37BFB" w:rsidRDefault="00B37BFB" w:rsidP="00B37BFB">
      <w:pPr>
        <w:tabs>
          <w:tab w:val="left" w:pos="1110"/>
        </w:tabs>
      </w:pPr>
      <w:r>
        <w:t xml:space="preserve">Liu, L., Bahrami, M., Park, J. and Chen, W.P., 2020. Web API search: discover Web API and Its endpoint with natural language queries. In </w:t>
      </w:r>
      <w:r>
        <w:rPr>
          <w:i/>
          <w:iCs/>
        </w:rPr>
        <w:t>Web Services–ICWS 2020: 27th International Conference, Held as Part of the Services Conference Federation, SCF 2020, Honolulu, HI, USA, September 18–20, 2020, Proceedings 27</w:t>
      </w:r>
      <w:r>
        <w:t xml:space="preserve"> (pp. 96-113). Springer International Publish</w:t>
      </w:r>
    </w:p>
    <w:p w14:paraId="46BBD74B" w14:textId="77777777" w:rsidR="00B37BFB" w:rsidRPr="00B37BFB" w:rsidRDefault="00B37BFB" w:rsidP="00B37BFB">
      <w:pPr>
        <w:spacing w:after="0" w:line="240" w:lineRule="auto"/>
        <w:jc w:val="left"/>
        <w:rPr>
          <w:rFonts w:cs="Arial"/>
          <w:sz w:val="24"/>
          <w:szCs w:val="24"/>
          <w:lang w:eastAsia="en-ZA"/>
        </w:rPr>
      </w:pPr>
      <w:r w:rsidRPr="00B37BFB">
        <w:rPr>
          <w:rFonts w:cs="Arial"/>
          <w:sz w:val="24"/>
          <w:szCs w:val="24"/>
          <w:lang w:eastAsia="en-ZA"/>
        </w:rPr>
        <w:t>Jiménez</w:t>
      </w:r>
      <w:r w:rsidRPr="00B37BFB">
        <w:rPr>
          <w:rFonts w:ascii="Cambria Math" w:hAnsi="Cambria Math" w:cs="Cambria Math"/>
          <w:sz w:val="24"/>
          <w:szCs w:val="24"/>
          <w:lang w:eastAsia="en-ZA"/>
        </w:rPr>
        <w:t>‐</w:t>
      </w:r>
      <w:r w:rsidRPr="00B37BFB">
        <w:rPr>
          <w:rFonts w:cs="Arial"/>
          <w:sz w:val="24"/>
          <w:szCs w:val="24"/>
          <w:lang w:eastAsia="en-ZA"/>
        </w:rPr>
        <w:t>Ramírez, A., Chacón</w:t>
      </w:r>
      <w:r w:rsidRPr="00B37BFB">
        <w:rPr>
          <w:rFonts w:ascii="Cambria Math" w:hAnsi="Cambria Math" w:cs="Cambria Math"/>
          <w:sz w:val="24"/>
          <w:szCs w:val="24"/>
          <w:lang w:eastAsia="en-ZA"/>
        </w:rPr>
        <w:t>‐</w:t>
      </w:r>
      <w:r w:rsidRPr="00B37BFB">
        <w:rPr>
          <w:rFonts w:cs="Arial"/>
          <w:sz w:val="24"/>
          <w:szCs w:val="24"/>
          <w:lang w:eastAsia="en-ZA"/>
        </w:rPr>
        <w:t xml:space="preserve">Montero, J., Wojdynsky, T. and González Enríquez, J., 2023. Automated testing in robotic process automation projects. </w:t>
      </w:r>
      <w:r w:rsidRPr="00B37BFB">
        <w:rPr>
          <w:rFonts w:cs="Arial"/>
          <w:i/>
          <w:iCs/>
          <w:sz w:val="24"/>
          <w:szCs w:val="24"/>
          <w:lang w:eastAsia="en-ZA"/>
        </w:rPr>
        <w:t>Journal of Software: Evolution and Process</w:t>
      </w:r>
      <w:r w:rsidRPr="00B37BFB">
        <w:rPr>
          <w:rFonts w:cs="Arial"/>
          <w:sz w:val="24"/>
          <w:szCs w:val="24"/>
          <w:lang w:eastAsia="en-ZA"/>
        </w:rPr>
        <w:t xml:space="preserve">, </w:t>
      </w:r>
      <w:r w:rsidRPr="00B37BFB">
        <w:rPr>
          <w:rFonts w:cs="Arial"/>
          <w:i/>
          <w:iCs/>
          <w:sz w:val="24"/>
          <w:szCs w:val="24"/>
          <w:lang w:eastAsia="en-ZA"/>
        </w:rPr>
        <w:t>35</w:t>
      </w:r>
      <w:r w:rsidRPr="00B37BFB">
        <w:rPr>
          <w:rFonts w:cs="Arial"/>
          <w:sz w:val="24"/>
          <w:szCs w:val="24"/>
          <w:lang w:eastAsia="en-ZA"/>
        </w:rPr>
        <w:t>(3), p.e2259.</w:t>
      </w:r>
    </w:p>
    <w:p w14:paraId="319BBC71" w14:textId="77777777" w:rsidR="00B37BFB" w:rsidRPr="00B37BFB" w:rsidRDefault="00B37BFB" w:rsidP="00B37BFB">
      <w:pPr>
        <w:tabs>
          <w:tab w:val="left" w:pos="1110"/>
        </w:tabs>
        <w:rPr>
          <w:rFonts w:cs="Arial"/>
          <w:b/>
          <w:sz w:val="24"/>
          <w:szCs w:val="24"/>
          <w:lang w:val="en-GB"/>
        </w:rPr>
      </w:pPr>
      <w:bookmarkStart w:id="50" w:name="_GoBack"/>
      <w:bookmarkEnd w:id="50"/>
    </w:p>
    <w:p w14:paraId="3FB42BB5" w14:textId="77777777" w:rsidR="00B37BFB" w:rsidRPr="00B37BFB" w:rsidRDefault="00B37BFB" w:rsidP="00B37BFB">
      <w:pPr>
        <w:tabs>
          <w:tab w:val="left" w:pos="1110"/>
        </w:tabs>
        <w:rPr>
          <w:lang w:val="en-GB"/>
        </w:rPr>
      </w:pPr>
    </w:p>
    <w:sectPr w:rsidR="00B37BFB" w:rsidRPr="00B37BFB">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0B087281" w14:textId="761F2B44" w:rsidR="00E96B25" w:rsidRDefault="00E96B25" w:rsidP="00E96B25">
      <w:pPr>
        <w:pStyle w:val="CommentText"/>
        <w:jc w:val="left"/>
      </w:pPr>
      <w:r>
        <w:rPr>
          <w:rStyle w:val="CommentReference"/>
        </w:rPr>
        <w:annotationRef/>
      </w:r>
      <w:r>
        <w:t>Update</w:t>
      </w:r>
    </w:p>
  </w:comment>
  <w:comment w:id="13" w:author="Author" w:initials="A">
    <w:p w14:paraId="5408446A" w14:textId="4CB25F31" w:rsidR="00946735" w:rsidRDefault="00946735" w:rsidP="00946735">
      <w:pPr>
        <w:pStyle w:val="CommentText"/>
      </w:pPr>
      <w:r>
        <w:rPr>
          <w:rStyle w:val="CommentReference"/>
        </w:rPr>
        <w:annotationRef/>
      </w:r>
      <w:r>
        <w:t>Insert context diagram</w:t>
      </w:r>
    </w:p>
  </w:comment>
  <w:comment w:id="19"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1"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29"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2"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36"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38"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46"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087281" w15:done="0"/>
  <w15:commentEx w15:paraId="5408446A" w15:done="0"/>
  <w15:commentEx w15:paraId="379DFB90"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69B43" w16cid:durableId="4404C2A1"/>
  <w16cid:commentId w16cid:paraId="0B087281" w16cid:durableId="729C6E30"/>
  <w16cid:commentId w16cid:paraId="5108A755" w16cid:durableId="601BB2E1"/>
  <w16cid:commentId w16cid:paraId="5408446A" w16cid:durableId="069C8DBB"/>
  <w16cid:commentId w16cid:paraId="379DFB90" w16cid:durableId="15CE6E3F"/>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E1A4C" w14:textId="77777777" w:rsidR="001621F2" w:rsidRDefault="001621F2">
      <w:pPr>
        <w:spacing w:after="0"/>
      </w:pPr>
      <w:r>
        <w:separator/>
      </w:r>
    </w:p>
  </w:endnote>
  <w:endnote w:type="continuationSeparator" w:id="0">
    <w:p w14:paraId="5F704118" w14:textId="77777777" w:rsidR="001621F2" w:rsidRDefault="001621F2">
      <w:pPr>
        <w:spacing w:after="0"/>
      </w:pPr>
      <w:r>
        <w:continuationSeparator/>
      </w:r>
    </w:p>
  </w:endnote>
  <w:endnote w:type="continuationNotice" w:id="1">
    <w:p w14:paraId="322D06D6" w14:textId="77777777" w:rsidR="001621F2" w:rsidRDefault="00162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Open Sans">
    <w:altName w:val="Segoe UI"/>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D80D" w14:textId="0F1A112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sidR="00A96E50">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E0837" w14:textId="77777777" w:rsidR="001621F2" w:rsidRDefault="001621F2">
      <w:pPr>
        <w:spacing w:after="0"/>
      </w:pPr>
      <w:r>
        <w:separator/>
      </w:r>
    </w:p>
  </w:footnote>
  <w:footnote w:type="continuationSeparator" w:id="0">
    <w:p w14:paraId="70BBFB9D" w14:textId="77777777" w:rsidR="001621F2" w:rsidRDefault="001621F2">
      <w:pPr>
        <w:spacing w:after="0"/>
      </w:pPr>
      <w:r>
        <w:continuationSeparator/>
      </w:r>
    </w:p>
  </w:footnote>
  <w:footnote w:type="continuationNotice" w:id="1">
    <w:p w14:paraId="70F65A64" w14:textId="77777777" w:rsidR="001621F2" w:rsidRDefault="001621F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EB14ADD"/>
    <w:multiLevelType w:val="hybridMultilevel"/>
    <w:tmpl w:val="AB0EC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5"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21F06"/>
    <w:multiLevelType w:val="multilevel"/>
    <w:tmpl w:val="9C0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E8460A1"/>
    <w:multiLevelType w:val="multilevel"/>
    <w:tmpl w:val="8A1C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30"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8"/>
  </w:num>
  <w:num w:numId="8">
    <w:abstractNumId w:val="28"/>
  </w:num>
  <w:num w:numId="9">
    <w:abstractNumId w:val="17"/>
  </w:num>
  <w:num w:numId="10">
    <w:abstractNumId w:val="31"/>
  </w:num>
  <w:num w:numId="11">
    <w:abstractNumId w:val="16"/>
  </w:num>
  <w:num w:numId="12">
    <w:abstractNumId w:val="9"/>
  </w:num>
  <w:num w:numId="13">
    <w:abstractNumId w:val="22"/>
  </w:num>
  <w:num w:numId="14">
    <w:abstractNumId w:val="21"/>
  </w:num>
  <w:num w:numId="15">
    <w:abstractNumId w:val="32"/>
  </w:num>
  <w:num w:numId="16">
    <w:abstractNumId w:val="10"/>
  </w:num>
  <w:num w:numId="17">
    <w:abstractNumId w:val="6"/>
  </w:num>
  <w:num w:numId="18">
    <w:abstractNumId w:val="29"/>
  </w:num>
  <w:num w:numId="19">
    <w:abstractNumId w:val="30"/>
  </w:num>
  <w:num w:numId="20">
    <w:abstractNumId w:val="18"/>
  </w:num>
  <w:num w:numId="21">
    <w:abstractNumId w:val="30"/>
    <w:lvlOverride w:ilvl="0">
      <w:startOverride w:val="1"/>
    </w:lvlOverride>
    <w:lvlOverride w:ilvl="1">
      <w:startOverride w:val="5"/>
    </w:lvlOverride>
  </w:num>
  <w:num w:numId="22">
    <w:abstractNumId w:val="27"/>
  </w:num>
  <w:num w:numId="23">
    <w:abstractNumId w:val="19"/>
  </w:num>
  <w:num w:numId="24">
    <w:abstractNumId w:val="24"/>
  </w:num>
  <w:num w:numId="25">
    <w:abstractNumId w:val="25"/>
  </w:num>
  <w:num w:numId="26">
    <w:abstractNumId w:val="33"/>
  </w:num>
  <w:num w:numId="27">
    <w:abstractNumId w:val="13"/>
  </w:num>
  <w:num w:numId="28">
    <w:abstractNumId w:val="7"/>
  </w:num>
  <w:num w:numId="29">
    <w:abstractNumId w:val="12"/>
  </w:num>
  <w:num w:numId="30">
    <w:abstractNumId w:val="26"/>
  </w:num>
  <w:num w:numId="31">
    <w:abstractNumId w:val="15"/>
  </w:num>
  <w:num w:numId="32">
    <w:abstractNumId w:val="14"/>
  </w:num>
  <w:num w:numId="33">
    <w:abstractNumId w:val="11"/>
  </w:num>
  <w:num w:numId="34">
    <w:abstractNumId w:val="23"/>
  </w:num>
  <w:num w:numId="3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ZA" w:vendorID="64" w:dllVersion="131078" w:nlCheck="1" w:checkStyle="0"/>
  <w:activeWritingStyle w:appName="MSWord" w:lang="en-GB" w:vendorID="64" w:dllVersion="131078" w:nlCheck="1" w:checkStyle="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41DC5"/>
    <w:rsid w:val="00151DC6"/>
    <w:rsid w:val="00155A0B"/>
    <w:rsid w:val="001621F2"/>
    <w:rsid w:val="00163D54"/>
    <w:rsid w:val="00166063"/>
    <w:rsid w:val="00190FD2"/>
    <w:rsid w:val="00194A42"/>
    <w:rsid w:val="001A22E2"/>
    <w:rsid w:val="001A415A"/>
    <w:rsid w:val="001B0235"/>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64FD3"/>
    <w:rsid w:val="00396116"/>
    <w:rsid w:val="003D67D6"/>
    <w:rsid w:val="003E205D"/>
    <w:rsid w:val="003E6AC5"/>
    <w:rsid w:val="003F62B4"/>
    <w:rsid w:val="00400B87"/>
    <w:rsid w:val="00401300"/>
    <w:rsid w:val="00405514"/>
    <w:rsid w:val="004356E8"/>
    <w:rsid w:val="00453780"/>
    <w:rsid w:val="00467C89"/>
    <w:rsid w:val="00483D50"/>
    <w:rsid w:val="00492C8E"/>
    <w:rsid w:val="004A4F0C"/>
    <w:rsid w:val="004B6C37"/>
    <w:rsid w:val="004B7773"/>
    <w:rsid w:val="004C1A47"/>
    <w:rsid w:val="004C1FE6"/>
    <w:rsid w:val="004C7B7A"/>
    <w:rsid w:val="00503580"/>
    <w:rsid w:val="0051073C"/>
    <w:rsid w:val="0051443D"/>
    <w:rsid w:val="00514C80"/>
    <w:rsid w:val="0052368E"/>
    <w:rsid w:val="00567FDB"/>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F2FDE"/>
    <w:rsid w:val="007F32A3"/>
    <w:rsid w:val="0081138F"/>
    <w:rsid w:val="00812141"/>
    <w:rsid w:val="008150F8"/>
    <w:rsid w:val="00816D0B"/>
    <w:rsid w:val="008206D7"/>
    <w:rsid w:val="00831441"/>
    <w:rsid w:val="00863865"/>
    <w:rsid w:val="008A6681"/>
    <w:rsid w:val="008B35A2"/>
    <w:rsid w:val="008D44D2"/>
    <w:rsid w:val="008D5C74"/>
    <w:rsid w:val="008D7833"/>
    <w:rsid w:val="008E3FF4"/>
    <w:rsid w:val="009052BC"/>
    <w:rsid w:val="009060FA"/>
    <w:rsid w:val="00943BA5"/>
    <w:rsid w:val="00946735"/>
    <w:rsid w:val="00957A0C"/>
    <w:rsid w:val="00961F76"/>
    <w:rsid w:val="00981587"/>
    <w:rsid w:val="00996873"/>
    <w:rsid w:val="009A05CF"/>
    <w:rsid w:val="009A6FF2"/>
    <w:rsid w:val="009C2BFB"/>
    <w:rsid w:val="009D16CC"/>
    <w:rsid w:val="009D2929"/>
    <w:rsid w:val="00A02770"/>
    <w:rsid w:val="00A07D39"/>
    <w:rsid w:val="00A1605C"/>
    <w:rsid w:val="00A41B72"/>
    <w:rsid w:val="00A52534"/>
    <w:rsid w:val="00A5363E"/>
    <w:rsid w:val="00A81F41"/>
    <w:rsid w:val="00A9388C"/>
    <w:rsid w:val="00A96E50"/>
    <w:rsid w:val="00AA3F78"/>
    <w:rsid w:val="00AB1E9D"/>
    <w:rsid w:val="00AB2786"/>
    <w:rsid w:val="00AC2996"/>
    <w:rsid w:val="00AD29CF"/>
    <w:rsid w:val="00B021D1"/>
    <w:rsid w:val="00B02446"/>
    <w:rsid w:val="00B03995"/>
    <w:rsid w:val="00B126E0"/>
    <w:rsid w:val="00B20428"/>
    <w:rsid w:val="00B37BFB"/>
    <w:rsid w:val="00B4403D"/>
    <w:rsid w:val="00B74AB2"/>
    <w:rsid w:val="00B80CD6"/>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7D4E"/>
    <w:rsid w:val="00E00296"/>
    <w:rsid w:val="00E1087C"/>
    <w:rsid w:val="00E17627"/>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67A39"/>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720633869">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 w:id="1883319442">
      <w:bodyDiv w:val="1"/>
      <w:marLeft w:val="0"/>
      <w:marRight w:val="0"/>
      <w:marTop w:val="0"/>
      <w:marBottom w:val="0"/>
      <w:divBdr>
        <w:top w:val="none" w:sz="0" w:space="0" w:color="auto"/>
        <w:left w:val="none" w:sz="0" w:space="0" w:color="auto"/>
        <w:bottom w:val="none" w:sz="0" w:space="0" w:color="auto"/>
        <w:right w:val="none" w:sz="0" w:space="0" w:color="auto"/>
      </w:divBdr>
      <w:divsChild>
        <w:div w:id="294915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3.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4.xml><?xml version="1.0" encoding="utf-8"?>
<ds:datastoreItem xmlns:ds="http://schemas.openxmlformats.org/officeDocument/2006/customXml" ds:itemID="{FF4C994B-2D61-4800-9ED9-9C09729A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2024-07-29T11:45:00Z</dcterms:created>
  <dcterms:modified xsi:type="dcterms:W3CDTF">2024-07-29T11:45:00Z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