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6AB7F" w14:textId="77777777" w:rsidR="004F346D" w:rsidRPr="009754AE" w:rsidRDefault="00493082" w:rsidP="00E70A19">
      <w:pPr>
        <w:pStyle w:val="Heading3"/>
      </w:pPr>
      <w:r w:rsidRPr="009754AE">
        <w:t xml:space="preserve">Public-use </w:t>
      </w:r>
      <w:r w:rsidR="003A046E" w:rsidRPr="009754AE">
        <w:t>M</w:t>
      </w:r>
      <w:r w:rsidRPr="009754AE">
        <w:t xml:space="preserve">icrodata </w:t>
      </w:r>
    </w:p>
    <w:p w14:paraId="4D0DE973" w14:textId="77777777" w:rsidR="009754AE" w:rsidRDefault="009754AE" w:rsidP="00BD2F90">
      <w:pPr>
        <w:rPr>
          <w:sz w:val="24"/>
          <w:szCs w:val="24"/>
        </w:rPr>
      </w:pPr>
      <w:bookmarkStart w:id="0" w:name="_GoBack"/>
      <w:bookmarkEnd w:id="0"/>
    </w:p>
    <w:p w14:paraId="06B40180" w14:textId="1BD375D6" w:rsidR="005D6031" w:rsidRPr="00B903B3" w:rsidRDefault="00B903B3" w:rsidP="00CC3D48">
      <w:pPr>
        <w:rPr>
          <w:i/>
        </w:rPr>
      </w:pPr>
      <w:r>
        <w:t>[</w:t>
      </w:r>
      <w:r w:rsidR="00CC3D48" w:rsidRPr="00B903B3">
        <w:rPr>
          <w:i/>
        </w:rPr>
        <w:t>The public-use data may require certain perturbations in order to ensure respondent privacy:</w:t>
      </w:r>
    </w:p>
    <w:p w14:paraId="42AA30D1" w14:textId="77777777" w:rsidR="00CC3D48" w:rsidRPr="00B903B3" w:rsidRDefault="00CC3D48" w:rsidP="00CC3D48">
      <w:pPr>
        <w:pStyle w:val="ListParagraph"/>
        <w:numPr>
          <w:ilvl w:val="0"/>
          <w:numId w:val="4"/>
        </w:numPr>
        <w:rPr>
          <w:i/>
        </w:rPr>
      </w:pPr>
      <w:r w:rsidRPr="00B903B3">
        <w:rPr>
          <w:i/>
        </w:rPr>
        <w:t>Top and bottom-coding of variable when outliers can be a source for disclosure risk;</w:t>
      </w:r>
    </w:p>
    <w:p w14:paraId="161F86F0" w14:textId="77777777" w:rsidR="00CC3D48" w:rsidRPr="00B903B3" w:rsidRDefault="00CC3D48" w:rsidP="00CC3D48">
      <w:pPr>
        <w:pStyle w:val="ListParagraph"/>
        <w:numPr>
          <w:ilvl w:val="0"/>
          <w:numId w:val="4"/>
        </w:numPr>
        <w:rPr>
          <w:i/>
        </w:rPr>
      </w:pPr>
      <w:r w:rsidRPr="00B903B3">
        <w:rPr>
          <w:i/>
        </w:rPr>
        <w:t>Variable suppression and variable collapsing – particularly of PII data. Certain variables, such as RACE, for example, may not include all of the breakouts of race, but only include the collapsed version;</w:t>
      </w:r>
    </w:p>
    <w:p w14:paraId="528863D4" w14:textId="77777777" w:rsidR="00CC3D48" w:rsidRPr="00B903B3" w:rsidRDefault="00CC3D48" w:rsidP="00CC3D48">
      <w:pPr>
        <w:pStyle w:val="ListParagraph"/>
        <w:numPr>
          <w:ilvl w:val="0"/>
          <w:numId w:val="4"/>
        </w:numPr>
        <w:rPr>
          <w:i/>
        </w:rPr>
      </w:pPr>
      <w:r w:rsidRPr="00B903B3">
        <w:rPr>
          <w:i/>
        </w:rPr>
        <w:t>Entire files may be suppressed – particularly when the geographic area is known.</w:t>
      </w:r>
    </w:p>
    <w:p w14:paraId="556A9029" w14:textId="77777777" w:rsidR="00CC3D48" w:rsidRPr="00EA0649" w:rsidRDefault="00CC3D48" w:rsidP="00CC3D48">
      <w:pPr>
        <w:rPr>
          <w:i/>
        </w:rPr>
      </w:pPr>
      <w:r w:rsidRPr="00B903B3">
        <w:rPr>
          <w:i/>
        </w:rPr>
        <w:t>If an external public file exists that contains variables found in the survey data, it is necessary to analyze these data</w:t>
      </w:r>
      <w:r w:rsidR="00830C85" w:rsidRPr="00B903B3">
        <w:rPr>
          <w:i/>
        </w:rPr>
        <w:t xml:space="preserve"> via probabilistic matching</w:t>
      </w:r>
      <w:r w:rsidRPr="00B903B3">
        <w:rPr>
          <w:i/>
        </w:rPr>
        <w:t xml:space="preserve"> to determine whether a potential disclosure risk exists. This is normally conducted using approved probabilistic matching such as FRIL</w:t>
      </w:r>
      <w:r w:rsidRPr="00EA0649">
        <w:rPr>
          <w:i/>
        </w:rPr>
        <w:t>.</w:t>
      </w:r>
    </w:p>
    <w:p w14:paraId="74294E0E" w14:textId="77777777" w:rsidR="00CC3D48" w:rsidRPr="00EA0649" w:rsidRDefault="00CC3D48" w:rsidP="00CC3D48">
      <w:pPr>
        <w:rPr>
          <w:i/>
        </w:rPr>
      </w:pPr>
      <w:r w:rsidRPr="00EA0649">
        <w:rPr>
          <w:i/>
        </w:rPr>
        <w:t>Public-use data release can include:</w:t>
      </w:r>
    </w:p>
    <w:p w14:paraId="6FA47521" w14:textId="77777777" w:rsidR="00CC3D48" w:rsidRPr="00EA0649" w:rsidRDefault="00CC3D48" w:rsidP="00CC3D48">
      <w:pPr>
        <w:pStyle w:val="ListParagraph"/>
        <w:numPr>
          <w:ilvl w:val="0"/>
          <w:numId w:val="4"/>
        </w:numPr>
        <w:rPr>
          <w:i/>
        </w:rPr>
      </w:pPr>
      <w:r w:rsidRPr="00EA0649">
        <w:rPr>
          <w:i/>
        </w:rPr>
        <w:t>Microdata;</w:t>
      </w:r>
    </w:p>
    <w:p w14:paraId="132E718C" w14:textId="77777777" w:rsidR="00CC3D48" w:rsidRPr="00EA0649" w:rsidRDefault="00CC3D48" w:rsidP="00CC3D48">
      <w:pPr>
        <w:pStyle w:val="ListParagraph"/>
        <w:numPr>
          <w:ilvl w:val="0"/>
          <w:numId w:val="4"/>
        </w:numPr>
        <w:rPr>
          <w:i/>
        </w:rPr>
      </w:pPr>
      <w:r w:rsidRPr="00EA0649">
        <w:rPr>
          <w:i/>
        </w:rPr>
        <w:t>Data access via an approved data tool ;</w:t>
      </w:r>
    </w:p>
    <w:p w14:paraId="77C6B364" w14:textId="77777777" w:rsidR="00CC3D48" w:rsidRPr="00EA0649" w:rsidRDefault="00CC3D48" w:rsidP="00CC3D48">
      <w:pPr>
        <w:pStyle w:val="ListParagraph"/>
        <w:numPr>
          <w:ilvl w:val="0"/>
          <w:numId w:val="4"/>
        </w:numPr>
        <w:rPr>
          <w:i/>
        </w:rPr>
      </w:pPr>
      <w:r w:rsidRPr="00EA0649">
        <w:rPr>
          <w:i/>
        </w:rPr>
        <w:t>Tables and reports generated from the study data.</w:t>
      </w:r>
    </w:p>
    <w:p w14:paraId="1CDCF1A0" w14:textId="77777777" w:rsidR="00CC3D48" w:rsidRPr="00EA0649" w:rsidRDefault="00CC3D48" w:rsidP="00CC3D48">
      <w:pPr>
        <w:rPr>
          <w:i/>
        </w:rPr>
      </w:pPr>
      <w:r w:rsidRPr="00EA0649">
        <w:rPr>
          <w:i/>
        </w:rPr>
        <w:t xml:space="preserve">Unless the requirement is waived by the DRB, all survey data files from the study must undergo random data swapping. </w:t>
      </w:r>
      <w:proofErr w:type="spellStart"/>
      <w:r w:rsidRPr="00B903B3">
        <w:rPr>
          <w:i/>
        </w:rPr>
        <w:t>DataSwap</w:t>
      </w:r>
      <w:proofErr w:type="spellEnd"/>
      <w:r w:rsidRPr="00EA0649">
        <w:rPr>
          <w:i/>
        </w:rPr>
        <w:t xml:space="preserve"> is the approved software for conducting this procedure.</w:t>
      </w:r>
    </w:p>
    <w:p w14:paraId="632E48FC" w14:textId="77777777" w:rsidR="00CC3D48" w:rsidRPr="00EA0649" w:rsidRDefault="00CC3D48" w:rsidP="00CC3D48">
      <w:pPr>
        <w:rPr>
          <w:b/>
          <w:i/>
        </w:rPr>
      </w:pPr>
      <w:r w:rsidRPr="00EA0649">
        <w:rPr>
          <w:b/>
          <w:i/>
        </w:rPr>
        <w:t>If Both Restricted-use and Public-use Microdata Dissemination:</w:t>
      </w:r>
    </w:p>
    <w:p w14:paraId="01B2DECA" w14:textId="01DE4A44" w:rsidR="00CC3D48" w:rsidRPr="00EA0649" w:rsidRDefault="00CC3D48" w:rsidP="00CC3D48">
      <w:pPr>
        <w:rPr>
          <w:i/>
        </w:rPr>
      </w:pPr>
      <w:r w:rsidRPr="00EA0649">
        <w:rPr>
          <w:i/>
        </w:rPr>
        <w:t xml:space="preserve">Please refer to the treatment of </w:t>
      </w:r>
      <w:r w:rsidR="00B929FF">
        <w:rPr>
          <w:i/>
        </w:rPr>
        <w:t>restricted</w:t>
      </w:r>
      <w:r w:rsidRPr="00EA0649">
        <w:rPr>
          <w:i/>
        </w:rPr>
        <w:t xml:space="preserve">-use microdata. The </w:t>
      </w:r>
      <w:r w:rsidR="00B929FF">
        <w:rPr>
          <w:i/>
        </w:rPr>
        <w:t>public</w:t>
      </w:r>
      <w:r w:rsidRPr="00EA0649">
        <w:rPr>
          <w:i/>
        </w:rPr>
        <w:t xml:space="preserve">-use data are based on the </w:t>
      </w:r>
      <w:r w:rsidR="00B929FF">
        <w:rPr>
          <w:i/>
        </w:rPr>
        <w:t>restri</w:t>
      </w:r>
      <w:r w:rsidR="00B929FF" w:rsidRPr="00EA0649">
        <w:rPr>
          <w:i/>
        </w:rPr>
        <w:t>c</w:t>
      </w:r>
      <w:r w:rsidR="00B929FF">
        <w:rPr>
          <w:i/>
        </w:rPr>
        <w:t>ted</w:t>
      </w:r>
      <w:r w:rsidRPr="00EA0649">
        <w:rPr>
          <w:i/>
        </w:rPr>
        <w:t>-use data that have undergone the SDC measures. The comparable variables between the two files must match for two reasons: (1) consistency in analysis; and, (2) differences could provide clues to users regarding SDC procedures.</w:t>
      </w:r>
    </w:p>
    <w:p w14:paraId="4619ACCC" w14:textId="77777777" w:rsidR="00CC3D48" w:rsidRPr="00EA0649" w:rsidRDefault="00CC3D48" w:rsidP="004F346D">
      <w:pPr>
        <w:rPr>
          <w:b/>
          <w:i/>
        </w:rPr>
      </w:pPr>
      <w:r w:rsidRPr="00EA0649">
        <w:rPr>
          <w:b/>
          <w:i/>
        </w:rPr>
        <w:t>If Public-use Only Dissemination</w:t>
      </w:r>
    </w:p>
    <w:p w14:paraId="69E4D761" w14:textId="77777777" w:rsidR="00975BE4" w:rsidRDefault="00BC54D7" w:rsidP="004C206B">
      <w:pPr>
        <w:rPr>
          <w:i/>
        </w:rPr>
      </w:pPr>
      <w:r w:rsidRPr="00EA0649">
        <w:rPr>
          <w:i/>
        </w:rPr>
        <w:t>When a data release is public-use only, it assumes that there is no intention of providing any audience additional identifiers reserved for restricted-use.</w:t>
      </w:r>
      <w:r w:rsidR="00636955" w:rsidRPr="00EA0649">
        <w:rPr>
          <w:i/>
        </w:rPr>
        <w:t xml:space="preserve"> </w:t>
      </w:r>
    </w:p>
    <w:p w14:paraId="0AD3B51D" w14:textId="77777777" w:rsidR="00975BE4" w:rsidRPr="00A51D28" w:rsidRDefault="00975BE4" w:rsidP="00975BE4">
      <w:pPr>
        <w:rPr>
          <w:i/>
        </w:rPr>
      </w:pPr>
      <w:r w:rsidRPr="002A2615">
        <w:rPr>
          <w:b/>
          <w:bCs/>
          <w:i/>
        </w:rPr>
        <w:t>STANDARD 4-2-8:</w:t>
      </w:r>
      <w:r w:rsidRPr="002A2615">
        <w:rPr>
          <w:i/>
        </w:rPr>
        <w:t xml:space="preserve"> For </w:t>
      </w:r>
      <w:hyperlink r:id="rId5" w:anchor="public-file" w:history="1">
        <w:r w:rsidRPr="002A2615">
          <w:rPr>
            <w:rStyle w:val="Hyperlink"/>
            <w:i/>
          </w:rPr>
          <w:t>public-use data files</w:t>
        </w:r>
      </w:hyperlink>
      <w:r w:rsidRPr="002A2615">
        <w:rPr>
          <w:i/>
        </w:rPr>
        <w:t xml:space="preserve">, NCES minimizes the possibility of a user matching outliers or unique cases on the file with external (or auxiliary) data sources. Because public-use files allow direct access to individual records, perturbation and </w:t>
      </w:r>
      <w:hyperlink r:id="rId6" w:anchor="coarsening" w:history="1">
        <w:r w:rsidRPr="002A2615">
          <w:rPr>
            <w:rStyle w:val="Hyperlink"/>
            <w:i/>
          </w:rPr>
          <w:t>coarsening disclosure limitation techniques</w:t>
        </w:r>
      </w:hyperlink>
      <w:r w:rsidRPr="002A2615">
        <w:rPr>
          <w:i/>
        </w:rPr>
        <w:t xml:space="preserve"> may both be required. The </w:t>
      </w:r>
      <w:hyperlink r:id="rId7" w:anchor="perturbation" w:history="1">
        <w:r w:rsidRPr="002A2615">
          <w:rPr>
            <w:rStyle w:val="Hyperlink"/>
            <w:i/>
          </w:rPr>
          <w:t>perturbation disclosure limitation techniques</w:t>
        </w:r>
      </w:hyperlink>
      <w:r w:rsidRPr="002A2615">
        <w:rPr>
          <w:i/>
        </w:rPr>
        <w:t xml:space="preserve"> by definition, include the techniques applied in a </w:t>
      </w:r>
      <w:hyperlink r:id="rId8" w:anchor="c-edits" w:history="1">
        <w:r w:rsidRPr="002A2615">
          <w:rPr>
            <w:rStyle w:val="Hyperlink"/>
            <w:i/>
          </w:rPr>
          <w:t>confidentiality edit</w:t>
        </w:r>
      </w:hyperlink>
      <w:r w:rsidRPr="002A2615">
        <w:rPr>
          <w:i/>
        </w:rPr>
        <w:t xml:space="preserve"> (if one is performed) and may include additional perturbation disclosure limitation techniques as well.</w:t>
      </w:r>
    </w:p>
    <w:p w14:paraId="76D7D8EC" w14:textId="77777777" w:rsidR="00975BE4" w:rsidRPr="00A51D28" w:rsidRDefault="00975BE4" w:rsidP="00975BE4">
      <w:pPr>
        <w:rPr>
          <w:i/>
        </w:rPr>
      </w:pPr>
      <w:r w:rsidRPr="00A51D28">
        <w:rPr>
          <w:b/>
          <w:bCs/>
          <w:i/>
        </w:rPr>
        <w:t>Table. Methods for Protecting Individually Identifiable Data</w:t>
      </w:r>
    </w:p>
    <w:tbl>
      <w:tblPr>
        <w:tblW w:w="6000" w:type="dxa"/>
        <w:jc w:val="center"/>
        <w:tblCellSpacing w:w="0" w:type="dxa"/>
        <w:tblBorders>
          <w:top w:val="outset" w:sz="6" w:space="0" w:color="003366"/>
          <w:left w:val="outset" w:sz="6" w:space="0" w:color="003366"/>
          <w:bottom w:val="outset" w:sz="6" w:space="0" w:color="003366"/>
          <w:right w:val="outset" w:sz="6" w:space="0" w:color="003366"/>
        </w:tblBorders>
        <w:tblCellMar>
          <w:top w:w="60" w:type="dxa"/>
          <w:left w:w="60" w:type="dxa"/>
          <w:bottom w:w="60" w:type="dxa"/>
          <w:right w:w="60" w:type="dxa"/>
        </w:tblCellMar>
        <w:tblLook w:val="04A0" w:firstRow="1" w:lastRow="0" w:firstColumn="1" w:lastColumn="0" w:noHBand="0" w:noVBand="1"/>
      </w:tblPr>
      <w:tblGrid>
        <w:gridCol w:w="2820"/>
        <w:gridCol w:w="1695"/>
        <w:gridCol w:w="1485"/>
      </w:tblGrid>
      <w:tr w:rsidR="00975BE4" w:rsidRPr="00BB281F" w14:paraId="6A7044C4" w14:textId="77777777" w:rsidTr="00E15F18">
        <w:trPr>
          <w:tblCellSpacing w:w="0" w:type="dxa"/>
          <w:jc w:val="center"/>
        </w:trPr>
        <w:tc>
          <w:tcPr>
            <w:tcW w:w="0" w:type="auto"/>
            <w:vMerge w:val="restart"/>
            <w:tcBorders>
              <w:top w:val="outset" w:sz="6" w:space="0" w:color="003366"/>
              <w:left w:val="outset" w:sz="6" w:space="0" w:color="003366"/>
              <w:bottom w:val="outset" w:sz="6" w:space="0" w:color="003366"/>
              <w:right w:val="outset" w:sz="6" w:space="0" w:color="003366"/>
            </w:tcBorders>
            <w:hideMark/>
          </w:tcPr>
          <w:p w14:paraId="51A9C933" w14:textId="77777777" w:rsidR="00975BE4" w:rsidRPr="00A51D28" w:rsidRDefault="00975BE4" w:rsidP="00E15F18">
            <w:pPr>
              <w:rPr>
                <w:b/>
                <w:bCs/>
                <w:i/>
              </w:rPr>
            </w:pPr>
            <w:r w:rsidRPr="00A51D28">
              <w:rPr>
                <w:b/>
                <w:bCs/>
                <w:i/>
              </w:rPr>
              <w:lastRenderedPageBreak/>
              <w:t>Type of Protection</w:t>
            </w:r>
          </w:p>
        </w:tc>
        <w:tc>
          <w:tcPr>
            <w:tcW w:w="0" w:type="auto"/>
            <w:gridSpan w:val="2"/>
            <w:tcBorders>
              <w:top w:val="outset" w:sz="6" w:space="0" w:color="003366"/>
              <w:left w:val="outset" w:sz="6" w:space="0" w:color="003366"/>
              <w:bottom w:val="outset" w:sz="6" w:space="0" w:color="003366"/>
              <w:right w:val="outset" w:sz="6" w:space="0" w:color="003366"/>
            </w:tcBorders>
            <w:vAlign w:val="center"/>
            <w:hideMark/>
          </w:tcPr>
          <w:p w14:paraId="79987FEB" w14:textId="77777777" w:rsidR="00975BE4" w:rsidRPr="00A51D28" w:rsidRDefault="00975BE4" w:rsidP="00E15F18">
            <w:pPr>
              <w:rPr>
                <w:b/>
                <w:bCs/>
                <w:i/>
              </w:rPr>
            </w:pPr>
            <w:r w:rsidRPr="00A51D28">
              <w:rPr>
                <w:b/>
                <w:bCs/>
                <w:i/>
              </w:rPr>
              <w:t>Methods</w:t>
            </w:r>
          </w:p>
        </w:tc>
      </w:tr>
      <w:tr w:rsidR="00975BE4" w:rsidRPr="00BB281F" w14:paraId="15905527" w14:textId="77777777" w:rsidTr="00E15F18">
        <w:trPr>
          <w:tblCellSpacing w:w="0" w:type="dxa"/>
          <w:jc w:val="center"/>
        </w:trPr>
        <w:tc>
          <w:tcPr>
            <w:tcW w:w="0" w:type="auto"/>
            <w:vMerge/>
            <w:tcBorders>
              <w:top w:val="outset" w:sz="6" w:space="0" w:color="003366"/>
              <w:left w:val="outset" w:sz="6" w:space="0" w:color="003366"/>
              <w:bottom w:val="outset" w:sz="6" w:space="0" w:color="003366"/>
              <w:right w:val="outset" w:sz="6" w:space="0" w:color="003366"/>
            </w:tcBorders>
            <w:vAlign w:val="center"/>
            <w:hideMark/>
          </w:tcPr>
          <w:p w14:paraId="700B10B5" w14:textId="77777777" w:rsidR="00975BE4" w:rsidRPr="00E15F18" w:rsidRDefault="00975BE4" w:rsidP="00E15F18">
            <w:pPr>
              <w:rPr>
                <w:b/>
                <w:bCs/>
                <w:i/>
              </w:rPr>
            </w:pPr>
          </w:p>
        </w:tc>
        <w:tc>
          <w:tcPr>
            <w:tcW w:w="0" w:type="auto"/>
            <w:tcBorders>
              <w:top w:val="outset" w:sz="6" w:space="0" w:color="003366"/>
              <w:left w:val="outset" w:sz="6" w:space="0" w:color="003366"/>
              <w:bottom w:val="outset" w:sz="6" w:space="0" w:color="003366"/>
              <w:right w:val="outset" w:sz="6" w:space="0" w:color="003366"/>
            </w:tcBorders>
            <w:vAlign w:val="center"/>
            <w:hideMark/>
          </w:tcPr>
          <w:p w14:paraId="738CD31B" w14:textId="77777777" w:rsidR="00975BE4" w:rsidRPr="00E15F18" w:rsidRDefault="00975BE4" w:rsidP="00E15F18">
            <w:pPr>
              <w:rPr>
                <w:b/>
                <w:bCs/>
                <w:i/>
              </w:rPr>
            </w:pPr>
            <w:r w:rsidRPr="00E15F18">
              <w:rPr>
                <w:b/>
                <w:bCs/>
                <w:i/>
              </w:rPr>
              <w:t>Perturbation</w:t>
            </w:r>
          </w:p>
        </w:tc>
        <w:tc>
          <w:tcPr>
            <w:tcW w:w="0" w:type="auto"/>
            <w:tcBorders>
              <w:top w:val="outset" w:sz="6" w:space="0" w:color="003366"/>
              <w:left w:val="outset" w:sz="6" w:space="0" w:color="003366"/>
              <w:bottom w:val="outset" w:sz="6" w:space="0" w:color="003366"/>
              <w:right w:val="outset" w:sz="6" w:space="0" w:color="003366"/>
            </w:tcBorders>
            <w:vAlign w:val="center"/>
            <w:hideMark/>
          </w:tcPr>
          <w:p w14:paraId="7C8BAD9D" w14:textId="77777777" w:rsidR="00975BE4" w:rsidRPr="00E15F18" w:rsidRDefault="00975BE4" w:rsidP="00E15F18">
            <w:pPr>
              <w:rPr>
                <w:b/>
                <w:bCs/>
                <w:i/>
              </w:rPr>
            </w:pPr>
            <w:r w:rsidRPr="00E15F18">
              <w:rPr>
                <w:b/>
                <w:bCs/>
                <w:i/>
              </w:rPr>
              <w:t>Coarsening</w:t>
            </w:r>
          </w:p>
        </w:tc>
      </w:tr>
      <w:tr w:rsidR="00975BE4" w:rsidRPr="00BB281F" w14:paraId="5E5B3917" w14:textId="77777777" w:rsidTr="00E15F18">
        <w:trPr>
          <w:tblCellSpacing w:w="0" w:type="dxa"/>
          <w:jc w:val="center"/>
        </w:trPr>
        <w:tc>
          <w:tcPr>
            <w:tcW w:w="2820" w:type="dxa"/>
            <w:tcBorders>
              <w:top w:val="outset" w:sz="6" w:space="0" w:color="003366"/>
              <w:left w:val="outset" w:sz="6" w:space="0" w:color="003366"/>
              <w:bottom w:val="outset" w:sz="6" w:space="0" w:color="003366"/>
              <w:right w:val="outset" w:sz="6" w:space="0" w:color="003366"/>
            </w:tcBorders>
            <w:vAlign w:val="center"/>
            <w:hideMark/>
          </w:tcPr>
          <w:p w14:paraId="5D1F690C" w14:textId="77777777" w:rsidR="00975BE4" w:rsidRPr="00E15F18" w:rsidRDefault="00975BE4" w:rsidP="00E15F18">
            <w:pPr>
              <w:rPr>
                <w:i/>
              </w:rPr>
            </w:pPr>
            <w:r w:rsidRPr="00E15F18">
              <w:rPr>
                <w:i/>
              </w:rPr>
              <w:t>Confidentiality Edit</w:t>
            </w:r>
          </w:p>
        </w:tc>
        <w:tc>
          <w:tcPr>
            <w:tcW w:w="1695" w:type="dxa"/>
            <w:tcBorders>
              <w:top w:val="outset" w:sz="6" w:space="0" w:color="003366"/>
              <w:left w:val="outset" w:sz="6" w:space="0" w:color="003366"/>
              <w:bottom w:val="outset" w:sz="6" w:space="0" w:color="003366"/>
              <w:right w:val="outset" w:sz="6" w:space="0" w:color="003366"/>
            </w:tcBorders>
            <w:hideMark/>
          </w:tcPr>
          <w:p w14:paraId="190DCDD3" w14:textId="77777777" w:rsidR="00975BE4" w:rsidRPr="00E15F18" w:rsidRDefault="00975BE4" w:rsidP="00E15F18">
            <w:pPr>
              <w:rPr>
                <w:i/>
              </w:rPr>
            </w:pPr>
            <w:r w:rsidRPr="00E15F18">
              <w:rPr>
                <w:i/>
              </w:rPr>
              <w:t>Yes</w:t>
            </w:r>
          </w:p>
        </w:tc>
        <w:tc>
          <w:tcPr>
            <w:tcW w:w="1485" w:type="dxa"/>
            <w:tcBorders>
              <w:top w:val="outset" w:sz="6" w:space="0" w:color="003366"/>
              <w:left w:val="outset" w:sz="6" w:space="0" w:color="003366"/>
              <w:bottom w:val="outset" w:sz="6" w:space="0" w:color="003366"/>
              <w:right w:val="outset" w:sz="6" w:space="0" w:color="003366"/>
            </w:tcBorders>
            <w:hideMark/>
          </w:tcPr>
          <w:p w14:paraId="419DD0AC" w14:textId="77777777" w:rsidR="00975BE4" w:rsidRPr="00E15F18" w:rsidRDefault="00975BE4" w:rsidP="00E15F18">
            <w:pPr>
              <w:rPr>
                <w:i/>
              </w:rPr>
            </w:pPr>
            <w:r w:rsidRPr="00E15F18">
              <w:rPr>
                <w:i/>
              </w:rPr>
              <w:t>Yes</w:t>
            </w:r>
          </w:p>
        </w:tc>
      </w:tr>
      <w:tr w:rsidR="00975BE4" w:rsidRPr="00BB281F" w14:paraId="5CA0555F" w14:textId="77777777" w:rsidTr="00E15F18">
        <w:trPr>
          <w:tblCellSpacing w:w="0" w:type="dxa"/>
          <w:jc w:val="center"/>
        </w:trPr>
        <w:tc>
          <w:tcPr>
            <w:tcW w:w="2820" w:type="dxa"/>
            <w:tcBorders>
              <w:top w:val="outset" w:sz="6" w:space="0" w:color="003366"/>
              <w:left w:val="outset" w:sz="6" w:space="0" w:color="003366"/>
              <w:bottom w:val="outset" w:sz="6" w:space="0" w:color="003366"/>
              <w:right w:val="outset" w:sz="6" w:space="0" w:color="003366"/>
            </w:tcBorders>
            <w:vAlign w:val="center"/>
            <w:hideMark/>
          </w:tcPr>
          <w:p w14:paraId="6CAA02B1" w14:textId="77777777" w:rsidR="00975BE4" w:rsidRPr="00E15F18" w:rsidRDefault="00975BE4" w:rsidP="00E15F18">
            <w:pPr>
              <w:rPr>
                <w:i/>
              </w:rPr>
            </w:pPr>
            <w:r w:rsidRPr="00E15F18">
              <w:rPr>
                <w:i/>
              </w:rPr>
              <w:t>Disclosure Limitation Techniques</w:t>
            </w:r>
          </w:p>
        </w:tc>
        <w:tc>
          <w:tcPr>
            <w:tcW w:w="1695" w:type="dxa"/>
            <w:tcBorders>
              <w:top w:val="outset" w:sz="6" w:space="0" w:color="003366"/>
              <w:left w:val="outset" w:sz="6" w:space="0" w:color="003366"/>
              <w:bottom w:val="outset" w:sz="6" w:space="0" w:color="003366"/>
              <w:right w:val="outset" w:sz="6" w:space="0" w:color="003366"/>
            </w:tcBorders>
            <w:hideMark/>
          </w:tcPr>
          <w:p w14:paraId="51362A40" w14:textId="77777777" w:rsidR="00975BE4" w:rsidRPr="00E15F18" w:rsidRDefault="00975BE4" w:rsidP="00E15F18">
            <w:pPr>
              <w:rPr>
                <w:i/>
              </w:rPr>
            </w:pPr>
            <w:r w:rsidRPr="00E15F18">
              <w:rPr>
                <w:i/>
              </w:rPr>
              <w:t>Yes</w:t>
            </w:r>
          </w:p>
        </w:tc>
        <w:tc>
          <w:tcPr>
            <w:tcW w:w="1485" w:type="dxa"/>
            <w:tcBorders>
              <w:top w:val="outset" w:sz="6" w:space="0" w:color="003366"/>
              <w:left w:val="outset" w:sz="6" w:space="0" w:color="003366"/>
              <w:bottom w:val="outset" w:sz="6" w:space="0" w:color="003366"/>
              <w:right w:val="outset" w:sz="6" w:space="0" w:color="003366"/>
            </w:tcBorders>
            <w:hideMark/>
          </w:tcPr>
          <w:p w14:paraId="25FFAD19" w14:textId="77777777" w:rsidR="00975BE4" w:rsidRPr="00E15F18" w:rsidRDefault="00975BE4" w:rsidP="00E15F18">
            <w:pPr>
              <w:rPr>
                <w:i/>
              </w:rPr>
            </w:pPr>
            <w:r w:rsidRPr="00E15F18">
              <w:rPr>
                <w:i/>
              </w:rPr>
              <w:t>Yes</w:t>
            </w:r>
          </w:p>
        </w:tc>
      </w:tr>
    </w:tbl>
    <w:p w14:paraId="0DF80DAF" w14:textId="77777777" w:rsidR="00975BE4" w:rsidRPr="00E15F18" w:rsidRDefault="00975BE4" w:rsidP="00975BE4">
      <w:pPr>
        <w:rPr>
          <w:i/>
        </w:rPr>
      </w:pPr>
    </w:p>
    <w:p w14:paraId="0031A2D5" w14:textId="77777777" w:rsidR="00975BE4" w:rsidRPr="00E15F18" w:rsidRDefault="00975BE4" w:rsidP="00975BE4">
      <w:pPr>
        <w:rPr>
          <w:i/>
        </w:rPr>
      </w:pPr>
      <w:r w:rsidRPr="00E15F18">
        <w:rPr>
          <w:i/>
        </w:rPr>
        <w:t xml:space="preserve">All public-use files (i.e., the edited restricted-use files) that contain any potentially individually identifiable information must undergo a </w:t>
      </w:r>
      <w:hyperlink r:id="rId9" w:anchor="disclosure" w:history="1">
        <w:r w:rsidRPr="00E15F18">
          <w:rPr>
            <w:rStyle w:val="Hyperlink"/>
            <w:i/>
          </w:rPr>
          <w:t>disclosure risk analysis</w:t>
        </w:r>
      </w:hyperlink>
      <w:r w:rsidRPr="00E15F18">
        <w:rPr>
          <w:i/>
        </w:rPr>
        <w:t xml:space="preserve"> in preparation for release to the public. The steps are as follows:</w:t>
      </w:r>
    </w:p>
    <w:p w14:paraId="0B4077F6" w14:textId="77777777" w:rsidR="00975BE4" w:rsidRPr="00E15F18" w:rsidRDefault="00975BE4" w:rsidP="00975BE4">
      <w:pPr>
        <w:numPr>
          <w:ilvl w:val="0"/>
          <w:numId w:val="6"/>
        </w:numPr>
        <w:rPr>
          <w:i/>
        </w:rPr>
      </w:pPr>
      <w:r w:rsidRPr="00E15F18">
        <w:rPr>
          <w:i/>
        </w:rPr>
        <w:t>At an early stage in designing and conducting this analysis, staff must consult the Disclosure Review Board (DRB) for guidance on disclosure risk analysis and on the use of NCES disclosure risk software. Any modifications that are necessary as a result of the analysis must be made, and the entire process must be documented.  </w:t>
      </w:r>
    </w:p>
    <w:p w14:paraId="4346BCC9" w14:textId="77777777" w:rsidR="00975BE4" w:rsidRPr="00E15F18" w:rsidRDefault="00975BE4" w:rsidP="00975BE4">
      <w:pPr>
        <w:numPr>
          <w:ilvl w:val="0"/>
          <w:numId w:val="6"/>
        </w:numPr>
        <w:rPr>
          <w:i/>
        </w:rPr>
      </w:pPr>
      <w:r w:rsidRPr="00E15F18">
        <w:rPr>
          <w:i/>
        </w:rPr>
        <w:t xml:space="preserve">The documentation of the disclosure risk analysis must be submitted to the DRB. The documentation must include descriptions of the risk of disclosure and the types of edits used to avoid disclosure. Decisions over the type of </w:t>
      </w:r>
      <w:hyperlink r:id="rId10" w:anchor="c-edits" w:history="1">
        <w:r w:rsidRPr="00E15F18">
          <w:rPr>
            <w:rStyle w:val="Hyperlink"/>
            <w:i/>
          </w:rPr>
          <w:t>confidentiality edits</w:t>
        </w:r>
      </w:hyperlink>
      <w:r w:rsidRPr="00E15F18">
        <w:rPr>
          <w:i/>
        </w:rPr>
        <w:t xml:space="preserve"> must take into account the procedures needed to avoid disclosure of individually identifiable information, age of the data, accessibility of external files, detail and specificity of the data, and reliability and completeness of any external files. The documentation should also include the results demonstrating the disclosure risk after adjustments to the data. </w:t>
      </w:r>
    </w:p>
    <w:p w14:paraId="0BC53784" w14:textId="77777777" w:rsidR="00975BE4" w:rsidRPr="00E15F18" w:rsidRDefault="00975BE4" w:rsidP="00975BE4">
      <w:pPr>
        <w:numPr>
          <w:ilvl w:val="0"/>
          <w:numId w:val="6"/>
        </w:numPr>
        <w:rPr>
          <w:i/>
        </w:rPr>
      </w:pPr>
      <w:r w:rsidRPr="00E15F18">
        <w:rPr>
          <w:i/>
        </w:rPr>
        <w:t>The DRB will review the disclosure risk analysis report and make a recommendation to the Commissioner of NCES about the file release.  </w:t>
      </w:r>
    </w:p>
    <w:p w14:paraId="6206D78A" w14:textId="5161D4FF" w:rsidR="004C206B" w:rsidRPr="005D6031" w:rsidRDefault="00975BE4" w:rsidP="00975BE4">
      <w:r w:rsidRPr="00E15F18">
        <w:rPr>
          <w:i/>
        </w:rPr>
        <w:t>The Commissioner then rules on the release of the data file</w:t>
      </w:r>
      <w:r w:rsidRPr="00A04559">
        <w:t>.</w:t>
      </w:r>
      <w:r w:rsidR="00B903B3">
        <w:t>]</w:t>
      </w:r>
    </w:p>
    <w:sectPr w:rsidR="004C206B" w:rsidRPr="005D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75E"/>
    <w:multiLevelType w:val="hybridMultilevel"/>
    <w:tmpl w:val="835A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7E5"/>
    <w:multiLevelType w:val="hybridMultilevel"/>
    <w:tmpl w:val="0C0ECB0E"/>
    <w:lvl w:ilvl="0" w:tplc="9E64F9B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45A8B"/>
    <w:multiLevelType w:val="hybridMultilevel"/>
    <w:tmpl w:val="880A829C"/>
    <w:lvl w:ilvl="0" w:tplc="D9C6F9D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F44BDE"/>
    <w:multiLevelType w:val="multilevel"/>
    <w:tmpl w:val="7AA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D1121"/>
    <w:multiLevelType w:val="hybridMultilevel"/>
    <w:tmpl w:val="FDA097FE"/>
    <w:lvl w:ilvl="0" w:tplc="CE8A2BD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D60C66"/>
    <w:multiLevelType w:val="hybridMultilevel"/>
    <w:tmpl w:val="88186D18"/>
    <w:lvl w:ilvl="0" w:tplc="869ED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46D"/>
    <w:rsid w:val="0008348F"/>
    <w:rsid w:val="00103F7B"/>
    <w:rsid w:val="002512DE"/>
    <w:rsid w:val="003A046E"/>
    <w:rsid w:val="00431815"/>
    <w:rsid w:val="00493082"/>
    <w:rsid w:val="004C206B"/>
    <w:rsid w:val="004F346D"/>
    <w:rsid w:val="005D6031"/>
    <w:rsid w:val="00636955"/>
    <w:rsid w:val="007B3505"/>
    <w:rsid w:val="007F025F"/>
    <w:rsid w:val="00830C85"/>
    <w:rsid w:val="008D145E"/>
    <w:rsid w:val="009754AE"/>
    <w:rsid w:val="00975BE4"/>
    <w:rsid w:val="00AC09CF"/>
    <w:rsid w:val="00B84812"/>
    <w:rsid w:val="00B903B3"/>
    <w:rsid w:val="00B929FF"/>
    <w:rsid w:val="00BC54D7"/>
    <w:rsid w:val="00BD2F90"/>
    <w:rsid w:val="00C96B62"/>
    <w:rsid w:val="00CC3D48"/>
    <w:rsid w:val="00D958DB"/>
    <w:rsid w:val="00E35A4B"/>
    <w:rsid w:val="00E70A19"/>
    <w:rsid w:val="00EA0649"/>
    <w:rsid w:val="00F5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F995"/>
  <w15:chartTrackingRefBased/>
  <w15:docId w15:val="{D4591420-0BD2-43B6-BAFC-DCF12C99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754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0A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46D"/>
    <w:pPr>
      <w:ind w:left="720"/>
      <w:contextualSpacing/>
    </w:pPr>
  </w:style>
  <w:style w:type="character" w:customStyle="1" w:styleId="Heading2Char">
    <w:name w:val="Heading 2 Char"/>
    <w:basedOn w:val="DefaultParagraphFont"/>
    <w:link w:val="Heading2"/>
    <w:uiPriority w:val="9"/>
    <w:rsid w:val="009754A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D958DB"/>
    <w:rPr>
      <w:sz w:val="16"/>
      <w:szCs w:val="16"/>
    </w:rPr>
  </w:style>
  <w:style w:type="paragraph" w:styleId="CommentText">
    <w:name w:val="annotation text"/>
    <w:basedOn w:val="Normal"/>
    <w:link w:val="CommentTextChar"/>
    <w:uiPriority w:val="99"/>
    <w:semiHidden/>
    <w:unhideWhenUsed/>
    <w:rsid w:val="00D958DB"/>
    <w:pPr>
      <w:spacing w:line="240" w:lineRule="auto"/>
    </w:pPr>
    <w:rPr>
      <w:sz w:val="20"/>
      <w:szCs w:val="20"/>
    </w:rPr>
  </w:style>
  <w:style w:type="character" w:customStyle="1" w:styleId="CommentTextChar">
    <w:name w:val="Comment Text Char"/>
    <w:basedOn w:val="DefaultParagraphFont"/>
    <w:link w:val="CommentText"/>
    <w:uiPriority w:val="99"/>
    <w:semiHidden/>
    <w:rsid w:val="00D958DB"/>
    <w:rPr>
      <w:sz w:val="20"/>
      <w:szCs w:val="20"/>
    </w:rPr>
  </w:style>
  <w:style w:type="paragraph" w:styleId="CommentSubject">
    <w:name w:val="annotation subject"/>
    <w:basedOn w:val="CommentText"/>
    <w:next w:val="CommentText"/>
    <w:link w:val="CommentSubjectChar"/>
    <w:uiPriority w:val="99"/>
    <w:semiHidden/>
    <w:unhideWhenUsed/>
    <w:rsid w:val="00D958DB"/>
    <w:rPr>
      <w:b/>
      <w:bCs/>
    </w:rPr>
  </w:style>
  <w:style w:type="character" w:customStyle="1" w:styleId="CommentSubjectChar">
    <w:name w:val="Comment Subject Char"/>
    <w:basedOn w:val="CommentTextChar"/>
    <w:link w:val="CommentSubject"/>
    <w:uiPriority w:val="99"/>
    <w:semiHidden/>
    <w:rsid w:val="00D958DB"/>
    <w:rPr>
      <w:b/>
      <w:bCs/>
      <w:sz w:val="20"/>
      <w:szCs w:val="20"/>
    </w:rPr>
  </w:style>
  <w:style w:type="paragraph" w:styleId="BalloonText">
    <w:name w:val="Balloon Text"/>
    <w:basedOn w:val="Normal"/>
    <w:link w:val="BalloonTextChar"/>
    <w:uiPriority w:val="99"/>
    <w:semiHidden/>
    <w:unhideWhenUsed/>
    <w:rsid w:val="00D95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8DB"/>
    <w:rPr>
      <w:rFonts w:ascii="Segoe UI" w:hAnsi="Segoe UI" w:cs="Segoe UI"/>
      <w:sz w:val="18"/>
      <w:szCs w:val="18"/>
    </w:rPr>
  </w:style>
  <w:style w:type="character" w:styleId="Hyperlink">
    <w:name w:val="Hyperlink"/>
    <w:basedOn w:val="DefaultParagraphFont"/>
    <w:uiPriority w:val="99"/>
    <w:unhideWhenUsed/>
    <w:rsid w:val="00975BE4"/>
    <w:rPr>
      <w:color w:val="0000FF" w:themeColor="hyperlink"/>
      <w:u w:val="single"/>
    </w:rPr>
  </w:style>
  <w:style w:type="character" w:customStyle="1" w:styleId="Heading3Char">
    <w:name w:val="Heading 3 Char"/>
    <w:basedOn w:val="DefaultParagraphFont"/>
    <w:link w:val="Heading3"/>
    <w:uiPriority w:val="9"/>
    <w:rsid w:val="00E70A1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statprog/2002/glossary.asp" TargetMode="External"/><Relationship Id="rId3" Type="http://schemas.openxmlformats.org/officeDocument/2006/relationships/settings" Target="settings.xml"/><Relationship Id="rId7" Type="http://schemas.openxmlformats.org/officeDocument/2006/relationships/hyperlink" Target="https://nces.ed.gov/statprog/2002/glossary.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statprog/2002/glossary.asp" TargetMode="External"/><Relationship Id="rId11" Type="http://schemas.openxmlformats.org/officeDocument/2006/relationships/fontTable" Target="fontTable.xml"/><Relationship Id="rId5" Type="http://schemas.openxmlformats.org/officeDocument/2006/relationships/hyperlink" Target="https://nces.ed.gov/statprog/2002/glossary.asp" TargetMode="External"/><Relationship Id="rId10" Type="http://schemas.openxmlformats.org/officeDocument/2006/relationships/hyperlink" Target="https://nces.ed.gov/statprog/2002/glossary.asp" TargetMode="External"/><Relationship Id="rId4" Type="http://schemas.openxmlformats.org/officeDocument/2006/relationships/webSettings" Target="webSettings.xml"/><Relationship Id="rId9" Type="http://schemas.openxmlformats.org/officeDocument/2006/relationships/hyperlink" Target="https://nces.ed.gov/statprog/2002/glossar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10</cp:revision>
  <dcterms:created xsi:type="dcterms:W3CDTF">2021-03-15T22:26:00Z</dcterms:created>
  <dcterms:modified xsi:type="dcterms:W3CDTF">2021-03-30T15:25:00Z</dcterms:modified>
</cp:coreProperties>
</file>