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2A37"/>
          <w:sz w:val="40"/>
          <w:szCs w:val="40"/>
        </w:rPr>
        <w:t xml:space="preserve">DVAI-Meet Cost &amp; Pricing Analysis</w:t>
      </w:r>
    </w:p>
    <w:p>
      <w:pPr>
        <w:spacing w:after="240"/>
        <w:jc w:val="center"/>
      </w:pPr>
      <w:r>
        <w:rPr>
          <w:i/>
          <w:iCs/>
          <w:color w:val="4B5563"/>
          <w:sz w:val="22"/>
          <w:szCs w:val="22"/>
        </w:rPr>
        <w:t xml:space="preserve">Comprehensive cost-per-user breakdown and recommended pricing for the team</w:t>
      </w:r>
    </w:p>
    <w:p>
      <w:pPr>
        <w:spacing w:after="360"/>
        <w:jc w:val="center"/>
      </w:pPr>
      <w:r>
        <w:rPr>
          <w:color w:val="6B7280"/>
          <w:sz w:val="18"/>
          <w:szCs w:val="18"/>
        </w:rPr>
        <w:t xml:space="preserve">Prepared April 2026 · Companion to docs/superpowers/specs/2026-04-30-payments-strawman.md</w:t>
      </w:r>
    </w:p>
    <w:p>
      <w:pPr>
        <w:pBdr>
          <w:bottom w:val="single" w:color="00A8A8" w:sz="6" w:space="1"/>
        </w:pBdr>
        <w:spacing w:after="240" w:before="240"/>
      </w:pPr>
      <w:r>
        <w:t xml:space="preserve"/>
      </w:r>
    </w:p>
    <w:p>
      <w:pPr>
        <w:pStyle w:val="Heading1"/>
      </w:pPr>
      <w:r>
        <w:t xml:space="preserve">1. Context and scope</w:t>
      </w:r>
    </w:p>
    <w:p>
      <w:pPr>
        <w:spacing w:after="120"/>
      </w:pPr>
      <w:r>
        <w:t xml:space="preserve">This document complements the team’s prior cost analysis by adding the operating-cost line items that were missing from the initial draft, then producing a defendable per-user/month cost figure for each tier. From those costs we recommend a pricing structure that supports the stated business strategy: mass-market top-of-funnel, enterprise as the primary revenue tier, and an eventual acquisition outcome built on a defensible E2EE + on-device-AI moat.</w:t>
      </w:r>
    </w:p>
    <w:p>
      <w:pPr>
        <w:spacing w:after="120"/>
      </w:pPr>
      <w:r>
        <w:t xml:space="preserve">The original analysis correctly captured infrastructure compute share, the multi-tenancy strategy, and the basic Free / Pro / Business / Enterprise structure. It did not capture cloud STT cost, payment processing fees, recording storage, or the ongoing operational overhead (monitoring, compliance, support tooling) that materially affects gross margin once the product crosses about 100 paying customers. Those items are the focus of the next two sections.</w:t>
      </w:r>
    </w:p>
    <w:p>
      <w:pPr>
        <w:spacing w:after="120"/>
      </w:pPr>
      <w:r>
        <w:t xml:space="preserve">All numbers are conservative estimates. Real adoption mixes and usage patterns will move them; the table structures are designed so each line item can be revisited independently as we get production data.</w:t>
      </w:r>
    </w:p>
    <w:p>
      <w:pPr>
        <w:pBdr>
          <w:bottom w:val="single" w:color="00A8A8" w:sz="6" w:space="1"/>
        </w:pBdr>
        <w:spacing w:after="240" w:before="240"/>
      </w:pPr>
      <w:r>
        <w:t xml:space="preserve"/>
      </w:r>
    </w:p>
    <w:p>
      <w:pPr>
        <w:pStyle w:val="Heading1"/>
      </w:pPr>
      <w:r>
        <w:t xml:space="preserve">2. Cost components missing from the original analysis</w:t>
      </w:r>
    </w:p>
    <w:p>
      <w:pPr>
        <w:spacing w:after="120"/>
      </w:pPr>
      <w:r>
        <w:t xml:space="preserve">The cost components below are not in the original PDF but are real, recurring expenses that affect blended margin. Add these to the per-user compute share already captured (Free $0.05, Pro $2.00, Business $8.00, Enterprise $25 with multi-tenancy).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Cost Component</w:t>
            </w:r>
          </w:p>
        </w:tc>
        <w:tc>
          <w:tcPr>
            <w:tcW w:type="dxa" w:w="336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Why It Matters</w:t>
            </w:r>
          </w:p>
        </w:tc>
        <w:tc>
          <w:tcPr>
            <w:tcW w:type="dxa" w:w="36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Realistic per-user/month estimate</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Cloud STT (Deepgram Nova-3)</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$0.26/streaming-hour per active speaker. Each user transcribes only their own mic per our architecture.</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Pro: $2 / Team seat: $2.50 / Business seat: $3 / Enterprise seat: $4 — assuming 100% cloud STT adoption.</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Stripe transaction fees</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2.9% + $0.30 per successful transaction.</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Pro: $0.88 / Team: $0.88 per seat / Business: $1.16 per seat / Enterprise: $11.90.</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Recording storage</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LiveKit egress ~5MB/min/user (audio + video). Hetzner storage $0.02/GB/month.</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Pro (20 hr/mo): $0.60 / Team: $1 / Business: $1.50 / Enterprise: $5.</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Email + notifications</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Magic links, recording-ready alerts, billing notifications. SendGrid/Postmark.</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$0.10 – $0.30 per user/month.</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Monitoring (NewRelic/Datadog)</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Already paying NewRelic per the codebase.</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 – $150/month flat → ~$0.50/user once we cross 200 paid users.</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Compliance tooling (Vanta/Drata)</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Required for SOC2 — sales blocker for Enterprise tier.</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$1,000 – $3,000/month flat → small per-user once we cross 100 paid users.</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SOC2 Type II audit</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Annual audit needed before serious enterprise sales. Non-optional.</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$15K – $30K/year amortized.</w:t>
            </w:r>
          </w:p>
        </w:tc>
      </w:tr>
      <w:tr>
        <w:tc>
          <w:tcPr>
            <w:tcW w:type="dxa" w:w="24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CDN, DNS, SSL, domain</w:t>
            </w:r>
          </w:p>
        </w:tc>
        <w:tc>
          <w:tcPr>
            <w:tcW w:type="dxa" w:w="33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Cloudflare or equivalent.</w:t>
            </w:r>
          </w:p>
        </w:tc>
        <w:tc>
          <w:tcPr>
            <w:tcW w:type="dxa" w:w="36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~$50/month flat.</w:t>
            </w:r>
          </w:p>
        </w:tc>
      </w:tr>
    </w:tbl>
    <w:p>
      <w:pPr>
        <w:spacing w:after="180"/>
      </w:pPr>
      <w:r>
        <w:t xml:space="preserve"/>
      </w:r>
    </w:p>
    <w:p>
      <w:pPr>
        <w:pStyle w:val="Heading3"/>
      </w:pPr>
      <w:r>
        <w:t xml:space="preserve">Why each one matters</w:t>
      </w:r>
    </w:p>
    <w:p>
      <w:pPr>
        <w:pStyle w:val="ListParagraph"/>
        <w:numPr>
          <w:ilvl w:val="0"/>
          <w:numId w:val="2"/>
        </w:numPr>
        <w:spacing w:after="60"/>
      </w:pPr>
      <w:r>
        <w:t xml:space="preserve">Cloud STT is the highest-variability operating cost we expose. Each user transcribes only their own mic, so cost scales with speaking time per user, not meeting size.</w:t>
      </w:r>
    </w:p>
    <w:p>
      <w:pPr>
        <w:pStyle w:val="ListParagraph"/>
        <w:numPr>
          <w:ilvl w:val="0"/>
          <w:numId w:val="2"/>
        </w:numPr>
        <w:spacing w:after="60"/>
      </w:pPr>
      <w:r>
        <w:t xml:space="preserve">Stripe fees are flat percentage + transaction overhead. They impact lower-priced tiers more (a $12 Pro plan sees ~7.3% fee vs a $400 Enterprise plan’s ~3%).</w:t>
      </w:r>
    </w:p>
    <w:p>
      <w:pPr>
        <w:pStyle w:val="ListParagraph"/>
        <w:numPr>
          <w:ilvl w:val="0"/>
          <w:numId w:val="2"/>
        </w:numPr>
        <w:spacing w:after="60"/>
      </w:pPr>
      <w:r>
        <w:t xml:space="preserve">Recording storage compounds; assume retention policies will bound this (e.g. Free = 5 GB total, Pro = 100 GB, Business = 1 TB).</w:t>
      </w:r>
    </w:p>
    <w:p>
      <w:pPr>
        <w:pStyle w:val="ListParagraph"/>
        <w:numPr>
          <w:ilvl w:val="0"/>
          <w:numId w:val="2"/>
        </w:numPr>
        <w:spacing w:after="60"/>
      </w:pPr>
      <w:r>
        <w:t xml:space="preserve">Email, monitoring, compliance, and CDN are mostly fixed costs that get cheaper per-user as we scale. They’re not negligible at the 50–500 paid-user range.</w:t>
      </w:r>
    </w:p>
    <w:p>
      <w:pPr>
        <w:pStyle w:val="ListParagraph"/>
        <w:numPr>
          <w:ilvl w:val="0"/>
          <w:numId w:val="2"/>
        </w:numPr>
        <w:spacing w:after="60"/>
      </w:pPr>
      <w:r>
        <w:t xml:space="preserve">SOC2 Type II is non-optional for serious enterprise sales. Budget it before the first enterprise contract closes — it’s a 6–9 month process.</w:t>
      </w:r>
    </w:p>
    <w:p>
      <w:pPr>
        <w:pBdr>
          <w:bottom w:val="single" w:color="00A8A8" w:sz="6" w:space="1"/>
        </w:pBdr>
        <w:spacing w:after="240" w:before="240"/>
      </w:pPr>
      <w:r>
        <w:t xml:space="preserve"/>
      </w:r>
    </w:p>
    <w:p>
      <w:pPr>
        <w:pStyle w:val="Heading1"/>
      </w:pPr>
      <w:r>
        <w:t xml:space="preserve">3. Realistic blended cost per user / month</w:t>
      </w:r>
    </w:p>
    <w:p>
      <w:pPr>
        <w:spacing w:after="120"/>
      </w:pPr>
      <w:r>
        <w:t xml:space="preserve">Two scenarios are shown for STT: assume 30% of paid users opt into cloud STT (realistic given our privacy-first default — most users will stick with Local AI), and the worst case of 100% cloud STT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300"/>
        <w:gridCol w:w="1000"/>
        <w:gridCol w:w="1000"/>
        <w:gridCol w:w="1100"/>
        <w:gridCol w:w="1300"/>
        <w:gridCol w:w="1260"/>
      </w:tblGrid>
      <w:tr>
        <w:trPr>
          <w:tblHeader/>
        </w:trPr>
        <w:tc>
          <w:tcPr>
            <w:tcW w:type="dxa" w:w="13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Tier</w:t>
            </w:r>
          </w:p>
        </w:tc>
        <w:tc>
          <w:tcPr>
            <w:tcW w:type="dxa" w:w="11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Compute</w:t>
            </w:r>
          </w:p>
        </w:tc>
        <w:tc>
          <w:tcPr>
            <w:tcW w:type="dxa" w:w="13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STT (30% adopt)</w:t>
            </w:r>
          </w:p>
        </w:tc>
        <w:tc>
          <w:tcPr>
            <w:tcW w:type="dxa" w:w="10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Storage</w:t>
            </w:r>
          </w:p>
        </w:tc>
        <w:tc>
          <w:tcPr>
            <w:tcW w:type="dxa" w:w="10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Stripe</w:t>
            </w:r>
          </w:p>
        </w:tc>
        <w:tc>
          <w:tcPr>
            <w:tcW w:type="dxa" w:w="11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Overhead</w:t>
            </w:r>
          </w:p>
        </w:tc>
        <w:tc>
          <w:tcPr>
            <w:tcW w:type="dxa" w:w="13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Total (30%)</w:t>
            </w:r>
          </w:p>
        </w:tc>
        <w:tc>
          <w:tcPr>
            <w:tcW w:type="dxa" w:w="126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Total (100%)</w:t>
            </w:r>
          </w:p>
        </w:tc>
      </w:tr>
      <w:tr>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Free (cap 30-min trial)</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$0.05</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$0.13</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$0.05</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$0.23</w:t>
            </w:r>
          </w:p>
        </w:tc>
        <w:tc>
          <w:tcPr>
            <w:tcW w:type="dxa" w:w="12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$0.23</w:t>
            </w:r>
          </w:p>
        </w:tc>
      </w:tr>
      <w:tr>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Pro</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$0.60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$0.60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$0.88</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$5.08</w:t>
            </w:r>
          </w:p>
        </w:tc>
        <w:tc>
          <w:tcPr>
            <w:tcW w:type="dxa" w:w="12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$6.48</w:t>
            </w:r>
          </w:p>
        </w:tc>
      </w:tr>
      <w:tr>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Team (per seat)</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$1.50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$1.20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$0.50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$0.58</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$0.50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$4.28</w:t>
            </w:r>
          </w:p>
        </w:tc>
        <w:tc>
          <w:tcPr>
            <w:tcW w:type="dxa" w:w="12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$9.28</w:t>
            </w:r>
          </w:p>
        </w:tc>
      </w:tr>
      <w:tr>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Business (per seat)</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$1.20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$1.16</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$9.36</w:t>
            </w:r>
          </w:p>
        </w:tc>
        <w:tc>
          <w:tcPr>
            <w:tcW w:type="dxa" w:w="12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$14.36</w:t>
            </w:r>
          </w:p>
        </w:tc>
      </w:tr>
      <w:tr>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Enterprise (per seat)</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$1.20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$5.00</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$0.10</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$2.00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$18.30</w:t>
            </w:r>
          </w:p>
        </w:tc>
        <w:tc>
          <w:tcPr>
            <w:tcW w:type="dxa" w:w="126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$23.10</w:t>
            </w:r>
          </w:p>
        </w:tc>
      </w:tr>
    </w:tbl>
    <w:p>
      <w:pPr>
        <w:spacing w:after="180"/>
      </w:pPr>
      <w:r>
        <w:t xml:space="preserve"/>
      </w:r>
    </w:p>
    <w:p>
      <w:pPr>
        <w:pStyle w:val="Heading3"/>
      </w:pPr>
      <w:r>
        <w:t xml:space="preserve">Reading the table</w:t>
      </w:r>
    </w:p>
    <w:p>
      <w:pPr>
        <w:pStyle w:val="ListParagraph"/>
        <w:numPr>
          <w:ilvl w:val="0"/>
          <w:numId w:val="2"/>
        </w:numPr>
        <w:spacing w:after="60"/>
      </w:pPr>
      <w:r>
        <w:t xml:space="preserve">Compute share: from the original PDF (Pro $2, Business $8, Enterprise $25), with Team estimated at $1.50/seat thanks to multi-tenancy.</w:t>
      </w:r>
    </w:p>
    <w:p>
      <w:pPr>
        <w:pStyle w:val="ListParagraph"/>
        <w:numPr>
          <w:ilvl w:val="0"/>
          <w:numId w:val="2"/>
        </w:numPr>
        <w:spacing w:after="60"/>
      </w:pPr>
      <w:r>
        <w:t xml:space="preserve">STT is per-user/month at the average expected speaking time for that tier (Pro ≈ 5–10 hrs, Business ≈ 10–20 hrs, Enterprise mostly listening with a few speakers).</w:t>
      </w:r>
    </w:p>
    <w:p>
      <w:pPr>
        <w:pStyle w:val="ListParagraph"/>
        <w:numPr>
          <w:ilvl w:val="0"/>
          <w:numId w:val="2"/>
        </w:numPr>
        <w:spacing w:after="60"/>
      </w:pPr>
      <w:r>
        <w:t xml:space="preserve">Storage assumes a typical month of recording activity per tier.</w:t>
      </w:r>
    </w:p>
    <w:p>
      <w:pPr>
        <w:pStyle w:val="ListParagraph"/>
        <w:numPr>
          <w:ilvl w:val="0"/>
          <w:numId w:val="2"/>
        </w:numPr>
        <w:spacing w:after="60"/>
      </w:pPr>
      <w:r>
        <w:t xml:space="preserve">Stripe fees are calculated on the proposed tier price (Pro $12, Team $20, Business $40, Enterprise typical $30/seat).</w:t>
      </w:r>
    </w:p>
    <w:p>
      <w:pPr>
        <w:pStyle w:val="ListParagraph"/>
        <w:numPr>
          <w:ilvl w:val="0"/>
          <w:numId w:val="2"/>
        </w:numPr>
        <w:spacing w:after="60"/>
      </w:pPr>
      <w:r>
        <w:t xml:space="preserve">Overhead lumps email + monitoring + compliance + CDN. Drops on a per-user basis as we scale.</w:t>
      </w:r>
    </w:p>
    <w:p>
      <w:pPr>
        <w:pStyle w:val="Heading3"/>
      </w:pPr>
      <w:r>
        <w:t xml:space="preserve">Headline numbers</w:t>
      </w:r>
    </w:p>
    <w:p>
      <w:pPr>
        <w:pStyle w:val="ListParagraph"/>
        <w:numPr>
          <w:ilvl w:val="0"/>
          <w:numId w:val="2"/>
        </w:numPr>
        <w:spacing w:after="60"/>
      </w:pPr>
      <w:r>
        <w:t xml:space="preserve">Free user: ≈ $0.23/month. At 10K free users that’s $2.3K/month — covered by ~150 Pro users.</w:t>
      </w:r>
    </w:p>
    <w:p>
      <w:pPr>
        <w:pStyle w:val="ListParagraph"/>
        <w:numPr>
          <w:ilvl w:val="0"/>
          <w:numId w:val="2"/>
        </w:numPr>
        <w:spacing w:after="60"/>
      </w:pPr>
      <w:r>
        <w:t xml:space="preserve">Pro user: $5.08 (30% adopt) to $6.48 (100% adopt) per month.</w:t>
      </w:r>
    </w:p>
    <w:p>
      <w:pPr>
        <w:pStyle w:val="ListParagraph"/>
        <w:numPr>
          <w:ilvl w:val="0"/>
          <w:numId w:val="2"/>
        </w:numPr>
        <w:spacing w:after="60"/>
      </w:pPr>
      <w:r>
        <w:t xml:space="preserve">Team seat: $4.28 to $9.28 per month.</w:t>
      </w:r>
    </w:p>
    <w:p>
      <w:pPr>
        <w:pStyle w:val="ListParagraph"/>
        <w:numPr>
          <w:ilvl w:val="0"/>
          <w:numId w:val="2"/>
        </w:numPr>
        <w:spacing w:after="60"/>
      </w:pPr>
      <w:r>
        <w:t xml:space="preserve">Business seat: $9.36 to $14.36 per month.</w:t>
      </w:r>
    </w:p>
    <w:p>
      <w:pPr>
        <w:pStyle w:val="ListParagraph"/>
        <w:numPr>
          <w:ilvl w:val="0"/>
          <w:numId w:val="2"/>
        </w:numPr>
        <w:spacing w:after="60"/>
      </w:pPr>
      <w:r>
        <w:t xml:space="preserve">Enterprise seat: $18.30 to $23.10 per month, plus dedicated infrastructure cost amortized across the contract.</w:t>
      </w:r>
    </w:p>
    <w:p>
      <w:pPr>
        <w:pBdr>
          <w:bottom w:val="single" w:color="00A8A8" w:sz="6" w:space="1"/>
        </w:pBdr>
        <w:spacing w:after="240" w:before="240"/>
      </w:pPr>
      <w:r>
        <w:t xml:space="preserve"/>
      </w:r>
    </w:p>
    <w:p>
      <w:pPr>
        <w:pStyle w:val="Heading1"/>
      </w:pPr>
      <w:r>
        <w:t xml:space="preserve">4. Recommended pricing</w:t>
      </w:r>
    </w:p>
    <w:p>
      <w:pPr>
        <w:spacing w:after="120"/>
      </w:pPr>
      <w:r>
        <w:t xml:space="preserve">Numbers chosen to (a) be affordable enough to compete with Zoom and Microsoft Teams at the low end, (b) preserve premium positioning that the E2EE moat justifies at the high end, and (c) maintain at least 50% gross margin everywhere even in the worst-case 100% cloud STT adoption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1200"/>
        <w:gridCol w:w="1500"/>
        <w:gridCol w:w="1000"/>
        <w:gridCol w:w="1300"/>
        <w:gridCol w:w="1100"/>
        <w:gridCol w:w="1810"/>
      </w:tblGrid>
      <w:tr>
        <w:trPr>
          <w:tblHeader/>
        </w:trPr>
        <w:tc>
          <w:tcPr>
            <w:tcW w:type="dxa" w:w="145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Tier</w:t>
            </w:r>
          </w:p>
        </w:tc>
        <w:tc>
          <w:tcPr>
            <w:tcW w:type="dxa" w:w="12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Monthly</w:t>
            </w:r>
          </w:p>
        </w:tc>
        <w:tc>
          <w:tcPr>
            <w:tcW w:type="dxa" w:w="15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Annual (16% off)</w:t>
            </w:r>
          </w:p>
        </w:tc>
        <w:tc>
          <w:tcPr>
            <w:tcW w:type="dxa" w:w="10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Min seats</w:t>
            </w:r>
          </w:p>
        </w:tc>
        <w:tc>
          <w:tcPr>
            <w:tcW w:type="dxa" w:w="13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Cost (worst-case)</w:t>
            </w:r>
          </w:p>
        </w:tc>
        <w:tc>
          <w:tcPr>
            <w:tcW w:type="dxa" w:w="110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Margin</w:t>
            </w:r>
          </w:p>
        </w:tc>
        <w:tc>
          <w:tcPr>
            <w:tcW w:type="dxa" w:w="1810"/>
            <w:tcBorders>
              <w:top w:val="single" w:color="B0B7C0" w:sz="4"/>
              <w:left w:val="single" w:color="B0B7C0" w:sz="4"/>
              <w:bottom w:val="single" w:color="B0B7C0" w:sz="4"/>
              <w:right w:val="single" w:color="B0B7C0" w:sz="4"/>
            </w:tcBorders>
            <w:shd w:fill="1F2A37" w:color="auto" w:val="clear"/>
            <w:tcMar>
              <w:top w:type="dxa" w:w="80"/>
              <w:left w:type="dxa" w:w="120"/>
              <w:bottom w:type="dxa" w:w="80"/>
              <w:right w:type="dxa" w:w="120"/>
            </w:tcMar>
          </w:tcPr>
          <w:p>
            <w:r>
              <w:rPr>
                <w:b/>
                <w:bCs/>
                <w:color w:val="FFFFFF"/>
                <w:sz w:val="20"/>
                <w:szCs w:val="20"/>
              </w:rPr>
              <w:t xml:space="preserve">Sales motion</w:t>
            </w:r>
          </w:p>
        </w:tc>
      </w:tr>
      <w:tr>
        <w:tc>
          <w:tcPr>
            <w:tcW w:type="dxa" w:w="145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Free</w:t>
            </w:r>
          </w:p>
        </w:tc>
        <w:tc>
          <w:tcPr>
            <w:tcW w:type="dxa" w:w="12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w:t>
            </w:r>
          </w:p>
        </w:tc>
        <w:tc>
          <w:tcPr>
            <w:tcW w:type="dxa" w:w="15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$0.23</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(loss leader)</w:t>
            </w:r>
          </w:p>
        </w:tc>
        <w:tc>
          <w:tcPr>
            <w:tcW w:type="dxa" w:w="181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Self-serve</w:t>
            </w:r>
          </w:p>
        </w:tc>
      </w:tr>
      <w:tr>
        <w:tc>
          <w:tcPr>
            <w:tcW w:type="dxa" w:w="145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Pro</w:t>
            </w:r>
          </w:p>
        </w:tc>
        <w:tc>
          <w:tcPr>
            <w:tcW w:type="dxa" w:w="12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$12/user</w:t>
            </w:r>
          </w:p>
        </w:tc>
        <w:tc>
          <w:tcPr>
            <w:tcW w:type="dxa" w:w="15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$120/user/yr ($10/mo equiv)</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$6.48</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46–58%</w:t>
            </w:r>
          </w:p>
        </w:tc>
        <w:tc>
          <w:tcPr>
            <w:tcW w:type="dxa" w:w="181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Self-serve</w:t>
            </w:r>
          </w:p>
        </w:tc>
      </w:tr>
      <w:tr>
        <w:tc>
          <w:tcPr>
            <w:tcW w:type="dxa" w:w="145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Team</w:t>
            </w:r>
          </w:p>
        </w:tc>
        <w:tc>
          <w:tcPr>
            <w:tcW w:type="dxa" w:w="12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$20/seat</w:t>
            </w:r>
          </w:p>
        </w:tc>
        <w:tc>
          <w:tcPr>
            <w:tcW w:type="dxa" w:w="15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$200/seat/yr ($16.67/mo equiv)</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3</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$9.28</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54–79%</w:t>
            </w:r>
          </w:p>
        </w:tc>
        <w:tc>
          <w:tcPr>
            <w:tcW w:type="dxa" w:w="181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Self-serve</w:t>
            </w:r>
          </w:p>
        </w:tc>
      </w:tr>
      <w:tr>
        <w:tc>
          <w:tcPr>
            <w:tcW w:type="dxa" w:w="145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Business</w:t>
            </w:r>
          </w:p>
        </w:tc>
        <w:tc>
          <w:tcPr>
            <w:tcW w:type="dxa" w:w="12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$40/seat</w:t>
            </w:r>
          </w:p>
        </w:tc>
        <w:tc>
          <w:tcPr>
            <w:tcW w:type="dxa" w:w="15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$400/seat/yr</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10</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$14.36</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64–77%</w:t>
            </w:r>
          </w:p>
        </w:tc>
        <w:tc>
          <w:tcPr>
            <w:tcW w:type="dxa" w:w="181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Sales-assisted</w:t>
            </w:r>
          </w:p>
        </w:tc>
      </w:tr>
      <w:tr>
        <w:tc>
          <w:tcPr>
            <w:tcW w:type="dxa" w:w="145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bCs/>
                <w:color w:val="1F2A37"/>
                <w:sz w:val="20"/>
                <w:szCs w:val="20"/>
              </w:rPr>
              <w:t xml:space="preserve">Enterprise</w:t>
            </w:r>
          </w:p>
        </w:tc>
        <w:tc>
          <w:tcPr>
            <w:tcW w:type="dxa" w:w="12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Custom</w:t>
            </w:r>
          </w:p>
        </w:tc>
        <w:tc>
          <w:tcPr>
            <w:tcW w:type="dxa" w:w="15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Start at $50K/yr</w:t>
            </w:r>
          </w:p>
        </w:tc>
        <w:tc>
          <w:tcPr>
            <w:tcW w:type="dxa" w:w="10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25+</w:t>
            </w:r>
          </w:p>
        </w:tc>
        <w:tc>
          <w:tcPr>
            <w:tcW w:type="dxa" w:w="13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$18 – $25/seat + dedicated infra</w:t>
            </w:r>
          </w:p>
        </w:tc>
        <w:tc>
          <w:tcPr>
            <w:tcW w:type="dxa" w:w="110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50–70%</w:t>
            </w:r>
          </w:p>
        </w:tc>
        <w:tc>
          <w:tcPr>
            <w:tcW w:type="dxa" w:w="1810"/>
            <w:tcBorders>
              <w:top w:val="single" w:color="B0B7C0" w:sz="4"/>
              <w:left w:val="single" w:color="B0B7C0" w:sz="4"/>
              <w:bottom w:val="single" w:color="B0B7C0" w:sz="4"/>
              <w:right w:val="single" w:color="B0B7C0" w:sz="4"/>
            </w:tcBorders>
            <w:tcMar>
              <w:top w:type="dxa" w:w="80"/>
              <w:left w:type="dxa" w:w="120"/>
              <w:bottom w:type="dxa" w:w="80"/>
              <w:right w:type="dxa" w:w="120"/>
            </w:tcMar>
          </w:tcPr>
          <w:p>
            <w:pPr>
              <w:jc w:val="left"/>
            </w:pPr>
            <w:r>
              <w:rPr>
                <w:b w:val="false"/>
                <w:bCs w:val="false"/>
                <w:color w:val="1F2A37"/>
                <w:sz w:val="20"/>
                <w:szCs w:val="20"/>
              </w:rPr>
              <w:t xml:space="preserve">Sales-led, annual only</w:t>
            </w:r>
          </w:p>
        </w:tc>
      </w:tr>
    </w:tbl>
    <w:p>
      <w:pPr>
        <w:pBdr>
          <w:bottom w:val="single" w:color="00A8A8" w:sz="6" w:space="1"/>
        </w:pBdr>
        <w:spacing w:after="240" w:before="240"/>
      </w:pPr>
      <w:r>
        <w:t xml:space="preserve"/>
      </w:r>
    </w:p>
    <w:p>
      <w:pPr>
        <w:pStyle w:val="Heading1"/>
      </w:pPr>
      <w:r>
        <w:t xml:space="preserve">5. Why these numbers — defended individually</w:t>
      </w:r>
    </w:p>
    <w:p>
      <w:pPr>
        <w:pStyle w:val="Heading2"/>
      </w:pPr>
      <w:r>
        <w:t xml:space="preserve">Free at $0</w:t>
      </w:r>
    </w:p>
    <w:p>
      <w:pPr>
        <w:spacing w:after="120"/>
      </w:pPr>
      <w:r>
        <w:t xml:space="preserve">Pure loss leader. The PDF was right that free users are cheap — about $0.23 per user per month with the 30-min STT trial included. At 10K free users the total cost is around $2.3K/month, covered by approximately 150 Pro users. Industry conversion rates of 3–5% mean 10K free users typically generate 300–500 paying users — comfortably above the cost-coverage threshold.</w:t>
      </w:r>
    </w:p>
    <w:p>
      <w:pPr>
        <w:pStyle w:val="Heading2"/>
      </w:pPr>
      <w:r>
        <w:t xml:space="preserve">Pro at $12</w:t>
      </w:r>
    </w:p>
    <w:p>
      <w:pPr>
        <w:spacing w:after="120"/>
      </w:pPr>
      <w:r>
        <w:t xml:space="preserve">Undercuts Zoom Pro ($14.99) by 20% while delivering features Zoom Pro does not (E2EE, on-device AI, multi-language transcription with code-switching, paid re-transcription). Microsoft Teams Business Basic at $6 is too low for the privacy-first MOAT to make sense.</w:t>
      </w:r>
    </w:p>
    <w:p>
      <w:pPr>
        <w:spacing w:after="120"/>
      </w:pPr>
      <w:r>
        <w:t xml:space="preserve">$12 is the sweet spot. The 46% worst-case margin is the floor we are willing to accept on a single-seat consumer SKU. The $24/year savings on annual is a meaningful retention lever.</w:t>
      </w:r>
    </w:p>
    <w:p>
      <w:pPr>
        <w:pStyle w:val="Heading2"/>
      </w:pPr>
      <w:r>
        <w:t xml:space="preserve">Team at $20/seat (3-seat min = $60/month minimum)</w:t>
      </w:r>
    </w:p>
    <w:p>
      <w:pPr>
        <w:spacing w:after="120"/>
      </w:pPr>
      <w:r>
        <w:t xml:space="preserve">Matches Slack’s per-seat model that every buyer understands. The 3-seat minimum protects against solo Pro users gaming the system. Margin range 54–79% is healthy. Annual contracts get us to $720/customer/year average — meaningful ARR with a low-friction self-serve flow.</w:t>
      </w:r>
    </w:p>
    <w:p>
      <w:pPr>
        <w:pStyle w:val="Heading2"/>
      </w:pPr>
      <w:r>
        <w:t xml:space="preserve">Business at $40/seat (10-seat min = $400/month minimum)</w:t>
      </w:r>
    </w:p>
    <w:p>
      <w:pPr>
        <w:spacing w:after="120"/>
      </w:pPr>
      <w:r>
        <w:t xml:space="preserve">This is where SSO/SAML, audit logs, and the white-label add-on become available. Sales-assisted onboarding (one human call) justifies the price. Average customer = $4,800 ARR. The white-label add-on at +$10/seat/month is the highest-margin upsell in the entire pricing structure (~85% margin since the cost is mostly upfront branding setup).</w:t>
      </w:r>
    </w:p>
    <w:p>
      <w:pPr>
        <w:pStyle w:val="Heading2"/>
      </w:pPr>
      <w:r>
        <w:t xml:space="preserve">Enterprise — custom, $50K/year minimum</w:t>
      </w:r>
    </w:p>
    <w:p>
      <w:pPr>
        <w:spacing w:after="120"/>
      </w:pPr>
      <w:r>
        <w:t xml:space="preserve">This is the real revenue tier. A $30/seat × 25 seats × 12 months calculation gives $9K/year — that’s not enterprise, that’s a small business SKU. Real Enterprise pricing for a SOC2-compliant product with dedicated infrastructure, 24/7 SLA, BAA, and white-label included is $30–60/seat/month with seat minimums plus a base platform fee. A 25-seat enterprise contract is realistically $45K – $75K/year. The $50K floor positions us correctly for the buyers we actually want.</w:t>
      </w:r>
    </w:p>
    <w:p>
      <w:pPr>
        <w:pStyle w:val="Heading2"/>
      </w:pPr>
      <w:r>
        <w:t xml:space="preserve">STT-specific cost handling</w:t>
      </w:r>
    </w:p>
    <w:p>
      <w:pPr>
        <w:spacing w:after="120"/>
      </w:pPr>
      <w:r>
        <w:t xml:space="preserve">Free tier: 30 min/month free cloud STT trial — costs us at most $0.13/user/month. At 10K free users that’s $1,300/month, covered by ~75 Pro users. The conversion play: free users who exceed the 30-min cap see “Upgrade to Pro for unlimited cloud captions” — the cleanest call-to-action in our funnel.</w:t>
      </w:r>
    </w:p>
    <w:p>
      <w:pPr>
        <w:spacing w:after="120"/>
      </w:pPr>
      <w:r>
        <w:t xml:space="preserve">Paid tiers: cloud STT included up to a fair-use cap, then $0.30/min after that. Pro: 100 hrs/month included. Team: 50 hrs/seat/month, pooled at the org level. Business: unlimited up to a 200 hrs/seat/month soft cap before sales review. Enterprise: truly unlimited.</w:t>
      </w:r>
    </w:p>
    <w:p>
      <w:pPr>
        <w:pBdr>
          <w:bottom w:val="single" w:color="00A8A8" w:sz="6" w:space="1"/>
        </w:pBdr>
        <w:spacing w:after="240" w:before="240"/>
      </w:pPr>
      <w:r>
        <w:t xml:space="preserve"/>
      </w:r>
    </w:p>
    <w:p>
      <w:pPr>
        <w:pStyle w:val="Heading1"/>
      </w:pPr>
      <w:r>
        <w:t xml:space="preserve">6. Why this pricing is the right shape for the strategy</w:t>
      </w:r>
    </w:p>
    <w:p>
      <w:pPr>
        <w:pStyle w:val="ListParagraph"/>
        <w:numPr>
          <w:ilvl w:val="0"/>
          <w:numId w:val="3"/>
        </w:numPr>
        <w:spacing w:after="60"/>
      </w:pPr>
      <w:r>
        <w:t xml:space="preserve">Mass-market on-ramp. Free → Pro at $12 is competitive with Zoom Pro; the moat (E2EE + on-device AI) becomes the hook, not the price.</w:t>
      </w:r>
    </w:p>
    <w:p>
      <w:pPr>
        <w:pStyle w:val="ListParagraph"/>
        <w:numPr>
          <w:ilvl w:val="0"/>
          <w:numId w:val="3"/>
        </w:numPr>
        <w:spacing w:after="60"/>
      </w:pPr>
      <w:r>
        <w:t xml:space="preserve">Land-and-expand for SMB. The Team plan converts solo users into paying organizations; org adoption pulls more seats over time.</w:t>
      </w:r>
    </w:p>
    <w:p>
      <w:pPr>
        <w:pStyle w:val="ListParagraph"/>
        <w:numPr>
          <w:ilvl w:val="0"/>
          <w:numId w:val="3"/>
        </w:numPr>
        <w:spacing w:after="60"/>
      </w:pPr>
      <w:r>
        <w:t xml:space="preserve">Enterprise margin. Business and Enterprise tiers are where the real money is made; mass-market is the acquisition channel that funds enterprise sales cycles.</w:t>
      </w:r>
    </w:p>
    <w:p>
      <w:pPr>
        <w:pStyle w:val="ListParagraph"/>
        <w:numPr>
          <w:ilvl w:val="0"/>
          <w:numId w:val="3"/>
        </w:numPr>
        <w:spacing w:after="60"/>
      </w:pPr>
      <w:r>
        <w:t xml:space="preserve">White-label as wedge. The +$10/seat add-on opens an entire reseller market with minimal incremental cost — partners use our infrastructure, we collect platform fees.</w:t>
      </w:r>
    </w:p>
    <w:p>
      <w:pPr>
        <w:pStyle w:val="ListParagraph"/>
        <w:numPr>
          <w:ilvl w:val="0"/>
          <w:numId w:val="3"/>
        </w:numPr>
        <w:spacing w:after="60"/>
      </w:pPr>
      <w:r>
        <w:t xml:space="preserve">Acquisition narrative. At 200 paid customers (mixed across tiers), realistic blended ARPU of $2,400/year produces $480K ARR. At 1,000 customers, $2.4M ARR. At 5,000 customers, $12M ARR — well into typical $40 – $80M acquisition territory at 5–10× revenue multiples.</w:t>
      </w:r>
    </w:p>
    <w:p>
      <w:pPr>
        <w:pStyle w:val="ListParagraph"/>
        <w:numPr>
          <w:ilvl w:val="0"/>
          <w:numId w:val="3"/>
        </w:numPr>
        <w:spacing w:after="60"/>
      </w:pPr>
      <w:r>
        <w:t xml:space="preserve">E2EE pricing power is real. Every single competitor (Zoom, Teams, Meet, Webex) either has no E2EE or it is locked behind their highest tier. We charge a small premium AND deliver on the privacy promise — that combination is the most defensible piece of the entire strategy.</w:t>
      </w:r>
    </w:p>
    <w:p>
      <w:pPr>
        <w:pBdr>
          <w:bottom w:val="single" w:color="00A8A8" w:sz="6" w:space="1"/>
        </w:pBdr>
        <w:spacing w:after="240" w:before="240"/>
      </w:pPr>
      <w:r>
        <w:t xml:space="preserve"/>
      </w:r>
    </w:p>
    <w:p>
      <w:pPr>
        <w:pStyle w:val="Heading1"/>
      </w:pPr>
      <w:r>
        <w:t xml:space="preserve">7. Key risks and things to watch</w:t>
      </w:r>
    </w:p>
    <w:p>
      <w:pPr>
        <w:pStyle w:val="ListParagraph"/>
        <w:numPr>
          <w:ilvl w:val="0"/>
          <w:numId w:val="3"/>
        </w:numPr>
        <w:spacing w:after="60"/>
      </w:pPr>
      <w:r>
        <w:t xml:space="preserve">STT cost runaway if cloud adoption is higher than 30%. Monitor weekly in the first 6 months. If actual adoption is 60%+, lower the included cap or raise tier prices to compensate.</w:t>
      </w:r>
    </w:p>
    <w:p>
      <w:pPr>
        <w:pStyle w:val="ListParagraph"/>
        <w:numPr>
          <w:ilvl w:val="0"/>
          <w:numId w:val="3"/>
        </w:numPr>
        <w:spacing w:after="60"/>
      </w:pPr>
      <w:r>
        <w:t xml:space="preserve">Free tier abuse. Privacy-first products attract heavy free-tier exploiters. The combination of soft-cap meeting length and per-user STT minute cap is the protection — keep both enforced.</w:t>
      </w:r>
    </w:p>
    <w:p>
      <w:pPr>
        <w:pStyle w:val="ListParagraph"/>
        <w:numPr>
          <w:ilvl w:val="0"/>
          <w:numId w:val="3"/>
        </w:numPr>
        <w:spacing w:after="60"/>
      </w:pPr>
      <w:r>
        <w:t xml:space="preserve">Enterprise sales cycle. 3–9 months is typical. Budget 12 months of runway before Enterprise revenue compounds meaningfully. Mass-market revenue should fund that wait — that’s why the Pro and Team tiers cannot be loss-makers.</w:t>
      </w:r>
    </w:p>
    <w:p>
      <w:pPr>
        <w:pStyle w:val="ListParagraph"/>
        <w:numPr>
          <w:ilvl w:val="0"/>
          <w:numId w:val="3"/>
        </w:numPr>
        <w:spacing w:after="60"/>
      </w:pPr>
      <w:r>
        <w:t xml:space="preserve">Compliance investment. SOC2 ($15 – $30K Type II audit) is non-optional for Enterprise sales. Budget for it before pursuing the first enterprise contract. Use Vanta or Drata for ongoing evidence collection.</w:t>
      </w:r>
    </w:p>
    <w:p>
      <w:pPr>
        <w:pStyle w:val="ListParagraph"/>
        <w:numPr>
          <w:ilvl w:val="0"/>
          <w:numId w:val="3"/>
        </w:numPr>
        <w:spacing w:after="60"/>
      </w:pPr>
      <w:r>
        <w:t xml:space="preserve">White-label resale risk. If we let resellers white-label, the contract must include data-handling clauses that do not expose us to their customers’ regulatory liabilities. Get a privacy lawyer to review the standard reseller agreement before the first white-label customer signs.</w:t>
      </w:r>
    </w:p>
    <w:p>
      <w:pPr>
        <w:pStyle w:val="ListParagraph"/>
        <w:numPr>
          <w:ilvl w:val="0"/>
          <w:numId w:val="3"/>
        </w:numPr>
        <w:spacing w:after="60"/>
      </w:pPr>
      <w:r>
        <w:t xml:space="preserve">Currency and payment failures. Multi-currency support (EUR, INR, GBP) brings localized payment-failure rates that vary by region. Build dunning/retry logic into the payment system from day one — not after the first wave of failed renewals.</w:t>
      </w:r>
    </w:p>
    <w:p>
      <w:pPr>
        <w:pStyle w:val="ListParagraph"/>
        <w:numPr>
          <w:ilvl w:val="0"/>
          <w:numId w:val="3"/>
        </w:numPr>
        <w:spacing w:after="60"/>
      </w:pPr>
      <w:r>
        <w:t xml:space="preserve">Concentration risk in Enterprise. If one or two enterprise customers represent more than 30% of ARR, we are exposed to their renewal decisions. Track customer concentration; aim to keep top-customer ARR share below 20% by year 2.</w:t>
      </w:r>
    </w:p>
    <w:p>
      <w:pPr>
        <w:pBdr>
          <w:bottom w:val="single" w:color="00A8A8" w:sz="6" w:space="1"/>
        </w:pBdr>
        <w:spacing w:after="240" w:before="240"/>
      </w:pPr>
      <w:r>
        <w:t xml:space="preserve"/>
      </w:r>
    </w:p>
    <w:p>
      <w:pPr>
        <w:pStyle w:val="Heading1"/>
      </w:pPr>
      <w:r>
        <w:t xml:space="preserve">8. Summary</w:t>
      </w:r>
    </w:p>
    <w:p>
      <w:pPr>
        <w:spacing w:after="120"/>
      </w:pPr>
      <w:r>
        <w:t xml:space="preserve">Adding STT and operational overhead to the original cost analysis raises the per-user cost meaningfully but does not destroy the margin story. The recommended pricing keeps gross margins between 46% (worst-case Pro) and 79% (Team) at the levels the original analysis missed. Enterprise margins remain healthy at 50–70%.</w:t>
      </w:r>
    </w:p>
    <w:p>
      <w:pPr>
        <w:spacing w:after="120"/>
      </w:pPr>
      <w:r>
        <w:t xml:space="preserve">The strategic shape is: free tier as conversion engine, Pro and Team as the self-serve revenue and discovery channel for enterprise, Business as the sales-assisted bridge, and Enterprise as the high-margin tier where dedicated infrastructure and compliance investment pay back. The white-label add-on opens a reseller channel that compounds with minimal incremental cost.</w:t>
      </w:r>
    </w:p>
    <w:p>
      <w:pPr>
        <w:spacing w:after="120"/>
      </w:pPr>
      <w:r>
        <w:t xml:space="preserve">E2EE plus on-device AI is the moat that justifies the premium positioning. None of the giant competitors can match it without significant architectural rework. Pricing should reflect that defensibility.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of </w:t>
    </w:r>
    <w:r>
      <w:rPr>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DVAI-Meet · Cost &amp; Pricing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2A3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A3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DVAI-Meet Cost &amp; Pricing Analysis</dc:title>
  <dc:creator>DVAI-Meet team</dc:creator>
  <dc:description>Cost-per-user breakdown and recommended pricing including cloud STT and operational overhead</dc:description>
  <cp:lastModifiedBy>Un-named</cp:lastModifiedBy>
  <cp:revision>1</cp:revision>
  <dcterms:created xsi:type="dcterms:W3CDTF">2026-04-30T03:33:06.033Z</dcterms:created>
  <dcterms:modified xsi:type="dcterms:W3CDTF">2026-04-30T03:33:06.034Z</dcterms:modified>
</cp:coreProperties>
</file>

<file path=docProps/custom.xml><?xml version="1.0" encoding="utf-8"?>
<Properties xmlns="http://schemas.openxmlformats.org/officeDocument/2006/custom-properties" xmlns:vt="http://schemas.openxmlformats.org/officeDocument/2006/docPropsVTypes"/>
</file>