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6FA95" w14:textId="77777777" w:rsidR="00A021A9" w:rsidRDefault="00A021A9" w:rsidP="00A021A9">
      <w:pPr>
        <w:pStyle w:val="Heading1"/>
      </w:pPr>
      <w:r>
        <w:t>6_MMR_selection — Notes</w:t>
      </w:r>
    </w:p>
    <w:p w14:paraId="0AA813C1" w14:textId="77777777" w:rsidR="00A021A9" w:rsidRDefault="00A021A9" w:rsidP="00A021A9">
      <w:pPr>
        <w:pStyle w:val="Heading2"/>
      </w:pPr>
      <w:r>
        <w:t>Purpose</w:t>
      </w:r>
    </w:p>
    <w:p w14:paraId="6D0A7CB2" w14:textId="77777777" w:rsidR="00A021A9" w:rsidRDefault="00A021A9" w:rsidP="00A021A9">
      <w:r>
        <w:t>This step applies Maximal Marginal Relevance (MMR) to select a diverse subset of candidate evidence chunks. It balances relevance to the claim with diversity among selected chunks to reduce redundancy before later filtering.</w:t>
      </w:r>
    </w:p>
    <w:p w14:paraId="465EB199" w14:textId="77777777" w:rsidR="00A021A9" w:rsidRDefault="00A021A9" w:rsidP="00A021A9">
      <w:pPr>
        <w:pStyle w:val="Heading2"/>
      </w:pPr>
      <w:r>
        <w:t>Design Rationale</w:t>
      </w:r>
    </w:p>
    <w:p w14:paraId="39D01B04" w14:textId="77777777" w:rsidR="00A021A9" w:rsidRDefault="00A021A9" w:rsidP="00A021A9">
      <w:r>
        <w:t>- Keep retrieval (Step 5) separate from reranking/selection.</w:t>
      </w:r>
      <w:r>
        <w:br/>
        <w:t>- Use MMR to avoid selecting many near-duplicate paragraphs from the same article.</w:t>
      </w:r>
      <w:r>
        <w:br/>
        <w:t>- Produce an auditable selection trace (ranked list + MMR scores).</w:t>
      </w:r>
      <w:r>
        <w:br/>
        <w:t>- Defer precision filtering (</w:t>
      </w:r>
      <w:proofErr w:type="gramStart"/>
      <w:r>
        <w:t>top-K</w:t>
      </w:r>
      <w:proofErr w:type="gramEnd"/>
      <w:r>
        <w:t xml:space="preserve"> + thresholds) to the next stage.</w:t>
      </w:r>
    </w:p>
    <w:p w14:paraId="7FA93986" w14:textId="77777777" w:rsidR="00A021A9" w:rsidRDefault="00A021A9" w:rsidP="00A021A9">
      <w:pPr>
        <w:pStyle w:val="Heading2"/>
      </w:pPr>
      <w:proofErr w:type="gramStart"/>
      <w:r>
        <w:t>Inputs</w:t>
      </w:r>
      <w:proofErr w:type="gramEnd"/>
    </w:p>
    <w:p w14:paraId="1A10B80D" w14:textId="77777777" w:rsidR="00A021A9" w:rsidRDefault="00A021A9" w:rsidP="00A021A9">
      <w:r>
        <w:t>Inputs include:</w:t>
      </w:r>
      <w:r>
        <w:br/>
        <w:t>- normalized claim text (serves as the query Q)</w:t>
      </w:r>
      <w:r>
        <w:br/>
        <w:t>- candidate pool of chunks (size ~ M)</w:t>
      </w:r>
      <w:r>
        <w:br/>
        <w:t>- routing parameters specifying the target selection size N</w:t>
      </w:r>
    </w:p>
    <w:p w14:paraId="0E7193A2" w14:textId="77777777" w:rsidR="00A021A9" w:rsidRDefault="00A021A9" w:rsidP="00A021A9">
      <w:pPr>
        <w:pStyle w:val="Heading2"/>
      </w:pPr>
      <w:r>
        <w:t>MMR Objective</w:t>
      </w:r>
    </w:p>
    <w:p w14:paraId="36395737" w14:textId="77777777" w:rsidR="00A021A9" w:rsidRDefault="00A021A9" w:rsidP="00A021A9">
      <w:r>
        <w:t>MMR iteratively selects items to maximize:</w:t>
      </w:r>
      <w:r>
        <w:br/>
        <w:t xml:space="preserve">  λ · </w:t>
      </w:r>
      <w:proofErr w:type="gramStart"/>
      <w:r>
        <w:t>sim(</w:t>
      </w:r>
      <w:proofErr w:type="gramEnd"/>
      <w:r>
        <w:t xml:space="preserve">chunk, claim) − (1−λ) · max </w:t>
      </w:r>
      <w:proofErr w:type="gramStart"/>
      <w:r>
        <w:t>sim(</w:t>
      </w:r>
      <w:proofErr w:type="gramEnd"/>
      <w:r>
        <w:t>chunk, selected)</w:t>
      </w:r>
      <w:r>
        <w:br/>
      </w:r>
      <w:r>
        <w:br/>
        <w:t>where sim is cosine similarity in embedding space, and λ controls the relevance–diversity tradeoff.</w:t>
      </w:r>
    </w:p>
    <w:p w14:paraId="50D396A5" w14:textId="77777777" w:rsidR="00A021A9" w:rsidRDefault="00A021A9" w:rsidP="00A021A9">
      <w:pPr>
        <w:pStyle w:val="Heading2"/>
      </w:pPr>
      <w:r>
        <w:t>Embedding Similarity</w:t>
      </w:r>
    </w:p>
    <w:p w14:paraId="60472496" w14:textId="77777777" w:rsidR="00A021A9" w:rsidRDefault="00A021A9" w:rsidP="00A021A9">
      <w:r>
        <w:t>MMR relies on embeddings for both claim–chunk relevance and chunk–chunk redundancy. Embeddings should be computed once per chunk and reused across iterations.</w:t>
      </w:r>
    </w:p>
    <w:p w14:paraId="245376DF" w14:textId="77777777" w:rsidR="00A021A9" w:rsidRDefault="00A021A9" w:rsidP="00A021A9">
      <w:pPr>
        <w:pStyle w:val="Heading2"/>
      </w:pPr>
      <w:r>
        <w:t>Selection Behavior</w:t>
      </w:r>
    </w:p>
    <w:p w14:paraId="3103FD76" w14:textId="77777777" w:rsidR="00A021A9" w:rsidRDefault="00A021A9" w:rsidP="00A021A9">
      <w:r>
        <w:t>Typical behavior:</w:t>
      </w:r>
      <w:r>
        <w:br/>
        <w:t>- First pick: highest similarity to the claim.</w:t>
      </w:r>
      <w:r>
        <w:br/>
        <w:t>- Subsequent picks: high relevance while penalizing redundancy.</w:t>
      </w:r>
      <w:r>
        <w:br/>
      </w:r>
      <w:r>
        <w:br/>
        <w:t>The output size is ≤ N if the candidate pool is smaller or selection cannot proceed.</w:t>
      </w:r>
    </w:p>
    <w:p w14:paraId="011F7768" w14:textId="77777777" w:rsidR="00A021A9" w:rsidRDefault="00A021A9" w:rsidP="00A021A9">
      <w:pPr>
        <w:pStyle w:val="Heading2"/>
      </w:pPr>
      <w:r>
        <w:t>What This Step Does NOT Do</w:t>
      </w:r>
    </w:p>
    <w:p w14:paraId="2F347499" w14:textId="77777777" w:rsidR="00A021A9" w:rsidRDefault="00A021A9" w:rsidP="00A021A9">
      <w:r>
        <w:t>- No web retrieval or scraping</w:t>
      </w:r>
      <w:r>
        <w:br/>
        <w:t xml:space="preserve">- No final </w:t>
      </w:r>
      <w:proofErr w:type="gramStart"/>
      <w:r>
        <w:t>top-K</w:t>
      </w:r>
      <w:proofErr w:type="gramEnd"/>
      <w:r>
        <w:t xml:space="preserve"> selection</w:t>
      </w:r>
      <w:r>
        <w:br/>
        <w:t>- No hard relevance thresholding</w:t>
      </w:r>
      <w:r>
        <w:br/>
        <w:t>- No factual verification or verdict modification</w:t>
      </w:r>
    </w:p>
    <w:p w14:paraId="0A69E4AF" w14:textId="77777777" w:rsidR="00A021A9" w:rsidRDefault="00A021A9" w:rsidP="00A021A9">
      <w:pPr>
        <w:pStyle w:val="Heading2"/>
      </w:pPr>
      <w:r>
        <w:lastRenderedPageBreak/>
        <w:t>Failure Modes</w:t>
      </w:r>
    </w:p>
    <w:p w14:paraId="1B76B70D" w14:textId="77777777" w:rsidR="00A021A9" w:rsidRDefault="00A021A9" w:rsidP="00A021A9">
      <w:r>
        <w:t xml:space="preserve">If the candidate pool is empty, the step </w:t>
      </w:r>
      <w:proofErr w:type="gramStart"/>
      <w:r>
        <w:t>returns</w:t>
      </w:r>
      <w:proofErr w:type="gramEnd"/>
      <w:r>
        <w:t xml:space="preserve"> an empty selection list. If embedding computation fails, this should surface as an infrastructure/model error.</w:t>
      </w:r>
    </w:p>
    <w:p w14:paraId="345922A9" w14:textId="77777777" w:rsidR="00A021A9" w:rsidRDefault="00A021A9" w:rsidP="00A021A9">
      <w:pPr>
        <w:pStyle w:val="Heading2"/>
      </w:pPr>
      <w:r>
        <w:t>Contract Guarantee</w:t>
      </w:r>
    </w:p>
    <w:p w14:paraId="5A9380AD" w14:textId="77777777" w:rsidR="00A021A9" w:rsidRDefault="00A021A9" w:rsidP="00A021A9">
      <w:r>
        <w:t>Downstream stages receive a diverse subset of candidate chunks along with MMR metadata (λ, embedding model id, similarity metric) and per-item selection diagnostics.</w:t>
      </w:r>
    </w:p>
    <w:p w14:paraId="67BC55C8" w14:textId="77777777" w:rsidR="00A021A9" w:rsidRDefault="00A021A9" w:rsidP="00A021A9">
      <w:pPr>
        <w:pStyle w:val="Heading2"/>
      </w:pPr>
      <w:r>
        <w:t>Operational Notes</w:t>
      </w:r>
    </w:p>
    <w:p w14:paraId="3F33D597" w14:textId="77777777" w:rsidR="00A021A9" w:rsidRDefault="00A021A9" w:rsidP="00A021A9">
      <w:r>
        <w:t xml:space="preserve">Key </w:t>
      </w:r>
      <w:proofErr w:type="spellStart"/>
      <w:r>
        <w:t>tunables</w:t>
      </w:r>
      <w:proofErr w:type="spellEnd"/>
      <w:r>
        <w:t>:</w:t>
      </w:r>
      <w:r>
        <w:br/>
        <w:t>- λ (</w:t>
      </w:r>
      <w:proofErr w:type="gramStart"/>
      <w:r>
        <w:t>0..</w:t>
      </w:r>
      <w:proofErr w:type="gramEnd"/>
      <w:r>
        <w:t>1): higher favors relevance; lower favors diversity</w:t>
      </w:r>
      <w:r>
        <w:br/>
        <w:t>- embedding model choice</w:t>
      </w:r>
      <w:r>
        <w:br/>
        <w:t>- target N (from routing)</w:t>
      </w:r>
      <w:r>
        <w:br/>
      </w:r>
      <w:r>
        <w:br/>
        <w:t>Changes to λ or embedding model should be evaluated offline and versioned.</w:t>
      </w:r>
    </w:p>
    <w:p w14:paraId="27C7D775" w14:textId="77777777" w:rsidR="009525C5" w:rsidRDefault="009525C5"/>
    <w:p>
      <w:pPr>
        <w:pStyle w:val="Heading2"/>
      </w:pPr>
      <w:r>
        <w:t>Efficiency Upgrade: Embedding Reuse</w:t>
      </w:r>
    </w:p>
    <w:p>
      <w:r>
        <w:t>To avoid redundant embedding computation across stages, embeddings are reused via a cache keyed by chunk_id and embed_model. Stage 6 populates the cache when embedding all candidate chunks for MMR; Stage 7 reads from the same cache and embeds only on cache-miss. Vectors are not serialized into the pipeline object.</w:t>
      </w:r>
    </w:p>
    <w:p>
      <w:r>
        <w:t>Recommended meta fields:</w:t>
        <w:br/>
        <w:t>- embed_model (string)</w:t>
        <w:br/>
        <w:t>- embedding_cache_enabled (bool)</w:t>
        <w:br/>
        <w:t>- embedding_cache_namespace (string)</w:t>
        <w:br/>
        <w:t>- embedding_cache_ttl_s (int)</w:t>
      </w:r>
    </w:p>
    <w:sectPr w:rsidR="009525C5" w:rsidSect="00A021A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5C5"/>
    <w:rsid w:val="009525C5"/>
    <w:rsid w:val="00A021A9"/>
    <w:rsid w:val="00F4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EB3A9A-7F3C-4A00-B807-2266D9B6D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1A9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25C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ko-K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5C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ko-K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5C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ko-K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5C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5C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5C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5C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5C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5C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2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5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5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52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5C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52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5C5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eastAsia="ko-K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52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5C5"/>
    <w:pPr>
      <w:spacing w:after="160" w:line="278" w:lineRule="auto"/>
      <w:ind w:left="720"/>
      <w:contextualSpacing/>
    </w:pPr>
    <w:rPr>
      <w:kern w:val="2"/>
      <w:sz w:val="24"/>
      <w:szCs w:val="24"/>
      <w:lang w:eastAsia="ko-K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52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Insoo Son</dc:creator>
  <cp:keywords/>
  <dc:description/>
  <cp:lastModifiedBy>Insoo Son</cp:lastModifiedBy>
  <cp:revision>2</cp:revision>
  <dcterms:created xsi:type="dcterms:W3CDTF">2026-02-06T19:10:00Z</dcterms:created>
  <dcterms:modified xsi:type="dcterms:W3CDTF">2026-02-06T19:11:00Z</dcterms:modified>
</cp:coreProperties>
</file>