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89" w:rsidRDefault="000D2989" w:rsidP="000D2989">
      <w:pPr>
        <w:ind w:right="750"/>
        <w:jc w:val="center"/>
        <w:rPr>
          <w:rFonts w:ascii="方正小标宋简体" w:eastAsia="方正小标宋简体" w:hAnsi="宋体"/>
          <w:sz w:val="36"/>
          <w:szCs w:val="36"/>
        </w:rPr>
      </w:pPr>
    </w:p>
    <w:p w:rsidR="000D2989" w:rsidRPr="000279D5" w:rsidRDefault="008311D3" w:rsidP="008311D3">
      <w:pPr>
        <w:ind w:right="750"/>
        <w:jc w:val="center"/>
        <w:rPr>
          <w:rFonts w:ascii="方正小标宋简体" w:eastAsia="方正小标宋简体" w:hAnsi="宋体"/>
          <w:sz w:val="36"/>
          <w:szCs w:val="36"/>
        </w:rPr>
      </w:pPr>
      <w:r>
        <w:rPr>
          <w:rFonts w:ascii="方正小标宋简体" w:eastAsia="方正小标宋简体" w:hAnsi="宋体" w:hint="eastAsia"/>
          <w:sz w:val="36"/>
          <w:szCs w:val="36"/>
        </w:rPr>
        <w:t>课题</w:t>
      </w:r>
      <w:r w:rsidR="00F40B38">
        <w:rPr>
          <w:rFonts w:ascii="方正小标宋简体" w:eastAsia="方正小标宋简体" w:hAnsi="宋体" w:hint="eastAsia"/>
          <w:sz w:val="36"/>
          <w:szCs w:val="36"/>
        </w:rPr>
        <w:t>研究项目指南</w:t>
      </w:r>
    </w:p>
    <w:p w:rsidR="000D2989" w:rsidRPr="00880697" w:rsidRDefault="007C629B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大学生</w:t>
      </w:r>
      <w:r w:rsidR="000D2989" w:rsidRPr="00880697">
        <w:rPr>
          <w:rFonts w:ascii="仿宋_GB2312" w:eastAsia="仿宋_GB2312" w:hAnsi="仿宋" w:hint="eastAsia"/>
          <w:sz w:val="30"/>
          <w:szCs w:val="30"/>
        </w:rPr>
        <w:t>思想政治教育前沿问题研究</w:t>
      </w:r>
    </w:p>
    <w:p w:rsidR="008311D3" w:rsidRPr="00880697" w:rsidRDefault="00A04BAE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大</w:t>
      </w:r>
      <w:r w:rsidR="008311D3" w:rsidRPr="00880697">
        <w:rPr>
          <w:rFonts w:ascii="仿宋_GB2312" w:eastAsia="仿宋_GB2312" w:hAnsi="仿宋" w:hint="eastAsia"/>
          <w:sz w:val="30"/>
          <w:szCs w:val="30"/>
        </w:rPr>
        <w:t>学生工作事务前沿问题研究</w:t>
      </w:r>
    </w:p>
    <w:p w:rsidR="008311D3" w:rsidRPr="00880697" w:rsidRDefault="008311D3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跨学科视野下的大学生思想政治教育研究</w:t>
      </w:r>
    </w:p>
    <w:p w:rsidR="008311D3" w:rsidRPr="00880697" w:rsidRDefault="008311D3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当前社会思潮对大学生思想素质形成的影响研究</w:t>
      </w:r>
    </w:p>
    <w:p w:rsidR="008311D3" w:rsidRPr="00880697" w:rsidRDefault="008311D3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网络育人价值的生成机制与实现路径研究</w:t>
      </w:r>
    </w:p>
    <w:p w:rsidR="008311D3" w:rsidRPr="00880697" w:rsidRDefault="008311D3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中华优秀传统文化融入大学生思想政治教育研究</w:t>
      </w:r>
    </w:p>
    <w:p w:rsidR="008311D3" w:rsidRPr="00880697" w:rsidRDefault="008311D3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大学生先进典型培育、发掘、宣传机制研究</w:t>
      </w:r>
    </w:p>
    <w:p w:rsidR="008311D3" w:rsidRPr="00880697" w:rsidRDefault="008311D3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研究生思想政治教育工作方法创新研究</w:t>
      </w:r>
    </w:p>
    <w:p w:rsidR="00CB75CC" w:rsidRPr="00880697" w:rsidRDefault="008311D3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中华优秀传统文化在推动校园文化建设中的作用发挥研究</w:t>
      </w:r>
    </w:p>
    <w:p w:rsidR="00CB75CC" w:rsidRPr="00880697" w:rsidRDefault="00CB75CC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大学生责任（诚信</w:t>
      </w:r>
      <w:r w:rsidR="00A150DE">
        <w:rPr>
          <w:rFonts w:ascii="仿宋_GB2312" w:eastAsia="仿宋_GB2312" w:hAnsi="仿宋" w:hint="eastAsia"/>
          <w:sz w:val="30"/>
          <w:szCs w:val="30"/>
        </w:rPr>
        <w:t>/</w:t>
      </w:r>
      <w:r w:rsidRPr="00880697">
        <w:rPr>
          <w:rFonts w:ascii="仿宋_GB2312" w:eastAsia="仿宋_GB2312" w:hAnsi="仿宋"/>
          <w:sz w:val="30"/>
          <w:szCs w:val="30"/>
        </w:rPr>
        <w:t>成才</w:t>
      </w:r>
      <w:r w:rsidRPr="00880697">
        <w:rPr>
          <w:rFonts w:ascii="仿宋_GB2312" w:eastAsia="仿宋_GB2312" w:hAnsi="仿宋" w:hint="eastAsia"/>
          <w:sz w:val="30"/>
          <w:szCs w:val="30"/>
        </w:rPr>
        <w:t>）教育体系建设研究</w:t>
      </w:r>
    </w:p>
    <w:p w:rsidR="00CB75CC" w:rsidRPr="00880697" w:rsidRDefault="00CB75CC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武汉理工大学深化“责任·诚信·成才”三项教育研究</w:t>
      </w:r>
    </w:p>
    <w:p w:rsidR="00CB75CC" w:rsidRPr="00880697" w:rsidRDefault="00CB75CC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学生安全与法制教育读本或线上资源建设及实践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高校学生安全法制教育“精彩一课”探索与研究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大学生职业发展和创业就业中的思想引导研究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高校学生教育管理中的法律问题研究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应用信息技术手段加强学生教育管理的方法和路径研究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示范性大学生主题教育网站功能建设与作用发挥研究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新生</w:t>
      </w:r>
      <w:r w:rsidRPr="00880697">
        <w:rPr>
          <w:rFonts w:ascii="仿宋_GB2312" w:eastAsia="仿宋_GB2312" w:hAnsi="仿宋"/>
          <w:sz w:val="30"/>
          <w:szCs w:val="30"/>
        </w:rPr>
        <w:t>入学教育</w:t>
      </w:r>
      <w:r w:rsidRPr="00880697">
        <w:rPr>
          <w:rFonts w:ascii="仿宋_GB2312" w:eastAsia="仿宋_GB2312" w:hAnsi="仿宋" w:hint="eastAsia"/>
          <w:sz w:val="30"/>
          <w:szCs w:val="30"/>
        </w:rPr>
        <w:t>（毕业生</w:t>
      </w:r>
      <w:r w:rsidRPr="00880697">
        <w:rPr>
          <w:rFonts w:ascii="仿宋_GB2312" w:eastAsia="仿宋_GB2312" w:hAnsi="仿宋"/>
          <w:sz w:val="30"/>
          <w:szCs w:val="30"/>
        </w:rPr>
        <w:t>离校教育</w:t>
      </w:r>
      <w:r w:rsidRPr="00880697">
        <w:rPr>
          <w:rFonts w:ascii="仿宋_GB2312" w:eastAsia="仿宋_GB2312" w:hAnsi="仿宋" w:hint="eastAsia"/>
          <w:sz w:val="30"/>
          <w:szCs w:val="30"/>
        </w:rPr>
        <w:t>）在线</w:t>
      </w:r>
      <w:r w:rsidRPr="00880697">
        <w:rPr>
          <w:rFonts w:ascii="仿宋_GB2312" w:eastAsia="仿宋_GB2312" w:hAnsi="仿宋"/>
          <w:sz w:val="30"/>
          <w:szCs w:val="30"/>
        </w:rPr>
        <w:t>资源</w:t>
      </w:r>
      <w:r w:rsidRPr="00880697">
        <w:rPr>
          <w:rFonts w:ascii="仿宋_GB2312" w:eastAsia="仿宋_GB2312" w:hAnsi="仿宋" w:hint="eastAsia"/>
          <w:sz w:val="30"/>
          <w:szCs w:val="30"/>
        </w:rPr>
        <w:t>建设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年级</w:t>
      </w:r>
      <w:r w:rsidRPr="00880697">
        <w:rPr>
          <w:rFonts w:ascii="仿宋_GB2312" w:eastAsia="仿宋_GB2312" w:hAnsi="仿宋"/>
          <w:sz w:val="30"/>
          <w:szCs w:val="30"/>
        </w:rPr>
        <w:t>周会（</w:t>
      </w:r>
      <w:r w:rsidRPr="00880697">
        <w:rPr>
          <w:rFonts w:ascii="仿宋_GB2312" w:eastAsia="仿宋_GB2312" w:hAnsi="仿宋" w:hint="eastAsia"/>
          <w:sz w:val="30"/>
          <w:szCs w:val="30"/>
        </w:rPr>
        <w:t>周末</w:t>
      </w:r>
      <w:r w:rsidRPr="00880697">
        <w:rPr>
          <w:rFonts w:ascii="仿宋_GB2312" w:eastAsia="仿宋_GB2312" w:hAnsi="仿宋"/>
          <w:sz w:val="30"/>
          <w:szCs w:val="30"/>
        </w:rPr>
        <w:t>晚点名）</w:t>
      </w:r>
      <w:r w:rsidRPr="00880697">
        <w:rPr>
          <w:rFonts w:ascii="仿宋_GB2312" w:eastAsia="仿宋_GB2312" w:hAnsi="仿宋" w:hint="eastAsia"/>
          <w:sz w:val="30"/>
          <w:szCs w:val="30"/>
        </w:rPr>
        <w:t>教育资源开发</w:t>
      </w:r>
      <w:r w:rsidRPr="00880697">
        <w:rPr>
          <w:rFonts w:ascii="仿宋_GB2312" w:eastAsia="仿宋_GB2312" w:hAnsi="仿宋"/>
          <w:sz w:val="30"/>
          <w:szCs w:val="30"/>
        </w:rPr>
        <w:t>研究</w:t>
      </w:r>
    </w:p>
    <w:p w:rsid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低年级学生的时间管理与文化</w:t>
      </w:r>
      <w:r w:rsidRPr="00880697">
        <w:rPr>
          <w:rFonts w:ascii="仿宋_GB2312" w:eastAsia="仿宋_GB2312" w:hAnsi="仿宋"/>
          <w:sz w:val="30"/>
          <w:szCs w:val="30"/>
        </w:rPr>
        <w:t>素质培养研究</w:t>
      </w:r>
    </w:p>
    <w:p w:rsidR="00212E2D" w:rsidRPr="00880697" w:rsidRDefault="00212E2D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lastRenderedPageBreak/>
        <w:t>面向低年级学生的中国传统文化教育（如阅读习惯养成等）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高校少数民族学生教育管理研究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高校安全稳定隐患排查工作标准研究</w:t>
      </w:r>
    </w:p>
    <w:p w:rsid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分布式高校学生住宿信息管理系统运行机制研究</w:t>
      </w:r>
    </w:p>
    <w:p w:rsidR="00212E2D" w:rsidRDefault="00212E2D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仿宋" w:hint="eastAsia"/>
          <w:sz w:val="30"/>
          <w:szCs w:val="30"/>
        </w:rPr>
        <w:t>新时期心理健康教育方法创新研究</w:t>
      </w:r>
    </w:p>
    <w:p w:rsidR="00A04BAE" w:rsidRPr="00A04BAE" w:rsidRDefault="00A04BAE" w:rsidP="00A04BAE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 w:hint="eastAsia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学生基层组织建设的指导方法及实践</w:t>
      </w:r>
      <w:bookmarkStart w:id="0" w:name="_GoBack"/>
      <w:bookmarkEnd w:id="0"/>
    </w:p>
    <w:p w:rsidR="00CB75CC" w:rsidRPr="00880697" w:rsidRDefault="00CB75CC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高校党团与班级建设创新研究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高校学生社团管理模式创新研究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大学生志愿服务工作体系、评价体系与保障体系研究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武汉理工大学学生学习风气状况调查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武汉理工大学学生思想状况调查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武汉理工大学学生辅导员班主任工作状况调查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基于职业能力标准的辅导员培训体系构建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武汉理工大学辅导员工作手册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学生工作精品项目培育建设研究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高校辅导员培训核心课程体系建设研究</w:t>
      </w:r>
    </w:p>
    <w:p w:rsidR="00880697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高校辅导员职业能力提升路径与方法研究</w:t>
      </w:r>
    </w:p>
    <w:p w:rsidR="008311D3" w:rsidRPr="00880697" w:rsidRDefault="00880697" w:rsidP="00880697">
      <w:pPr>
        <w:pStyle w:val="a7"/>
        <w:numPr>
          <w:ilvl w:val="0"/>
          <w:numId w:val="2"/>
        </w:numPr>
        <w:ind w:rightChars="357" w:right="750" w:firstLineChars="0"/>
        <w:rPr>
          <w:rFonts w:ascii="仿宋_GB2312" w:eastAsia="仿宋_GB2312" w:hAnsi="仿宋"/>
          <w:sz w:val="30"/>
          <w:szCs w:val="30"/>
        </w:rPr>
      </w:pPr>
      <w:r w:rsidRPr="00880697">
        <w:rPr>
          <w:rFonts w:ascii="仿宋_GB2312" w:eastAsia="仿宋_GB2312" w:hAnsi="仿宋" w:hint="eastAsia"/>
          <w:sz w:val="30"/>
          <w:szCs w:val="30"/>
        </w:rPr>
        <w:t>大学生辅导员（班主任）工作室建设模式创新研究</w:t>
      </w:r>
    </w:p>
    <w:sectPr w:rsidR="008311D3" w:rsidRPr="00880697" w:rsidSect="00880697">
      <w:pgSz w:w="11906" w:h="16838"/>
      <w:pgMar w:top="1440" w:right="113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333" w:rsidRDefault="008C6333" w:rsidP="00DF0801">
      <w:r>
        <w:separator/>
      </w:r>
    </w:p>
  </w:endnote>
  <w:endnote w:type="continuationSeparator" w:id="0">
    <w:p w:rsidR="008C6333" w:rsidRDefault="008C6333" w:rsidP="00DF0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333" w:rsidRDefault="008C6333" w:rsidP="00DF0801">
      <w:r>
        <w:separator/>
      </w:r>
    </w:p>
  </w:footnote>
  <w:footnote w:type="continuationSeparator" w:id="0">
    <w:p w:rsidR="008C6333" w:rsidRDefault="008C6333" w:rsidP="00DF0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201"/>
    <w:multiLevelType w:val="hybridMultilevel"/>
    <w:tmpl w:val="DFD0E568"/>
    <w:lvl w:ilvl="0" w:tplc="0409000F">
      <w:start w:val="1"/>
      <w:numFmt w:val="decimal"/>
      <w:lvlText w:val="%1."/>
      <w:lvlJc w:val="left"/>
      <w:pPr>
        <w:ind w:left="391" w:hanging="420"/>
      </w:pPr>
    </w:lvl>
    <w:lvl w:ilvl="1" w:tplc="04090019" w:tentative="1">
      <w:start w:val="1"/>
      <w:numFmt w:val="lowerLetter"/>
      <w:lvlText w:val="%2)"/>
      <w:lvlJc w:val="left"/>
      <w:pPr>
        <w:ind w:left="811" w:hanging="420"/>
      </w:pPr>
    </w:lvl>
    <w:lvl w:ilvl="2" w:tplc="0409001B" w:tentative="1">
      <w:start w:val="1"/>
      <w:numFmt w:val="lowerRoman"/>
      <w:lvlText w:val="%3."/>
      <w:lvlJc w:val="right"/>
      <w:pPr>
        <w:ind w:left="1231" w:hanging="420"/>
      </w:pPr>
    </w:lvl>
    <w:lvl w:ilvl="3" w:tplc="0409000F" w:tentative="1">
      <w:start w:val="1"/>
      <w:numFmt w:val="decimal"/>
      <w:lvlText w:val="%4."/>
      <w:lvlJc w:val="left"/>
      <w:pPr>
        <w:ind w:left="1651" w:hanging="420"/>
      </w:pPr>
    </w:lvl>
    <w:lvl w:ilvl="4" w:tplc="04090019" w:tentative="1">
      <w:start w:val="1"/>
      <w:numFmt w:val="lowerLetter"/>
      <w:lvlText w:val="%5)"/>
      <w:lvlJc w:val="left"/>
      <w:pPr>
        <w:ind w:left="2071" w:hanging="420"/>
      </w:pPr>
    </w:lvl>
    <w:lvl w:ilvl="5" w:tplc="0409001B" w:tentative="1">
      <w:start w:val="1"/>
      <w:numFmt w:val="lowerRoman"/>
      <w:lvlText w:val="%6."/>
      <w:lvlJc w:val="right"/>
      <w:pPr>
        <w:ind w:left="2491" w:hanging="420"/>
      </w:pPr>
    </w:lvl>
    <w:lvl w:ilvl="6" w:tplc="0409000F" w:tentative="1">
      <w:start w:val="1"/>
      <w:numFmt w:val="decimal"/>
      <w:lvlText w:val="%7."/>
      <w:lvlJc w:val="left"/>
      <w:pPr>
        <w:ind w:left="2911" w:hanging="420"/>
      </w:pPr>
    </w:lvl>
    <w:lvl w:ilvl="7" w:tplc="04090019" w:tentative="1">
      <w:start w:val="1"/>
      <w:numFmt w:val="lowerLetter"/>
      <w:lvlText w:val="%8)"/>
      <w:lvlJc w:val="left"/>
      <w:pPr>
        <w:ind w:left="3331" w:hanging="420"/>
      </w:pPr>
    </w:lvl>
    <w:lvl w:ilvl="8" w:tplc="0409001B" w:tentative="1">
      <w:start w:val="1"/>
      <w:numFmt w:val="lowerRoman"/>
      <w:lvlText w:val="%9."/>
      <w:lvlJc w:val="right"/>
      <w:pPr>
        <w:ind w:left="3751" w:hanging="420"/>
      </w:pPr>
    </w:lvl>
  </w:abstractNum>
  <w:abstractNum w:abstractNumId="1" w15:restartNumberingAfterBreak="0">
    <w:nsid w:val="471123C6"/>
    <w:multiLevelType w:val="hybridMultilevel"/>
    <w:tmpl w:val="3128161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12"/>
    <w:rsid w:val="000279D5"/>
    <w:rsid w:val="000D2989"/>
    <w:rsid w:val="00212E2D"/>
    <w:rsid w:val="003E3ED7"/>
    <w:rsid w:val="00490AEC"/>
    <w:rsid w:val="00495B59"/>
    <w:rsid w:val="007377D8"/>
    <w:rsid w:val="0079661C"/>
    <w:rsid w:val="007C629B"/>
    <w:rsid w:val="008311D3"/>
    <w:rsid w:val="00880697"/>
    <w:rsid w:val="008C6333"/>
    <w:rsid w:val="00994131"/>
    <w:rsid w:val="009A4812"/>
    <w:rsid w:val="009C23E1"/>
    <w:rsid w:val="009D6AA5"/>
    <w:rsid w:val="00A04BAE"/>
    <w:rsid w:val="00A150DE"/>
    <w:rsid w:val="00AF6BE0"/>
    <w:rsid w:val="00B61987"/>
    <w:rsid w:val="00BD3567"/>
    <w:rsid w:val="00CB75CC"/>
    <w:rsid w:val="00D53A4C"/>
    <w:rsid w:val="00DF0801"/>
    <w:rsid w:val="00E72A63"/>
    <w:rsid w:val="00F4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1D10D"/>
  <w15:docId w15:val="{C530618C-F995-454D-BA70-F78EF1B9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F08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08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0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0801"/>
    <w:rPr>
      <w:sz w:val="18"/>
      <w:szCs w:val="18"/>
    </w:rPr>
  </w:style>
  <w:style w:type="paragraph" w:styleId="a7">
    <w:name w:val="List Paragraph"/>
    <w:basedOn w:val="a"/>
    <w:uiPriority w:val="34"/>
    <w:qFormat/>
    <w:rsid w:val="000D298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279D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279D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112</Words>
  <Characters>641</Characters>
  <Application>Microsoft Office Word</Application>
  <DocSecurity>0</DocSecurity>
  <Lines>5</Lines>
  <Paragraphs>1</Paragraphs>
  <ScaleCrop>false</ScaleCrop>
  <Company>Sky123.Org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13</cp:revision>
  <cp:lastPrinted>2016-11-15T01:55:00Z</cp:lastPrinted>
  <dcterms:created xsi:type="dcterms:W3CDTF">2016-11-14T06:23:00Z</dcterms:created>
  <dcterms:modified xsi:type="dcterms:W3CDTF">2016-11-15T02:26:00Z</dcterms:modified>
</cp:coreProperties>
</file>