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fpkfe8l0gv8"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f9g7wsac4lpm" w:id="1"/>
      <w:bookmarkEnd w:id="1"/>
      <w:r w:rsidDel="00000000" w:rsidR="00000000" w:rsidRPr="00000000">
        <w:rPr>
          <w:rFonts w:ascii="Times New Roman" w:cs="Times New Roman" w:eastAsia="Times New Roman" w:hAnsi="Times New Roman"/>
          <w:rtl w:val="0"/>
        </w:rPr>
        <w:t xml:space="preserve">Article Title: Congress Poised to Dramatically Alter Clean Energy Subsidies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line="480" w:lineRule="auto"/>
        <w:jc w:val="left"/>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left"/>
        <w:rPr/>
      </w:pPr>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r>
    </w:p>
    <w:p w:rsidR="00000000" w:rsidDel="00000000" w:rsidP="00000000" w:rsidRDefault="00000000" w:rsidRPr="00000000" w14:paraId="0000000D">
      <w:pPr>
        <w:spacing w:line="480" w:lineRule="auto"/>
        <w:jc w:val="left"/>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t xml:space="preserve">Key Concept: Efficiency</w:t>
      </w: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t xml:space="preserve">Source: E&amp;E News / ClimateWire</w:t>
      </w:r>
    </w:p>
    <w:p w:rsidR="00000000" w:rsidDel="00000000" w:rsidP="00000000" w:rsidRDefault="00000000" w:rsidRPr="00000000" w14:paraId="00000011">
      <w:pPr>
        <w:spacing w:line="480" w:lineRule="auto"/>
        <w:jc w:val="center"/>
        <w:rPr/>
      </w:pPr>
      <w:r w:rsidDel="00000000" w:rsidR="00000000" w:rsidRPr="00000000">
        <w:rPr>
          <w:rtl w:val="0"/>
        </w:rPr>
        <w:t xml:space="preserve">URL:</w:t>
      </w:r>
    </w:p>
    <w:p w:rsidR="00000000" w:rsidDel="00000000" w:rsidP="00000000" w:rsidRDefault="00000000" w:rsidRPr="00000000" w14:paraId="00000012">
      <w:pPr>
        <w:spacing w:line="480" w:lineRule="auto"/>
        <w:jc w:val="center"/>
        <w:rPr/>
      </w:pPr>
      <w:hyperlink r:id="rId6">
        <w:r w:rsidDel="00000000" w:rsidR="00000000" w:rsidRPr="00000000">
          <w:rPr>
            <w:color w:val="1155cc"/>
            <w:u w:val="single"/>
            <w:rtl w:val="0"/>
          </w:rPr>
          <w:t xml:space="preserve">https://www.eenews.net/articles/congress-poised-to-dramatically-alter-clean-energy-subsidies/</w:t>
        </w:r>
      </w:hyperlink>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t xml:space="preserve">Name: Westly Bouchard</w:t>
      </w:r>
    </w:p>
    <w:p w:rsidR="00000000" w:rsidDel="00000000" w:rsidP="00000000" w:rsidRDefault="00000000" w:rsidRPr="00000000" w14:paraId="00000014">
      <w:pPr>
        <w:spacing w:line="480" w:lineRule="auto"/>
        <w:jc w:val="center"/>
        <w:rPr/>
      </w:pPr>
      <w:r w:rsidDel="00000000" w:rsidR="00000000" w:rsidRPr="00000000">
        <w:rPr>
          <w:rtl w:val="0"/>
        </w:rPr>
        <w:t xml:space="preserve">Word Count: 790</w:t>
      </w:r>
    </w:p>
    <w:p w:rsidR="00000000" w:rsidDel="00000000" w:rsidP="00000000" w:rsidRDefault="00000000" w:rsidRPr="00000000" w14:paraId="00000015">
      <w:pPr>
        <w:spacing w:line="480" w:lineRule="auto"/>
        <w:jc w:val="center"/>
        <w:rPr/>
      </w:pPr>
      <w:r w:rsidDel="00000000" w:rsidR="00000000" w:rsidRPr="00000000">
        <w:rPr>
          <w:rtl w:val="0"/>
        </w:rPr>
        <w:t xml:space="preserve">Date of Commentary: 12/14/21</w:t>
      </w:r>
    </w:p>
    <w:p w:rsidR="00000000" w:rsidDel="00000000" w:rsidP="00000000" w:rsidRDefault="00000000" w:rsidRPr="00000000" w14:paraId="00000016">
      <w:pPr>
        <w:spacing w:line="480" w:lineRule="auto"/>
        <w:jc w:val="center"/>
        <w:rPr/>
      </w:pPr>
      <w:r w:rsidDel="00000000" w:rsidR="00000000" w:rsidRPr="00000000">
        <w:rPr>
          <w:rtl w:val="0"/>
        </w:rPr>
        <w:t xml:space="preserve">Section: Microeconomics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tax credits that underwrote America’s renewable energy revolution are set for a makeover as part of the $1.75 trillion reconciliation bill.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As written, the Democratic proposal would dramatically revamp the subsidies available to wind and solar projects, requiring developers to use union labor and American-made products to receive the full value of the subsidy. The bill also includes a bonus for projects built in former coal communities.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changes reflect the maturation of the renewable industry and the evolution of American climate policy. Where the intent of the tax subsidies was once to lower the cost of renewables, today it is to deploy renewables and create jobs, especially in communities where they have been scarce.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shift owes in large part to the plunging price of wind and solar. Lazard Ltd., an investment firm, </w:t>
      </w:r>
      <w:hyperlink r:id="rId7">
        <w:r w:rsidDel="00000000" w:rsidR="00000000" w:rsidRPr="00000000">
          <w:rPr>
            <w:color w:val="326598"/>
            <w:u w:val="single"/>
            <w:rtl w:val="0"/>
          </w:rPr>
          <w:t xml:space="preserve">estimates</w:t>
        </w:r>
      </w:hyperlink>
      <w:r w:rsidDel="00000000" w:rsidR="00000000" w:rsidRPr="00000000">
        <w:rPr>
          <w:rtl w:val="0"/>
        </w:rPr>
        <w:t xml:space="preserve"> that the cost of building and operating a wind farm has fallen 72 percent in the last decade. Solar costs have plunged 90 percent. Both are cheaper than existing coal plants without subsidy, and can compete with gas and nuclear.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plunging costs come amid a pivot among Democrats in Washington. Increasingly, the party’s climate hawks are focused on integrating their climate and economic priorities. The intertwining aims are evident in the reconciliation bill.</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legislation earmarks more than $100 billion over the next decade for renewables such as wind and solar, amounting to roughly a third of the $300 billion in clean energy spending called for in the bill’s green energy subtitle. The 2009 stimulus, by contrast, contained $90 billion in total clean energy spending.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stress points for renewables have moved away from cost,” said Ric O’Connell, executive director of GridLab, a consulting firm. Renewable projects today are more likely to be stymied by siting challenges, transmission constraints or difficulties connecting to the grid. Solving those challenges is helped by increasing local economic benefits of renewable developments.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“This is being politically savvy and saying let’s build support for the energy transition,” O’Connell said.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shd w:fill="a4c2f4" w:val="clear"/>
          <w:rtl w:val="0"/>
        </w:rPr>
        <w:t xml:space="preserve">The bill would preserve the two primary tax credits available to wind and solar: the production tax credit (PTC)</w:t>
      </w:r>
      <w:r w:rsidDel="00000000" w:rsidR="00000000" w:rsidRPr="00000000">
        <w:rPr>
          <w:rtl w:val="0"/>
        </w:rPr>
        <w:t xml:space="preserve"> and the investment tax credit (ITC). But it would change how the credits are administered.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Solar developers would be able to claim the PTC for the first time, while energy storage and microgrid controllers were added to the list of projects able to qualify for the ITC. </w:t>
      </w:r>
      <w:r w:rsidDel="00000000" w:rsidR="00000000" w:rsidRPr="00000000">
        <w:rPr>
          <w:shd w:fill="a4c2f4" w:val="clear"/>
          <w:rtl w:val="0"/>
        </w:rPr>
        <w:t xml:space="preserve">Developers would be able to claim the subsidy as a direct payment instead of a tax credit, making it much easier for them to finance projects without having to raise tax equity.</w:t>
      </w:r>
      <w:r w:rsidDel="00000000" w:rsidR="00000000" w:rsidRPr="00000000">
        <w:rPr>
          <w:rtl w:val="0"/>
        </w:rPr>
        <w:t xml:space="preserve"> And the bill would shift the tax incentive from a flat rate to a tiered system.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shd w:fill="a4c2f4" w:val="clear"/>
          <w:rtl w:val="0"/>
        </w:rPr>
        <w:t xml:space="preserve">In the past, the full value of the PTC was $25 per megawatt-hour, but it has gradually declined. This year, the PTC pays $15 per MWh.</w:t>
      </w:r>
      <w:r w:rsidDel="00000000" w:rsidR="00000000" w:rsidRPr="00000000">
        <w:rPr>
          <w:rtl w:val="0"/>
        </w:rPr>
        <w:t xml:space="preserve"> The ITC offered a full credit of 30 percent. It covered 26 percent of a project’s cost in 2021.</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shd w:fill="a4c2f4" w:val="clear"/>
          <w:rtl w:val="0"/>
        </w:rPr>
        <w:t xml:space="preserve">Under the reconciliation bill, the PTC would start at a base rate of $5 per MWh. That figure would rise to $25 per MWh if developers agree to pay prevailing wages and ensure union apprentices make up a percentage of their workforce.</w:t>
      </w:r>
      <w:r w:rsidDel="00000000" w:rsidR="00000000" w:rsidRPr="00000000">
        <w:rPr>
          <w:rtl w:val="0"/>
        </w:rPr>
        <w:t xml:space="preserve"> The ITC would employ a similar structure, starting at 6 percent of a project’s cost and rising to 30 percent. Those rates would be locked in for a decade.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approach is mirrored throughout the bill. Incentives for nuclear energy, carbon capture and transmission would employ similar incentives designed to coax utility companies and developers to employ organized labor.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“This is purposeful to drive deployment as much as possible,” said one Democratic Hill staffer. “If we’re going to devote this level of resource from the taxpayer to this transition, we want to make sure the communities where these projects are built benefit from that transition.”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Some analysts questioned the approach.</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Harrison Fell, a researcher who studies the power sector at Columbia University, said Democrats’ options for guiding the energy transition were limited given the lack of political support for policies like a carbon tax or cap and trade. But while he expressed confidence that renewable developers would have little trouble meeting the prevailing wage and domestic content requirements, he said he doubted the effectiveness of other aspects of the bill.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One provision would provide an additional 10 percent bonus to the PTC or ITC for projects built in communities where coal mines and plants have closed. Wind development, in particular, is limited to the breeziest locales while solar can face siting constraints, Fell said.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“I worry that we’re taking our eye off the ultimate prize here, which is to reduce carbon emissions," he said. "We want to do that as cost-effectively as possible.”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renewable tax credits are one piece of a wider attempt to green the economy. The reconciliation bill also includes tax credits for renewable manufacturing, for example. The PTC and ITC are designed to complement those efforts with a combination of carrots and sticks intended to encourage renewable developers to buy American-made components. Developers would be eligible for a 10 percent bonus on top of the PTC or ITC if they source many of their components from the United States.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But that carrot comes with a significant stick. Developers effectively need to meet domestic content requirements in order to claim a direct payment. That might seem like slight change, but it represents the difference between a developer needing to work with a lender to raise tax equity or simply receiving a check from the government.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"If manufacturing workers and their communities do not see the economic gains in climate action, there is not going to be the political will necessary to do what we need to do over the next several decades to meet our climate goals," said Jason Walsh, executive director of the BlueGreen Alliance, a labor group that championed the provisions.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shd w:fill="a4c2f4" w:val="clear"/>
        </w:rPr>
      </w:pPr>
      <w:r w:rsidDel="00000000" w:rsidR="00000000" w:rsidRPr="00000000">
        <w:rPr>
          <w:rtl w:val="0"/>
        </w:rPr>
        <w:t xml:space="preserve">Congressional and industry sources said the domestic content requirements have been among the most heavily negotiated provisions in the bill. Renewable interests have pushed to increase developers’ flexibility, particularly for offshore wind, which is a nascent industry in the United States with a limited domestic supply chain. </w:t>
      </w:r>
      <w:r w:rsidDel="00000000" w:rsidR="00000000" w:rsidRPr="00000000">
        <w:rPr>
          <w:shd w:fill="a4c2f4" w:val="clear"/>
          <w:rtl w:val="0"/>
        </w:rPr>
        <w:t xml:space="preserve">The bill includes something of a compromise, allowing developers to apply for an exemption from the Energy Department in the event domestic parts are not available.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domestic content requirements figure to be a bigger lift for the solar industry than their counterparts in onshore wind.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Because of their size, most onshore wind turbines are built in the United States. Roughly 85 percent of nacelles, 50-75 percent of towers, and 30-50 percent of blades and hubs are built in the United States, </w:t>
      </w:r>
      <w:hyperlink r:id="rId8">
        <w:r w:rsidDel="00000000" w:rsidR="00000000" w:rsidRPr="00000000">
          <w:rPr>
            <w:color w:val="326598"/>
            <w:u w:val="single"/>
            <w:rtl w:val="0"/>
          </w:rPr>
          <w:t xml:space="preserve">according</w:t>
        </w:r>
      </w:hyperlink>
      <w:r w:rsidDel="00000000" w:rsidR="00000000" w:rsidRPr="00000000">
        <w:rPr>
          <w:rtl w:val="0"/>
        </w:rPr>
        <w:t xml:space="preserve"> to the Department of Energy.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Most solar components, by contrast, are </w:t>
      </w:r>
      <w:hyperlink r:id="rId9">
        <w:r w:rsidDel="00000000" w:rsidR="00000000" w:rsidRPr="00000000">
          <w:rPr>
            <w:color w:val="326598"/>
            <w:u w:val="single"/>
            <w:rtl w:val="0"/>
          </w:rPr>
          <w:t xml:space="preserve">imported</w:t>
        </w:r>
      </w:hyperlink>
      <w:r w:rsidDel="00000000" w:rsidR="00000000" w:rsidRPr="00000000">
        <w:rPr>
          <w:rtl w:val="0"/>
        </w:rPr>
        <w:t xml:space="preserve"> from overseas.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Nevertheless, the Solar Energy Industries Association, a trade group, said it was supportive of the bill.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bill provides so much opportunity for every American community to adopt solar and invest in and benefit from the growth of the industry,” said Erin Duncan, SEIA’s vice president of congressional affairs. “So, yes, while the details may yet be tweaked between now and final passage, we believe the requirements will be feasible.”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The American Clean Power Association, a trade group representing the wind industry, also welcomed extended incentives for renewables and other clean energy projects.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rtl w:val="0"/>
        </w:rPr>
        <w:t xml:space="preserve">"ACP is committed to ensuring the application of labor and domestic content requirements is done in a way that will maximize clean energy deployment and domestic manufacturing and worker benefits," the trade group said in a statement.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306.66666666666663" w:lineRule="auto"/>
        <w:jc w:val="left"/>
        <w:rPr/>
      </w:pPr>
      <w:r w:rsidDel="00000000" w:rsidR="00000000" w:rsidRPr="00000000">
        <w:rPr>
          <w:shd w:fill="a4c2f4" w:val="clear"/>
          <w:rtl w:val="0"/>
        </w:rPr>
        <w:t xml:space="preserve">Taken altogether, a renewable developer could claim a PTC payment up to $30 per MWh</w:t>
      </w:r>
      <w:r w:rsidDel="00000000" w:rsidR="00000000" w:rsidRPr="00000000">
        <w:rPr>
          <w:rtl w:val="0"/>
        </w:rPr>
        <w:t xml:space="preserve"> or an ITC credit worth 50 percent if it meets all the labor, domestic content and coal community requirements.</w:t>
      </w:r>
      <w:r w:rsidDel="00000000" w:rsidR="00000000" w:rsidRPr="00000000">
        <w:rPr>
          <w:rtl w:val="0"/>
        </w:rPr>
      </w:r>
    </w:p>
    <w:p w:rsidR="00000000" w:rsidDel="00000000" w:rsidP="00000000" w:rsidRDefault="00000000" w:rsidRPr="00000000" w14:paraId="00000035">
      <w:pPr>
        <w:spacing w:line="480" w:lineRule="auto"/>
        <w:jc w:val="left"/>
        <w:rPr/>
      </w:pPr>
      <w:r w:rsidDel="00000000" w:rsidR="00000000" w:rsidRPr="00000000">
        <w:rPr>
          <w:rtl w:val="0"/>
        </w:rPr>
      </w:r>
    </w:p>
    <w:p w:rsidR="00000000" w:rsidDel="00000000" w:rsidP="00000000" w:rsidRDefault="00000000" w:rsidRPr="00000000" w14:paraId="00000036">
      <w:pPr>
        <w:spacing w:line="480" w:lineRule="auto"/>
        <w:jc w:val="left"/>
        <w:rPr/>
      </w:pPr>
      <w:r w:rsidDel="00000000" w:rsidR="00000000" w:rsidRPr="00000000">
        <w:rPr>
          <w:rtl w:val="0"/>
        </w:rPr>
      </w:r>
    </w:p>
    <w:p w:rsidR="00000000" w:rsidDel="00000000" w:rsidP="00000000" w:rsidRDefault="00000000" w:rsidRPr="00000000" w14:paraId="00000037">
      <w:pPr>
        <w:spacing w:line="480" w:lineRule="auto"/>
        <w:jc w:val="left"/>
        <w:rPr/>
      </w:pPr>
      <w:r w:rsidDel="00000000" w:rsidR="00000000" w:rsidRPr="00000000">
        <w:rPr>
          <w:rtl w:val="0"/>
        </w:rPr>
      </w:r>
    </w:p>
    <w:p w:rsidR="00000000" w:rsidDel="00000000" w:rsidP="00000000" w:rsidRDefault="00000000" w:rsidRPr="00000000" w14:paraId="00000038">
      <w:pPr>
        <w:spacing w:line="480" w:lineRule="auto"/>
        <w:jc w:val="left"/>
        <w:rPr/>
      </w:pPr>
      <w:r w:rsidDel="00000000" w:rsidR="00000000" w:rsidRPr="00000000">
        <w:rPr>
          <w:rtl w:val="0"/>
        </w:rPr>
      </w:r>
    </w:p>
    <w:p w:rsidR="00000000" w:rsidDel="00000000" w:rsidP="00000000" w:rsidRDefault="00000000" w:rsidRPr="00000000" w14:paraId="00000039">
      <w:pPr>
        <w:spacing w:line="480" w:lineRule="auto"/>
        <w:jc w:val="left"/>
        <w:rPr/>
      </w:pPr>
      <w:r w:rsidDel="00000000" w:rsidR="00000000" w:rsidRPr="00000000">
        <w:rPr>
          <w:rtl w:val="0"/>
        </w:rPr>
      </w:r>
    </w:p>
    <w:p w:rsidR="00000000" w:rsidDel="00000000" w:rsidP="00000000" w:rsidRDefault="00000000" w:rsidRPr="00000000" w14:paraId="0000003A">
      <w:pPr>
        <w:spacing w:line="480" w:lineRule="auto"/>
        <w:jc w:val="left"/>
        <w:rPr/>
      </w:pPr>
      <w:r w:rsidDel="00000000" w:rsidR="00000000" w:rsidRPr="00000000">
        <w:rPr>
          <w:rtl w:val="0"/>
        </w:rPr>
      </w:r>
    </w:p>
    <w:p w:rsidR="00000000" w:rsidDel="00000000" w:rsidP="00000000" w:rsidRDefault="00000000" w:rsidRPr="00000000" w14:paraId="0000003B">
      <w:pPr>
        <w:spacing w:line="480" w:lineRule="auto"/>
        <w:jc w:val="left"/>
        <w:rPr/>
      </w:pPr>
      <w:r w:rsidDel="00000000" w:rsidR="00000000" w:rsidRPr="00000000">
        <w:rPr>
          <w:rtl w:val="0"/>
        </w:rPr>
      </w:r>
    </w:p>
    <w:p w:rsidR="00000000" w:rsidDel="00000000" w:rsidP="00000000" w:rsidRDefault="00000000" w:rsidRPr="00000000" w14:paraId="0000003C">
      <w:pPr>
        <w:spacing w:line="480" w:lineRule="auto"/>
        <w:jc w:val="left"/>
        <w:rPr/>
      </w:pPr>
      <w:r w:rsidDel="00000000" w:rsidR="00000000" w:rsidRPr="00000000">
        <w:rPr>
          <w:rtl w:val="0"/>
        </w:rPr>
        <w:t xml:space="preserve">The renewable energy market is in a state of market failure (a suboptimal allocation of resources) due to the existence of positive externalities of consumption (when social benefits outweigh private benefits) for renewable energy products</w:t>
      </w:r>
      <w:r w:rsidDel="00000000" w:rsidR="00000000" w:rsidRPr="00000000">
        <w:rPr>
          <w:rtl w:val="0"/>
        </w:rPr>
        <w:t xml:space="preserve">.</w:t>
      </w:r>
      <w:r w:rsidDel="00000000" w:rsidR="00000000" w:rsidRPr="00000000">
        <w:rPr>
          <w:rtl w:val="0"/>
        </w:rPr>
        <w:t xml:space="preserve"> The federal government is attempting to solve this by granting a more generous subsidy (a reward given to producers per unit of output) to bring the marginal </w:t>
      </w:r>
      <w:r w:rsidDel="00000000" w:rsidR="00000000" w:rsidRPr="00000000">
        <w:rPr>
          <w:rtl w:val="0"/>
        </w:rPr>
        <w:t xml:space="preserve">social cost (</w:t>
      </w:r>
      <w:r w:rsidDel="00000000" w:rsidR="00000000" w:rsidRPr="00000000">
        <w:rPr>
          <w:rtl w:val="0"/>
        </w:rPr>
        <w:t xml:space="preserve">MSC, the cost to society when a unit of the product is consumed)</w:t>
      </w:r>
      <w:r w:rsidDel="00000000" w:rsidR="00000000" w:rsidRPr="00000000">
        <w:rPr>
          <w:rtl w:val="0"/>
        </w:rPr>
        <w:t xml:space="preserve"> down to meet the marginal private private benefit</w:t>
      </w:r>
      <w:r w:rsidDel="00000000" w:rsidR="00000000" w:rsidRPr="00000000">
        <w:rPr>
          <w:rtl w:val="0"/>
        </w:rPr>
        <w:t xml:space="preserve"> (MPB, the change in benefit to consumers when a unit of the product is consumed) at the socially efficient level of consumption.</w:t>
      </w:r>
    </w:p>
    <w:p w:rsidR="00000000" w:rsidDel="00000000" w:rsidP="00000000" w:rsidRDefault="00000000" w:rsidRPr="00000000" w14:paraId="0000003D">
      <w:pPr>
        <w:spacing w:line="480" w:lineRule="auto"/>
        <w:jc w:val="left"/>
        <w:rPr/>
      </w:pPr>
      <w:r w:rsidDel="00000000" w:rsidR="00000000" w:rsidRPr="00000000">
        <w:rPr>
          <w:rtl w:val="0"/>
        </w:rPr>
      </w:r>
    </w:p>
    <w:p w:rsidR="00000000" w:rsidDel="00000000" w:rsidP="00000000" w:rsidRDefault="00000000" w:rsidRPr="00000000" w14:paraId="0000003E">
      <w:pPr>
        <w:spacing w:line="480" w:lineRule="auto"/>
        <w:jc w:val="left"/>
        <w:rPr/>
      </w:pPr>
      <w:r w:rsidDel="00000000" w:rsidR="00000000" w:rsidRPr="00000000">
        <w:rPr>
          <w:rtl w:val="0"/>
        </w:rPr>
        <w:t xml:space="preserve">This connects to the key concept of efficiency because when resources are not optimally allocated, there is an inefficiency in the market or economy. When resources are optimally allocated, the market is as efficient as it can possibly be. </w:t>
      </w:r>
      <w:r w:rsidDel="00000000" w:rsidR="00000000" w:rsidRPr="00000000">
        <w:rPr>
          <w:rtl w:val="0"/>
        </w:rPr>
        <w:t xml:space="preserve">When these resources are not optimally allocated, however, the economy is operating at a lesser efficiency.</w:t>
      </w:r>
      <w:r w:rsidDel="00000000" w:rsidR="00000000" w:rsidRPr="00000000">
        <w:rPr>
          <w:rtl w:val="0"/>
        </w:rPr>
      </w:r>
    </w:p>
    <w:p w:rsidR="00000000" w:rsidDel="00000000" w:rsidP="00000000" w:rsidRDefault="00000000" w:rsidRPr="00000000" w14:paraId="0000003F">
      <w:pPr>
        <w:spacing w:line="480" w:lineRule="auto"/>
        <w:ind w:left="0" w:firstLine="0"/>
        <w:jc w:val="left"/>
        <w:rPr/>
      </w:pPr>
      <w:r w:rsidDel="00000000" w:rsidR="00000000" w:rsidRPr="00000000">
        <w:rPr>
          <w:rtl w:val="0"/>
        </w:rPr>
      </w:r>
    </w:p>
    <w:p w:rsidR="00000000" w:rsidDel="00000000" w:rsidP="00000000" w:rsidRDefault="00000000" w:rsidRPr="00000000" w14:paraId="00000040">
      <w:pPr>
        <w:spacing w:line="480" w:lineRule="auto"/>
        <w:ind w:left="0" w:firstLine="0"/>
        <w:jc w:val="left"/>
        <w:rPr/>
      </w:pPr>
      <w:r w:rsidDel="00000000" w:rsidR="00000000" w:rsidRPr="00000000">
        <w:rPr>
          <w:rtl w:val="0"/>
        </w:rPr>
        <w:t xml:space="preserve">The consumption of these goods benefits third parties in the form of reductions in pollution and waste from burning fossil fuels. This positive externality of consumption creates a situation of potential </w:t>
      </w:r>
      <w:r w:rsidDel="00000000" w:rsidR="00000000" w:rsidRPr="00000000">
        <w:rPr>
          <w:rtl w:val="0"/>
        </w:rPr>
        <w:t xml:space="preserve">welfare gain</w:t>
      </w:r>
      <w:r w:rsidDel="00000000" w:rsidR="00000000" w:rsidRPr="00000000">
        <w:rPr>
          <w:rtl w:val="0"/>
        </w:rPr>
        <w:t xml:space="preserve"> (improvement to society), as shown by the diagram below.</w:t>
      </w:r>
    </w:p>
    <w:p w:rsidR="00000000" w:rsidDel="00000000" w:rsidP="00000000" w:rsidRDefault="00000000" w:rsidRPr="00000000" w14:paraId="00000041">
      <w:pPr>
        <w:spacing w:line="480" w:lineRule="auto"/>
        <w:ind w:left="0" w:firstLine="0"/>
        <w:rPr/>
      </w:pPr>
      <w:r w:rsidDel="00000000" w:rsidR="00000000" w:rsidRPr="00000000">
        <w:rPr/>
        <w:drawing>
          <wp:inline distB="114300" distT="114300" distL="114300" distR="114300">
            <wp:extent cx="3519488" cy="35194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9488"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ind w:left="0" w:firstLine="0"/>
        <w:jc w:val="left"/>
        <w:rPr/>
      </w:pPr>
      <w:r w:rsidDel="00000000" w:rsidR="00000000" w:rsidRPr="00000000">
        <w:rPr>
          <w:rtl w:val="0"/>
        </w:rPr>
        <w:t xml:space="preserve">Consumers will consume at Q</w:t>
      </w:r>
      <w:r w:rsidDel="00000000" w:rsidR="00000000" w:rsidRPr="00000000">
        <w:rPr>
          <w:vertAlign w:val="subscript"/>
          <w:rtl w:val="0"/>
        </w:rPr>
        <w:t xml:space="preserve">1</w:t>
      </w:r>
      <w:r w:rsidDel="00000000" w:rsidR="00000000" w:rsidRPr="00000000">
        <w:rPr>
          <w:rtl w:val="0"/>
        </w:rPr>
        <w:t xml:space="preserve">, P</w:t>
      </w:r>
      <w:r w:rsidDel="00000000" w:rsidR="00000000" w:rsidRPr="00000000">
        <w:rPr>
          <w:vertAlign w:val="subscript"/>
          <w:rtl w:val="0"/>
        </w:rPr>
        <w:t xml:space="preserve">1</w:t>
      </w:r>
      <w:r w:rsidDel="00000000" w:rsidR="00000000" w:rsidRPr="00000000">
        <w:rPr>
          <w:rtl w:val="0"/>
        </w:rPr>
        <w:t xml:space="preserve"> because that is where the MPB curve intersects with the MSC curve . The socially efficient level of consumption lies where MSC = MSB, however, so there exists a potential welfare gain.</w:t>
      </w:r>
    </w:p>
    <w:p w:rsidR="00000000" w:rsidDel="00000000" w:rsidP="00000000" w:rsidRDefault="00000000" w:rsidRPr="00000000" w14:paraId="00000043">
      <w:pPr>
        <w:spacing w:line="480" w:lineRule="auto"/>
        <w:ind w:left="0" w:firstLine="0"/>
        <w:jc w:val="left"/>
        <w:rPr/>
      </w:pPr>
      <w:r w:rsidDel="00000000" w:rsidR="00000000" w:rsidRPr="00000000">
        <w:rPr>
          <w:rtl w:val="0"/>
        </w:rPr>
      </w:r>
    </w:p>
    <w:p w:rsidR="00000000" w:rsidDel="00000000" w:rsidP="00000000" w:rsidRDefault="00000000" w:rsidRPr="00000000" w14:paraId="00000044">
      <w:pPr>
        <w:spacing w:line="480" w:lineRule="auto"/>
        <w:ind w:left="0" w:firstLine="0"/>
        <w:jc w:val="left"/>
        <w:rPr/>
      </w:pPr>
      <w:r w:rsidDel="00000000" w:rsidR="00000000" w:rsidRPr="00000000">
        <w:rPr>
          <w:rtl w:val="0"/>
        </w:rPr>
        <w:t xml:space="preserve">To rectify the market failure, and promote the positive externality, the level of consumption of the good must be raised to the socially efficient level of consumption, </w:t>
      </w:r>
      <w:r w:rsidDel="00000000" w:rsidR="00000000" w:rsidRPr="00000000">
        <w:rPr>
          <w:rtl w:val="0"/>
        </w:rPr>
        <w:t xml:space="preserve">Q* / Q</w:t>
      </w:r>
      <w:r w:rsidDel="00000000" w:rsidR="00000000" w:rsidRPr="00000000">
        <w:rPr>
          <w:rtl w:val="0"/>
        </w:rPr>
        <w:t xml:space="preserve"> Optimal on the diagram.</w:t>
      </w:r>
    </w:p>
    <w:p w:rsidR="00000000" w:rsidDel="00000000" w:rsidP="00000000" w:rsidRDefault="00000000" w:rsidRPr="00000000" w14:paraId="00000045">
      <w:pPr>
        <w:spacing w:line="480" w:lineRule="auto"/>
        <w:ind w:left="0" w:firstLine="0"/>
        <w:jc w:val="left"/>
        <w:rPr/>
      </w:pPr>
      <w:r w:rsidDel="00000000" w:rsidR="00000000" w:rsidRPr="00000000">
        <w:rPr>
          <w:rtl w:val="0"/>
        </w:rPr>
      </w:r>
    </w:p>
    <w:p w:rsidR="00000000" w:rsidDel="00000000" w:rsidP="00000000" w:rsidRDefault="00000000" w:rsidRPr="00000000" w14:paraId="00000046">
      <w:pPr>
        <w:spacing w:line="480" w:lineRule="auto"/>
        <w:ind w:left="0" w:firstLine="0"/>
        <w:jc w:val="left"/>
        <w:rPr/>
      </w:pPr>
      <w:r w:rsidDel="00000000" w:rsidR="00000000" w:rsidRPr="00000000">
        <w:rPr>
          <w:rtl w:val="0"/>
        </w:rPr>
        <w:t xml:space="preserve">The approach taken by the government is to grant a per unit subsidy to producers of renewable energy products. Specifically, a base rate of $5 per megawatt-hour (MWh), that maxes out at $30 per MWh. Subsidies create vertical shifts in the supply curve of a market. In this situation, the MSC curve is the same as the supply curve of the market. Therefore, granting a large enough subsidy would successfully bring the MSC curve to meet the MBP curve at Q*, as shown below.</w:t>
      </w:r>
    </w:p>
    <w:p w:rsidR="00000000" w:rsidDel="00000000" w:rsidP="00000000" w:rsidRDefault="00000000" w:rsidRPr="00000000" w14:paraId="00000047">
      <w:pPr>
        <w:spacing w:line="480" w:lineRule="auto"/>
        <w:ind w:left="0" w:firstLine="0"/>
        <w:rPr/>
      </w:pPr>
      <w:r w:rsidDel="00000000" w:rsidR="00000000" w:rsidRPr="00000000">
        <w:rPr/>
        <w:drawing>
          <wp:inline distB="114300" distT="114300" distL="114300" distR="114300">
            <wp:extent cx="3609082" cy="3609082"/>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09082" cy="360908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ind w:left="0" w:firstLine="0"/>
        <w:jc w:val="left"/>
        <w:rPr/>
      </w:pPr>
      <w:r w:rsidDel="00000000" w:rsidR="00000000" w:rsidRPr="00000000">
        <w:rPr>
          <w:rtl w:val="0"/>
        </w:rPr>
        <w:t xml:space="preserve">However, this highlights a possible problem with this approach. The subsidy exists within a range of $5 - $30, which means that, if developers are unable to meet some of the requirements for the subsidy (or choose not to), the MSC would not be shifted down enough, thus not realizing the entirety of the potential welfare gain created by the positive externality. Though, the bill does provide developers the ability to apply for an exemption, allowing them to still receive the full subsidy even if they do not meet all the labor requirement</w:t>
      </w:r>
      <w:r w:rsidDel="00000000" w:rsidR="00000000" w:rsidRPr="00000000">
        <w:rPr>
          <w:rtl w:val="0"/>
        </w:rPr>
        <w:t xml:space="preserve">s</w:t>
      </w:r>
      <w:r w:rsidDel="00000000" w:rsidR="00000000" w:rsidRPr="00000000">
        <w:rPr>
          <w:rtl w:val="0"/>
        </w:rPr>
        <w:t xml:space="preserve">, which does provide an adequate solution.</w:t>
      </w:r>
    </w:p>
    <w:p w:rsidR="00000000" w:rsidDel="00000000" w:rsidP="00000000" w:rsidRDefault="00000000" w:rsidRPr="00000000" w14:paraId="00000049">
      <w:pPr>
        <w:spacing w:line="480" w:lineRule="auto"/>
        <w:ind w:left="0" w:firstLine="0"/>
        <w:jc w:val="left"/>
        <w:rPr/>
      </w:pPr>
      <w:r w:rsidDel="00000000" w:rsidR="00000000" w:rsidRPr="00000000">
        <w:rPr>
          <w:rtl w:val="0"/>
        </w:rPr>
      </w:r>
    </w:p>
    <w:p w:rsidR="00000000" w:rsidDel="00000000" w:rsidP="00000000" w:rsidRDefault="00000000" w:rsidRPr="00000000" w14:paraId="0000004A">
      <w:pPr>
        <w:spacing w:line="480" w:lineRule="auto"/>
        <w:ind w:left="0" w:firstLine="0"/>
        <w:jc w:val="left"/>
        <w:rPr/>
      </w:pPr>
      <w:r w:rsidDel="00000000" w:rsidR="00000000" w:rsidRPr="00000000">
        <w:rPr>
          <w:rtl w:val="0"/>
        </w:rPr>
        <w:t xml:space="preserve">This subsidy will affect producers and consumers in this market differently. The benefits from this subsidy will be shared unequally between producers and consumers, with consumers benefiting less.</w:t>
      </w:r>
    </w:p>
    <w:p w:rsidR="00000000" w:rsidDel="00000000" w:rsidP="00000000" w:rsidRDefault="00000000" w:rsidRPr="00000000" w14:paraId="0000004B">
      <w:pPr>
        <w:spacing w:line="480" w:lineRule="auto"/>
        <w:ind w:left="0" w:firstLine="0"/>
        <w:rPr/>
      </w:pPr>
      <w:r w:rsidDel="00000000" w:rsidR="00000000" w:rsidRPr="00000000">
        <w:rPr>
          <w:rtl w:val="0"/>
        </w:rPr>
      </w:r>
    </w:p>
    <w:p w:rsidR="00000000" w:rsidDel="00000000" w:rsidP="00000000" w:rsidRDefault="00000000" w:rsidRPr="00000000" w14:paraId="0000004C">
      <w:pPr>
        <w:spacing w:line="480" w:lineRule="auto"/>
        <w:ind w:left="0" w:firstLine="0"/>
        <w:rPr/>
      </w:pPr>
      <w:r w:rsidDel="00000000" w:rsidR="00000000" w:rsidRPr="00000000">
        <w:rPr/>
        <w:drawing>
          <wp:inline distB="114300" distT="114300" distL="114300" distR="114300">
            <wp:extent cx="3586163" cy="358616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86163"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ind w:left="0" w:firstLine="0"/>
        <w:jc w:val="left"/>
        <w:rPr/>
      </w:pPr>
      <w:r w:rsidDel="00000000" w:rsidR="00000000" w:rsidRPr="00000000">
        <w:rPr>
          <w:rtl w:val="0"/>
        </w:rPr>
        <w:t xml:space="preserve">Renewable energy goods are</w:t>
      </w:r>
      <w:r w:rsidDel="00000000" w:rsidR="00000000" w:rsidRPr="00000000">
        <w:rPr>
          <w:rtl w:val="0"/>
        </w:rPr>
        <w:t xml:space="preserve"> elastic</w:t>
      </w:r>
      <w:r w:rsidDel="00000000" w:rsidR="00000000" w:rsidRPr="00000000">
        <w:rPr>
          <w:rtl w:val="0"/>
        </w:rPr>
        <w:t xml:space="preserve"> when it comes to the price elasticity of demand (when a change in price results in an equal or greater change in demand for the product)</w:t>
      </w:r>
      <w:r w:rsidDel="00000000" w:rsidR="00000000" w:rsidRPr="00000000">
        <w:rPr>
          <w:rtl w:val="0"/>
        </w:rPr>
        <w:t xml:space="preserve">. This means that, to achieve a certain amount of change in the level of consumption or demand, a proportionally smaller decrease in price is necessary, therefore producers are able to </w:t>
      </w:r>
      <w:r w:rsidDel="00000000" w:rsidR="00000000" w:rsidRPr="00000000">
        <w:rPr>
          <w:rtl w:val="0"/>
        </w:rPr>
        <w:t xml:space="preserve">benefit more from the subsidy than consumers, as they can pass less of the subsidy on to the consumer, knowing that demand will still substantially increase.</w:t>
      </w:r>
      <w:r w:rsidDel="00000000" w:rsidR="00000000" w:rsidRPr="00000000">
        <w:rPr>
          <w:rtl w:val="0"/>
        </w:rPr>
        <w:t xml:space="preserve"> This can be seen on the diagram, as the producer benefit is greater than the benefit to consumers.</w:t>
      </w:r>
    </w:p>
    <w:p w:rsidR="00000000" w:rsidDel="00000000" w:rsidP="00000000" w:rsidRDefault="00000000" w:rsidRPr="00000000" w14:paraId="0000004E">
      <w:pPr>
        <w:spacing w:line="480" w:lineRule="auto"/>
        <w:ind w:left="0" w:firstLine="0"/>
        <w:jc w:val="left"/>
        <w:rPr/>
      </w:pPr>
      <w:r w:rsidDel="00000000" w:rsidR="00000000" w:rsidRPr="00000000">
        <w:rPr>
          <w:rtl w:val="0"/>
        </w:rPr>
      </w:r>
    </w:p>
    <w:p w:rsidR="00000000" w:rsidDel="00000000" w:rsidP="00000000" w:rsidRDefault="00000000" w:rsidRPr="00000000" w14:paraId="0000004F">
      <w:pPr>
        <w:spacing w:line="480" w:lineRule="auto"/>
        <w:ind w:left="0" w:firstLine="0"/>
        <w:jc w:val="left"/>
        <w:rPr/>
      </w:pPr>
      <w:r w:rsidDel="00000000" w:rsidR="00000000" w:rsidRPr="00000000">
        <w:rPr>
          <w:rtl w:val="0"/>
        </w:rPr>
        <w:t xml:space="preserve">A subsidy is not the only way to promote this externality, however. Another approach could be to promote the purchase of renewable energy products with positive advertising. This would shift the MPB curve to the right, decreasing the externality between the MPB curve and the MSC curve, as shown by the diagram below.</w:t>
      </w:r>
    </w:p>
    <w:p w:rsidR="00000000" w:rsidDel="00000000" w:rsidP="00000000" w:rsidRDefault="00000000" w:rsidRPr="00000000" w14:paraId="00000050">
      <w:pPr>
        <w:spacing w:line="480" w:lineRule="auto"/>
        <w:ind w:left="0" w:firstLine="0"/>
        <w:rPr/>
      </w:pPr>
      <w:r w:rsidDel="00000000" w:rsidR="00000000" w:rsidRPr="00000000">
        <w:rPr/>
        <w:drawing>
          <wp:inline distB="114300" distT="114300" distL="114300" distR="114300">
            <wp:extent cx="3594050" cy="35940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94050" cy="35940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left="0" w:firstLine="0"/>
        <w:jc w:val="left"/>
        <w:rPr/>
      </w:pPr>
      <w:r w:rsidDel="00000000" w:rsidR="00000000" w:rsidRPr="00000000">
        <w:rPr>
          <w:rtl w:val="0"/>
        </w:rPr>
        <w:t xml:space="preserve">Bringing these curves closer together minimizes the potential welfare gain, bringing the market much closer to the socially efficient level of consumption. If the advertising was effective enough, it could even completely eliminate the externality, by combining the MBP and MSC curves.</w:t>
      </w:r>
    </w:p>
    <w:p w:rsidR="00000000" w:rsidDel="00000000" w:rsidP="00000000" w:rsidRDefault="00000000" w:rsidRPr="00000000" w14:paraId="00000052">
      <w:pPr>
        <w:spacing w:line="480" w:lineRule="auto"/>
        <w:ind w:left="0" w:firstLine="0"/>
        <w:jc w:val="left"/>
        <w:rPr/>
      </w:pPr>
      <w:r w:rsidDel="00000000" w:rsidR="00000000" w:rsidRPr="00000000">
        <w:rPr>
          <w:rtl w:val="0"/>
        </w:rPr>
      </w:r>
    </w:p>
    <w:p w:rsidR="00000000" w:rsidDel="00000000" w:rsidP="00000000" w:rsidRDefault="00000000" w:rsidRPr="00000000" w14:paraId="00000053">
      <w:pPr>
        <w:spacing w:line="480" w:lineRule="auto"/>
        <w:ind w:left="0" w:firstLine="0"/>
        <w:jc w:val="left"/>
        <w:rPr/>
      </w:pPr>
      <w:r w:rsidDel="00000000" w:rsidR="00000000" w:rsidRPr="00000000">
        <w:rPr>
          <w:rtl w:val="0"/>
        </w:rPr>
        <w:t xml:space="preserve">Both of these approaches effectively boost consumption of renewable energy products to the socially efficient level of consumption, but they do so with very different effects on price. The subsidy lowers the price of the products</w:t>
      </w:r>
      <w:r w:rsidDel="00000000" w:rsidR="00000000" w:rsidRPr="00000000">
        <w:rPr>
          <w:rtl w:val="0"/>
        </w:rPr>
        <w:t xml:space="preserve"> (P</w:t>
      </w:r>
      <w:r w:rsidDel="00000000" w:rsidR="00000000" w:rsidRPr="00000000">
        <w:rPr>
          <w:vertAlign w:val="subscript"/>
          <w:rtl w:val="0"/>
        </w:rPr>
        <w:t xml:space="preserve">1</w:t>
      </w: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 on the subsidy diagram),</w:t>
      </w:r>
      <w:r w:rsidDel="00000000" w:rsidR="00000000" w:rsidRPr="00000000">
        <w:rPr>
          <w:rtl w:val="0"/>
        </w:rPr>
        <w:t xml:space="preserve"> while advertising raises the price of the products </w:t>
      </w: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🠒P* on the advertising diagram)</w:t>
      </w:r>
      <w:r w:rsidDel="00000000" w:rsidR="00000000" w:rsidRPr="00000000">
        <w:rPr>
          <w:rtl w:val="0"/>
        </w:rPr>
        <w:t xml:space="preserve">. Given that consumption of renewable energy products is generally encouraged, the subsidy would most likely be the best solution, as the drop in price means that these products are more accessible to consumers in different income brackets, allowing greater adoption of renewable energy products overall, which will have the greatest benefit to society.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rel.gov/docs/fy22osti/81325.pdf" TargetMode="External"/><Relationship Id="rId5" Type="http://schemas.openxmlformats.org/officeDocument/2006/relationships/styles" Target="styles.xml"/><Relationship Id="rId6" Type="http://schemas.openxmlformats.org/officeDocument/2006/relationships/hyperlink" Target="https://www.eenews.net/articles/congress-poised-to-dramatically-alter-clean-energy-subsidies/" TargetMode="External"/><Relationship Id="rId7" Type="http://schemas.openxmlformats.org/officeDocument/2006/relationships/hyperlink" Target="https://www.lazard.com/perspective/levelized-cost-of-energy-levelized-cost-of-storage-and-levelized-cost-of-hydrogen/" TargetMode="External"/><Relationship Id="rId8" Type="http://schemas.openxmlformats.org/officeDocument/2006/relationships/hyperlink" Target="https://www.energy.gov/sites/default/files/2021-08/Land-Based%20Wind%20Market%20Report%202021%20Edition_Full%20Report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