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05/20/2025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43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Math Module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Taxform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