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Microsoft YaHei"/>
          <w:b/>
          <w:color w:val="142030"/>
          <w:sz w:val="42"/>
        </w:rPr>
        <w:t>方块拾取闭环控制项目中期成果报告</w:t>
      </w:r>
    </w:p>
    <w:p>
      <w:pPr>
        <w:spacing w:before="0" w:after="140" w:line="259" w:lineRule="auto"/>
      </w:pPr>
      <w:r>
        <w:rPr>
          <w:rFonts w:ascii="Calibri" w:hAnsi="Calibri" w:eastAsia="Microsoft YaHei"/>
          <w:color w:val="5F5F5F"/>
          <w:sz w:val="20"/>
        </w:rPr>
        <w:t>工程智能课程机器人项目 | 红、绿、蓝三类方块识别与抓取</w:t>
      </w:r>
    </w:p>
    <w:tbl>
      <w:tblPr>
        <w:tblStyle w:val="TableGrid"/>
        <w:tblW w:type="dxa" w:w="97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06"/>
      </w:tblGrid>
      <w:tr>
        <w:tc>
          <w:tcPr>
            <w:tcW w:type="dxa" w:w="9705"/>
            <w:vAlign w:val="center"/>
            <w:shd w:fill="F7F9FC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42030"/>
                <w:sz w:val="20"/>
              </w:rPr>
              <w:t>阶段小结：</w:t>
            </w:r>
            <w:r>
              <w:rPr>
                <w:rFonts w:ascii="Calibri" w:hAnsi="Calibri" w:eastAsia="Microsoft YaHei"/>
                <w:sz w:val="20"/>
              </w:rPr>
              <w:t>目前我们已经把“看见方块、识别颜色、靠近目标、执行抓取”这条链路跑通。报告里保留了真实模型指标和实机调试中暴露的问题，后半段的工作重点会放在稳定性、连续抓取和现场标定上。</w:t>
            </w:r>
          </w:p>
        </w:tc>
      </w:tr>
    </w:tbl>
    <w:p>
      <w:pPr>
        <w:pStyle w:val="Heading1"/>
      </w:pPr>
      <w:r>
        <w:t>一、项目目标与路线</w:t>
      </w:r>
    </w:p>
    <w:p>
      <w:pPr>
        <w:spacing w:before="0" w:after="100" w:line="259" w:lineRule="auto"/>
      </w:pPr>
      <w:r>
        <w:rPr>
          <w:rFonts w:ascii="Calibri" w:hAnsi="Calibri" w:eastAsia="Microsoft YaHei"/>
          <w:sz w:val="21"/>
        </w:rPr>
        <w:t>本项目的任务是让机器人在比赛场景中识别并抓取指定颜色方块。早期方案主要依赖固定动作和面积阈值，但实机测试后发现，方块摆放角度、YOLO 延迟、机械臂下探遮挡都会让一次性动作不够稳。因此当前路线改成“YOLO 检测 + 底盘视觉闭环 + 原厂机械臂动作组 + 夹爪反馈重试”。</w:t>
      </w:r>
    </w:p>
    <w:p>
      <w:pPr>
        <w:pStyle w:val="ListBullet"/>
        <w:spacing w:before="0" w:after="80" w:line="259" w:lineRule="auto"/>
      </w:pPr>
      <w:r>
        <w:rPr>
          <w:rFonts w:ascii="Calibri" w:hAnsi="Calibri" w:eastAsia="Microsoft YaHei"/>
          <w:sz w:val="20"/>
        </w:rPr>
        <w:t>识别对象从早期文档里的红石、玻璃等纹理方块，调整为现在实际使用的红、绿、蓝三种实体方块。</w:t>
      </w:r>
    </w:p>
    <w:p>
      <w:pPr>
        <w:pStyle w:val="ListBullet"/>
        <w:spacing w:before="0" w:after="80" w:line="259" w:lineRule="auto"/>
      </w:pPr>
      <w:r>
        <w:rPr>
          <w:rFonts w:ascii="Calibri" w:hAnsi="Calibri" w:eastAsia="Microsoft YaHei"/>
          <w:sz w:val="20"/>
        </w:rPr>
        <w:t>机器人端保留原厂 ROS2 框架和动作组，新增 competition_pick_place 包负责状态机、检测订阅、底盘微调和抓取流程编排。</w:t>
      </w:r>
    </w:p>
    <w:p>
      <w:pPr>
        <w:pStyle w:val="ListBullet"/>
        <w:spacing w:before="0" w:after="80" w:line="259" w:lineRule="auto"/>
      </w:pPr>
      <w:r>
        <w:rPr>
          <w:rFonts w:ascii="Calibri" w:hAnsi="Calibri" w:eastAsia="Microsoft YaHei"/>
          <w:sz w:val="20"/>
        </w:rPr>
        <w:t>本地侧补齐数据采集 UI、训练脚本、模型可视化、部署脚本和抓取控制 UI，尽量让现场操作只改少量参数。</w:t>
      </w:r>
    </w:p>
    <w:p>
      <w:pPr>
        <w:pStyle w:val="Heading1"/>
      </w:pPr>
      <w:r>
        <w:t>二、已经完成的工作</w:t>
      </w:r>
    </w:p>
    <w:p>
      <w:pPr>
        <w:pStyle w:val="Heading2"/>
      </w:pPr>
      <w:r>
        <w:t>1. 识别模型与数据流程</w:t>
      </w:r>
    </w:p>
    <w:p>
      <w:pPr>
        <w:spacing w:before="0" w:after="100" w:line="259" w:lineRule="auto"/>
      </w:pPr>
      <w:r>
        <w:rPr>
          <w:rFonts w:ascii="Calibri" w:hAnsi="Calibri" w:eastAsia="Microsoft YaHei"/>
          <w:sz w:val="21"/>
        </w:rPr>
        <w:t>已完成红、绿、蓝三类 YOLO11n 检测模型训练，并导出为机器人 yolov11_detect 节点可加载的 OpenVINO 模型。当前测试集规模不算大，所以指标不能当作最终比赛表现，但它足够说明模型已经具备基本可用性。</w:t>
      </w:r>
    </w:p>
    <w:tbl>
      <w:tblPr>
        <w:tblStyle w:val="TableGrid"/>
        <w:tblW w:type="dxa" w:w="97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26"/>
        <w:gridCol w:w="2426"/>
        <w:gridCol w:w="2426"/>
        <w:gridCol w:w="2426"/>
      </w:tblGrid>
      <w:tr>
        <w:tc>
          <w:tcPr>
            <w:tcW w:type="dxa" w:w="2232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42030"/>
                <w:sz w:val="20"/>
              </w:rPr>
              <w:t>类别/指标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42030"/>
                <w:sz w:val="20"/>
              </w:rPr>
              <w:t>Precision/Recall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42030"/>
                <w:sz w:val="20"/>
              </w:rPr>
              <w:t>mAP50</w:t>
            </w:r>
          </w:p>
        </w:tc>
        <w:tc>
          <w:tcPr>
            <w:tcW w:type="dxa" w:w="2721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42030"/>
                <w:sz w:val="20"/>
              </w:rPr>
              <w:t>mAP50-95</w:t>
            </w:r>
          </w:p>
        </w:tc>
      </w:tr>
      <w:tr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整体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0.952 / 1.000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0.955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0.820</w:t>
            </w:r>
          </w:p>
        </w:tc>
      </w:tr>
      <w:tr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red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0.995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0.819</w:t>
            </w:r>
          </w:p>
        </w:tc>
      </w:tr>
      <w:tr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green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0.995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0.962</w:t>
            </w:r>
          </w:p>
        </w:tc>
      </w:tr>
      <w:tr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blue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-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0.876</w:t>
            </w:r>
          </w:p>
        </w:tc>
        <w:tc>
          <w:tcPr>
            <w:tcW w:type="dxa" w:w="242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0.680</w:t>
            </w:r>
          </w:p>
        </w:tc>
      </w:tr>
    </w:tbl>
    <w:p>
      <w:pPr>
        <w:spacing w:before="0" w:after="80" w:line="259" w:lineRule="auto"/>
      </w:pPr>
      <w:r>
        <w:rPr>
          <w:rFonts w:ascii="Calibri" w:hAnsi="Calibri" w:eastAsia="Microsoft YaHei"/>
          <w:sz w:val="21"/>
        </w:rPr>
        <w:t>可视化检查中，conf=0.70 时测试集 22 张图片均能检出正确类别。蓝色方块的框精度弱一些，后续应优先补充蓝色不同角度、反光和多目标同框数据。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94760" cy="5229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shee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22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 w:line="240" w:lineRule="auto"/>
        <w:jc w:val="center"/>
      </w:pPr>
      <w:r>
        <w:rPr>
          <w:rFonts w:ascii="Calibri" w:hAnsi="Calibri" w:eastAsia="Microsoft YaHei"/>
          <w:color w:val="5F5F5F"/>
          <w:sz w:val="18"/>
        </w:rPr>
        <w:t>图1  测试集预测样例：红、绿、蓝方块均能输出检测框</w:t>
      </w:r>
    </w:p>
    <w:p>
      <w:pPr>
        <w:pStyle w:val="Heading2"/>
      </w:pPr>
      <w:r>
        <w:t>2. 机器人端闭环抓取</w:t>
      </w:r>
    </w:p>
    <w:p>
      <w:pPr>
        <w:spacing w:before="0" w:after="100" w:line="259" w:lineRule="auto"/>
      </w:pPr>
      <w:r>
        <w:rPr>
          <w:rFonts w:ascii="Calibri" w:hAnsi="Calibri" w:eastAsia="Microsoft YaHei"/>
          <w:sz w:val="21"/>
        </w:rPr>
        <w:t>抓取部分已经不是简单的“方块到画面中心后执行写死动作”。现在节点会先等待 YOLO 检测流真正开始发布，再进入搜索；目标出现后使用检测框中心误差和面积误差做底盘微调，预抓取动作期间继续运行视觉伺服，让机械臂下探时仍有调整窗口。</w:t>
      </w:r>
    </w:p>
    <w:p>
      <w:pPr>
        <w:pStyle w:val="ListBullet"/>
        <w:spacing w:before="0" w:after="80" w:line="259" w:lineRule="auto"/>
      </w:pPr>
      <w:r>
        <w:rPr>
          <w:rFonts w:ascii="Calibri" w:hAnsi="Calibri" w:eastAsia="Microsoft YaHei"/>
          <w:sz w:val="20"/>
        </w:rPr>
        <w:t>MPC 控制量为 linear.x 和 angular.z；当前 UI 实机参数使用 visual_servo_period=0.10s、mpc_horizon=8、mpc_dt=0.10s，预测窗口约 0.80s。</w:t>
      </w:r>
    </w:p>
    <w:p>
      <w:pPr>
        <w:pStyle w:val="ListBullet"/>
        <w:spacing w:before="0" w:after="80" w:line="259" w:lineRule="auto"/>
      </w:pPr>
      <w:r>
        <w:rPr>
          <w:rFonts w:ascii="Calibri" w:hAnsi="Calibri" w:eastAsia="Microsoft YaHei"/>
          <w:sz w:val="20"/>
        </w:rPr>
        <w:t>低位时相机常被夹爪或机械臂遮挡，因此取消低位面积触发闭爪，改成到达低位后直接闭合夹爪。</w:t>
      </w:r>
    </w:p>
    <w:p>
      <w:pPr>
        <w:pStyle w:val="ListBullet"/>
        <w:spacing w:before="0" w:after="80" w:line="259" w:lineRule="auto"/>
      </w:pPr>
      <w:r>
        <w:rPr>
          <w:rFonts w:ascii="Calibri" w:hAnsi="Calibri" w:eastAsia="Microsoft YaHei"/>
          <w:sz w:val="20"/>
        </w:rPr>
        <w:t>新增夹爪反馈重试：默认最多抓取 3 次，读取 servo_id=10 的夹爪位置；空夹闭合位置约 500，若差值达到 30 以上，则认为夹住目标。</w:t>
      </w:r>
    </w:p>
    <w:p>
      <w:pPr>
        <w:pStyle w:val="Heading2"/>
      </w:pPr>
      <w:r>
        <w:t>3. 本地 UI 与部署工具</w:t>
      </w:r>
    </w:p>
    <w:p>
      <w:pPr>
        <w:spacing w:before="0" w:after="100" w:line="259" w:lineRule="auto"/>
      </w:pPr>
      <w:r>
        <w:rPr>
          <w:rFonts w:ascii="Calibri" w:hAnsi="Calibri" w:eastAsia="Microsoft YaHei"/>
          <w:sz w:val="21"/>
        </w:rPr>
        <w:t>为了让调试过程少依赖手工命令，项目里补了两个本地 Web UI：一个用于按颜色和场景采集图片，另一个用于显示 YOLO 实时画面、启动或停止抓取，并调节目标面积、速度、MPC 周期、预抓取放慢倍率、夹爪阈值等参数。部署脚本会在连接机器人热点后自动上传和构建，并在结束时切回校园网，避免调试过程中长期断网。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2537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53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 w:line="240" w:lineRule="auto"/>
        <w:jc w:val="center"/>
      </w:pPr>
      <w:r>
        <w:rPr>
          <w:rFonts w:ascii="Calibri" w:hAnsi="Calibri" w:eastAsia="Microsoft YaHei"/>
          <w:color w:val="5F5F5F"/>
          <w:sz w:val="18"/>
        </w:rPr>
        <w:t>图2  YOLO 训练过程曲线：用于观察损失下降和验证集指标变化</w:t>
      </w:r>
    </w:p>
    <w:p>
      <w:pPr>
        <w:pStyle w:val="Heading1"/>
      </w:pPr>
      <w:r>
        <w:t>三、验证情况</w:t>
      </w:r>
    </w:p>
    <w:tbl>
      <w:tblPr>
        <w:tblStyle w:val="TableGrid"/>
        <w:tblW w:type="dxa" w:w="970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35"/>
        <w:gridCol w:w="3235"/>
        <w:gridCol w:w="3235"/>
      </w:tblGrid>
      <w:tr>
        <w:tc>
          <w:tcPr>
            <w:tcW w:type="dxa" w:w="1944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42030"/>
                <w:sz w:val="20"/>
              </w:rPr>
              <w:t>验证项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42030"/>
                <w:sz w:val="20"/>
              </w:rPr>
              <w:t>状态</w:t>
            </w:r>
          </w:p>
        </w:tc>
        <w:tc>
          <w:tcPr>
            <w:tcW w:type="dxa" w:w="5817"/>
            <w:vAlign w:val="center"/>
            <w:shd w:fill="F2F4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42030"/>
                <w:sz w:val="20"/>
              </w:rPr>
              <w:t>记录</w:t>
            </w:r>
          </w:p>
        </w:tc>
      </w:tr>
      <w:tr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模型推理</w:t>
            </w:r>
          </w:p>
        </w:tc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机器人端 /yolo_node/object_detect 可同时输出 red、green、blue，实测置信度约 0.96-0.98。</w:t>
            </w:r>
          </w:p>
        </w:tc>
      </w:tr>
      <w:tr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绿色抓取</w:t>
            </w:r>
          </w:p>
        </w:tc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跑通</w:t>
            </w:r>
          </w:p>
        </w:tc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在 stop_after_pick 模式下完成识别、对准、抓取动作，并正常进入 DONE。</w:t>
            </w:r>
          </w:p>
        </w:tc>
      </w:tr>
      <w:tr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闭环微调</w:t>
            </w:r>
          </w:p>
        </w:tc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已接入</w:t>
            </w:r>
          </w:p>
        </w:tc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预抓取阶段会持续根据 YOLO 框修正底盘，但仍需多轮统计成功率。</w:t>
            </w:r>
          </w:p>
        </w:tc>
      </w:tr>
      <w:tr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完整流程</w:t>
            </w:r>
          </w:p>
        </w:tc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待验收</w:t>
            </w:r>
          </w:p>
        </w:tc>
        <w:tc>
          <w:tcPr>
            <w:tcW w:type="dxa" w:w="323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导航放置、三色连续任务和比赛场地坐标还需要现场标定。</w:t>
            </w:r>
          </w:p>
        </w:tc>
      </w:tr>
    </w:tbl>
    <w:p>
      <w:pPr>
        <w:pStyle w:val="Heading1"/>
      </w:pPr>
      <w:r>
        <w:t>四、问题与下一步</w:t>
      </w:r>
    </w:p>
    <w:p>
      <w:pPr>
        <w:spacing w:before="0" w:after="100" w:line="259" w:lineRule="auto"/>
      </w:pPr>
      <w:r>
        <w:rPr>
          <w:rFonts w:ascii="Calibri" w:hAnsi="Calibri" w:eastAsia="Microsoft YaHei"/>
          <w:sz w:val="21"/>
        </w:rPr>
        <w:t>目前最大的问题不是单个模块能否运行，而是实机误差叠加后的稳定性。方块朝向会影响检测框面积，面积阈值不能完全代表距离；机械臂下探又会改变相机视野，所以后续需要用连续抓取统计来反推参数，而不是只凭一次成功判断方案可靠。</w:t>
      </w:r>
    </w:p>
    <w:p>
      <w:pPr>
        <w:pStyle w:val="ListNumber"/>
        <w:spacing w:before="0" w:after="80" w:line="259" w:lineRule="auto"/>
      </w:pPr>
      <w:r>
        <w:rPr>
          <w:rFonts w:ascii="Calibri" w:hAnsi="Calibri" w:eastAsia="Microsoft YaHei"/>
          <w:sz w:val="20"/>
        </w:rPr>
        <w:t>先围绕绿色方块做 20 次连续抓取，记录成功率、失败类型、夹爪反馈位置和目标框面积。</w:t>
      </w:r>
    </w:p>
    <w:p>
      <w:pPr>
        <w:pStyle w:val="ListNumber"/>
        <w:spacing w:before="0" w:after="80" w:line="259" w:lineRule="auto"/>
      </w:pPr>
      <w:r>
        <w:rPr>
          <w:rFonts w:ascii="Calibri" w:hAnsi="Calibri" w:eastAsia="Microsoft YaHei"/>
          <w:sz w:val="20"/>
        </w:rPr>
        <w:t>补采蓝色、多目标同框和遮挡样本，必要时做一次轻量增量训练。</w:t>
      </w:r>
    </w:p>
    <w:p>
      <w:pPr>
        <w:pStyle w:val="ListNumber"/>
        <w:spacing w:before="0" w:after="80" w:line="259" w:lineRule="auto"/>
      </w:pPr>
      <w:r>
        <w:rPr>
          <w:rFonts w:ascii="Calibri" w:hAnsi="Calibri" w:eastAsia="Microsoft YaHei"/>
          <w:sz w:val="20"/>
        </w:rPr>
        <w:t>完成红、绿、蓝三类分别抓取验证，再接入放置动作和导航点标定。</w:t>
      </w:r>
    </w:p>
    <w:p>
      <w:pPr>
        <w:pStyle w:val="ListNumber"/>
        <w:spacing w:before="0" w:after="80" w:line="259" w:lineRule="auto"/>
      </w:pPr>
      <w:r>
        <w:rPr>
          <w:rFonts w:ascii="Calibri" w:hAnsi="Calibri" w:eastAsia="Microsoft YaHei"/>
          <w:sz w:val="20"/>
        </w:rPr>
        <w:t>整理比赛当天操作清单：模型文件、启动命令、UI 参数、急停方式、日志保存和网络切换流程。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F5F5F"/>
        <w:sz w:val="17"/>
      </w:rPr>
      <w:t>2026年5月24日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right"/>
    </w:pPr>
    <w:r>
      <w:rPr>
        <w:rFonts w:ascii="Calibri" w:hAnsi="Calibri" w:eastAsia="Microsoft YaHei"/>
        <w:color w:val="5F5F5F"/>
        <w:sz w:val="17"/>
      </w:rPr>
      <w:t>方块拾取闭环控制项目 | 中期成果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59" w:lineRule="auto"/>
      <w:contextualSpacing/>
    </w:pPr>
    <w:rPr>
      <w:rFonts w:ascii="Calibri" w:hAnsi="Calibri" w:eastAsia="Microsoft YaHei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59" w:lineRule="auto"/>
      <w:contextualSpacing/>
    </w:pPr>
    <w:rPr>
      <w:rFonts w:ascii="Calibri" w:hAnsi="Calibri" w:eastAsia="Microsoft YaHei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方块拾取闭环控制项目中期成果报告</dc:title>
  <dc:subject>工程智能课程机器人项目中期成果</dc:subject>
  <dc:creator>工程智能项目组</dc:creator>
  <cp:keywords/>
  <dc:description>由项目资料整理生成，未包含机器人热点或 SSH 密码。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