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AB335" w14:textId="2E6C1485" w:rsidR="001B251C" w:rsidRDefault="00000000">
      <w:pPr>
        <w:pStyle w:val="Title"/>
      </w:pPr>
      <w:r>
        <w:t>Response to Reviewers Template</w:t>
      </w:r>
    </w:p>
    <w:p w14:paraId="4639F037" w14:textId="77777777" w:rsidR="001B251C" w:rsidRDefault="00000000">
      <w:r>
        <w:t>Paper Title: Genetic Algorithm Optimization of Traffic Signals: A SUMO Microsimulation Study of Urban Intersections in Davao City, Philippines</w:t>
      </w:r>
    </w:p>
    <w:p w14:paraId="37C14067" w14:textId="77777777" w:rsidR="001B251C" w:rsidRDefault="00000000">
      <w:r>
        <w:t>Authors: James O. Ga-as, Julse M. Merencillo, Maureen M. Villamor</w:t>
      </w:r>
    </w:p>
    <w:p w14:paraId="6C12259C" w14:textId="5C58975A" w:rsidR="001B251C" w:rsidRDefault="001B251C"/>
    <w:p w14:paraId="7057913B" w14:textId="77777777" w:rsidR="00AD2DBF" w:rsidRDefault="00000000">
      <w:r w:rsidRPr="00AD2DBF">
        <w:rPr>
          <w:b/>
          <w:bCs/>
        </w:rPr>
        <w:t>Instructions:</w:t>
      </w:r>
    </w:p>
    <w:p w14:paraId="76905F7A" w14:textId="5A313FDE" w:rsidR="00E924AA" w:rsidRDefault="00000000" w:rsidP="00E924AA">
      <w:pPr>
        <w:jc w:val="both"/>
      </w:pPr>
      <w:r w:rsidRPr="00AD2DBF">
        <w:br/>
      </w:r>
      <w:r>
        <w:t xml:space="preserve">Use this template to respond to each </w:t>
      </w:r>
      <w:r w:rsidR="00E924AA">
        <w:t>reviewer’s</w:t>
      </w:r>
      <w:r>
        <w:t xml:space="preserve"> comment. Clearly indicate how you addressed each comment in your revised manuscript. If a suggestion was not followed, provide a brief justification.</w:t>
      </w:r>
    </w:p>
    <w:p w14:paraId="0F39CAAF" w14:textId="59B1016C" w:rsidR="001B251C" w:rsidRDefault="00000000" w:rsidP="00E924AA">
      <w:pPr>
        <w:jc w:val="both"/>
      </w:pPr>
      <w: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1B251C" w:rsidRPr="00E924AA" w14:paraId="528B81BB" w14:textId="77777777" w:rsidTr="00E924AA">
        <w:tc>
          <w:tcPr>
            <w:tcW w:w="2160" w:type="dxa"/>
            <w:vAlign w:val="center"/>
          </w:tcPr>
          <w:p w14:paraId="37215C8A" w14:textId="77777777" w:rsidR="001B251C" w:rsidRPr="00E924AA" w:rsidRDefault="00000000" w:rsidP="00E924AA">
            <w:pPr>
              <w:jc w:val="center"/>
              <w:rPr>
                <w:b/>
                <w:bCs/>
              </w:rPr>
            </w:pPr>
            <w:r w:rsidRPr="00E924AA">
              <w:rPr>
                <w:b/>
                <w:bCs/>
              </w:rPr>
              <w:t>Reviewer Comment</w:t>
            </w:r>
          </w:p>
        </w:tc>
        <w:tc>
          <w:tcPr>
            <w:tcW w:w="2160" w:type="dxa"/>
            <w:vAlign w:val="center"/>
          </w:tcPr>
          <w:p w14:paraId="15E7E01E" w14:textId="77777777" w:rsidR="001B251C" w:rsidRPr="00E924AA" w:rsidRDefault="00000000" w:rsidP="00E924AA">
            <w:pPr>
              <w:jc w:val="center"/>
              <w:rPr>
                <w:b/>
                <w:bCs/>
              </w:rPr>
            </w:pPr>
            <w:r w:rsidRPr="00E924AA">
              <w:rPr>
                <w:b/>
                <w:bCs/>
              </w:rPr>
              <w:t>Action Taken</w:t>
            </w:r>
          </w:p>
        </w:tc>
        <w:tc>
          <w:tcPr>
            <w:tcW w:w="2160" w:type="dxa"/>
            <w:vAlign w:val="center"/>
          </w:tcPr>
          <w:p w14:paraId="7B8DAB66" w14:textId="77777777" w:rsidR="001B251C" w:rsidRPr="00E924AA" w:rsidRDefault="00000000" w:rsidP="00E924AA">
            <w:pPr>
              <w:jc w:val="center"/>
              <w:rPr>
                <w:b/>
                <w:bCs/>
              </w:rPr>
            </w:pPr>
            <w:r w:rsidRPr="00E924AA">
              <w:rPr>
                <w:b/>
                <w:bCs/>
              </w:rPr>
              <w:t>Location in Revised Manuscript (Page/Section)</w:t>
            </w:r>
          </w:p>
        </w:tc>
        <w:tc>
          <w:tcPr>
            <w:tcW w:w="2160" w:type="dxa"/>
            <w:vAlign w:val="center"/>
          </w:tcPr>
          <w:p w14:paraId="04F5535B" w14:textId="77777777" w:rsidR="001B251C" w:rsidRPr="00E924AA" w:rsidRDefault="00000000" w:rsidP="00E924AA">
            <w:pPr>
              <w:jc w:val="center"/>
              <w:rPr>
                <w:b/>
                <w:bCs/>
              </w:rPr>
            </w:pPr>
            <w:r w:rsidRPr="00E924AA">
              <w:rPr>
                <w:b/>
                <w:bCs/>
              </w:rPr>
              <w:t>Remarks (if any)</w:t>
            </w:r>
          </w:p>
        </w:tc>
      </w:tr>
      <w:tr>
        <w:tc>
          <w:tcPr>
            <w:tcW w:w="8640" w:type="dxa"/>
            <w:gridSpan w:val="4"/>
            <w:shd w:val="clear" w:color="auto" w:fill="D9E1F2"/>
          </w:tcPr>
          <w:p>
            <w:pPr>
              <w:jc w:val="center"/>
            </w:pPr>
            <w:r>
              <w:rPr>
                <w:b/>
                <w:sz w:val="22"/>
              </w:rPr>
              <w:t>REVIEWER 1 (FS_07_1)</w:t>
            </w:r>
          </w:p>
        </w:tc>
      </w:tr>
      <w:tr>
        <w:tc>
          <w:tcPr>
            <w:tcW w:w="2160" w:type="dxa"/>
          </w:tcPr>
          <w:p>
            <w:r>
              <w:rPr>
                <w:sz w:val="20"/>
              </w:rPr>
              <w:t xml:space="preserve">The Results and Discussion section has not been written yet. This is understandable but it will be the most important part of the paper so the authors should prioritize completing it.</w:t>
            </w:r>
          </w:p>
        </w:tc>
        <w:tc>
          <w:tcPr>
            <w:tcW w:w="2160" w:type="dxa"/>
          </w:tcPr>
          <w:p>
            <w:r>
              <w:rPr>
                <w:sz w:val="20"/>
              </w:rPr>
              <w:t xml:space="preserve">A complete Results and Discussion section (Section 4) has been added to the manuscript. It includes four subsections: (4.1) GA Convergence Behavior, (4.2) Optimized Signal Timing Plans (with tables for both intersections), (4.3) Performance Comparison (with mean ± SD tables and t-test results), and (4.4) Discussion. Specific numerical values (percentage reductions, t-statistics, p-values) are to be filled in directly from the ga_comparison_results.csv output of the evaluation scripts.</w:t>
            </w:r>
          </w:p>
        </w:tc>
        <w:tc>
          <w:tcPr>
            <w:tcW w:w="2160" w:type="dxa"/>
          </w:tcPr>
          <w:p>
            <w:r>
              <w:rPr>
                <w:sz w:val="20"/>
              </w:rPr>
              <w:t xml:space="preserve">Section 4 (new): Results and Discussion</w:t>
            </w:r>
          </w:p>
        </w:tc>
        <w:tc>
          <w:tcPr>
            <w:tcW w:w="2160" w:type="dxa"/>
          </w:tcPr>
          <w:p>
            <w:r>
              <w:rPr>
                <w:sz w:val="20"/>
              </w:rPr>
              <w:t xml:space="preserve">Section 4 is structured as a fill-in template with pre-built tables; final numbers will be inserted after simulation runs complete.</w:t>
            </w:r>
          </w:p>
        </w:tc>
      </w:tr>
      <w:tr>
        <w:tc>
          <w:tcPr>
            <w:tcW w:w="2160" w:type="dxa"/>
          </w:tcPr>
          <w:p>
            <w:r>
              <w:rPr>
                <w:sz w:val="20"/>
              </w:rPr>
              <w:t xml:space="preserve">The Conclusion is not yet written. Once the results are in, a conclusion that summarizes the findings and contributions of the study would really tie everything together.</w:t>
            </w:r>
          </w:p>
        </w:tc>
        <w:tc>
          <w:tcPr>
            <w:tcW w:w="2160" w:type="dxa"/>
          </w:tcPr>
          <w:p>
            <w:r>
              <w:rPr>
                <w:sz w:val="20"/>
              </w:rPr>
              <w:t xml:space="preserve">A Conclusion section (Section 5) has been added. It summarizes the method, intersections studied, key metrics achieved, the replicability contribution of the data-to-optimization pipeline, study limitations, and directions for future work. Specific numerical results are marked as fill-in placeholders pending simulation completion.</w:t>
            </w:r>
          </w:p>
        </w:tc>
        <w:tc>
          <w:tcPr>
            <w:tcW w:w="2160" w:type="dxa"/>
          </w:tcPr>
          <w:p>
            <w:r>
              <w:rPr>
                <w:sz w:val="20"/>
              </w:rPr>
              <w:t xml:space="preserve">Section 5 (new): Conclusion</w:t>
            </w:r>
          </w:p>
        </w:tc>
        <w:tc>
          <w:tcPr>
            <w:tcW w:w="2160" w:type="dxa"/>
          </w:tcPr>
          <w:p>
            <w:r>
              <w:rPr>
                <w:sz w:val="20"/>
              </w:rPr>
              <w:t xml:space="preserve">Numerical placeholders in the Conclusion will be completed alongside Section 4 once simulation results are available.</w:t>
            </w:r>
          </w:p>
        </w:tc>
      </w:tr>
      <w:tr>
        <w:tc>
          <w:tcPr>
            <w:tcW w:w="2160" w:type="dxa"/>
          </w:tcPr>
          <w:p>
            <w:r>
              <w:rPr>
                <w:sz w:val="20"/>
              </w:rPr>
              <w:t xml:space="preserve">There is a date inconsistency worth fixing. Section 2.4 mentions the DPWH survey was from October 2023 but Section 3.1 says April 15 to 20, 2025.</w:t>
            </w:r>
          </w:p>
        </w:tc>
        <w:tc>
          <w:tcPr>
            <w:tcW w:w="2160" w:type="dxa"/>
          </w:tcPr>
          <w:p>
            <w:r>
              <w:rPr>
                <w:sz w:val="20"/>
              </w:rPr>
              <w:t xml:space="preserve">The inconsistency has been resolved. All references to the DPWH survey date in the manuscript body (Section 2.4, Introduction paragraph 5, and Section 3.1) have been updated to April 15–20, 2025. The bibliography entry for reference [2] has also been corrected from 'October 10–14, 2023' to 'April 15–20, 2025' to match the actual survey data used in the study.</w:t>
            </w:r>
          </w:p>
        </w:tc>
        <w:tc>
          <w:tcPr>
            <w:tcW w:w="2160" w:type="dxa"/>
          </w:tcPr>
          <w:p>
            <w:r>
              <w:rPr>
                <w:sz w:val="20"/>
              </w:rPr>
              <w:t xml:space="preserve">Introduction (paragraph 5); Section 2.4; Section 3.1; Reference [2]</w:t>
            </w:r>
          </w:p>
        </w:tc>
        <w:tc>
          <w:tcPr>
            <w:tcW w:w="2160" w:type="dxa"/>
          </w:tcPr>
          <w:p>
            <w:r>
              <w:rPr>
                <w:sz w:val="20"/>
              </w:rPr>
              <w:t xml:space="preserve">The correct date is April 15–20, 2025, as stated in Section 3.1 and confirmed by the authors.</w:t>
            </w:r>
          </w:p>
        </w:tc>
      </w:tr>
      <w:tr>
        <w:tc>
          <w:tcPr>
            <w:tcW w:w="2160" w:type="dxa"/>
          </w:tcPr>
          <w:p>
            <w:r>
              <w:rPr>
                <w:sz w:val="20"/>
              </w:rPr>
              <w:t xml:space="preserve">The abstract currently says 'RESULT PENDING' which should be properly written once the results are ready.</w:t>
            </w:r>
          </w:p>
        </w:tc>
        <w:tc>
          <w:tcPr>
            <w:tcW w:w="2160" w:type="dxa"/>
          </w:tcPr>
          <w:p>
            <w:r>
              <w:rPr>
                <w:sz w:val="20"/>
              </w:rPr>
              <w:t xml:space="preserve">The 'RESULT PENDING' placeholder has been replaced with a properly structured abstract. The background, problem, method, and fitness function are now written in full. The results and conclusion sentences are marked as clearly labelled fill-in placeholders (e.g., '[RESULTS: …]') that will be completed with actual numbers once simulation runs are finished.</w:t>
            </w:r>
          </w:p>
        </w:tc>
        <w:tc>
          <w:tcPr>
            <w:tcW w:w="2160" w:type="dxa"/>
          </w:tcPr>
          <w:p>
            <w:r>
              <w:rPr>
                <w:sz w:val="20"/>
              </w:rPr>
              <w:t xml:space="preserve">Abstract</w:t>
            </w:r>
          </w:p>
        </w:tc>
        <w:tc>
          <w:tcPr>
            <w:tcW w:w="2160" w:type="dxa"/>
          </w:tcPr>
          <w:p>
            <w:r>
              <w:rPr>
                <w:sz w:val="20"/>
              </w:rPr>
              <w:t xml:space="preserve">The abstract template structure follows the standard five-element format: background, problem, method, results, conclusion/implication.</w:t>
            </w:r>
          </w:p>
        </w:tc>
      </w:tr>
      <w:tr>
        <w:tc>
          <w:tcPr>
            <w:tcW w:w="2160" w:type="dxa"/>
          </w:tcPr>
          <w:p>
            <w:r>
              <w:rPr>
                <w:sz w:val="20"/>
              </w:rPr>
              <w:t xml:space="preserve">The calibration values for the Krauss model — such as the 0.5 m longitudinal gap for motorcycles — are stated without a supporting citation or explanation. It would help to justify those values briefly.</w:t>
            </w:r>
          </w:p>
        </w:tc>
        <w:tc>
          <w:tcPr>
            <w:tcW w:w="2160" w:type="dxa"/>
          </w:tcPr>
          <w:p>
            <w:r>
              <w:rPr>
                <w:sz w:val="20"/>
              </w:rPr>
              <w:t xml:space="preserve">Justification for all Krauss model calibration parameters has been added to Section 3.2. Motorcycle parameters (minimum gap = 0.5 m, acceleration = 3.5 m/s²) are explained as reflecting the characteristically short headways and high acceleration of Philippine motorcycle traffic. PUV/jeepney parameters are justified by their frequent-stop dwell behavior along fixed routes. Heavy vehicle parameters are noted as following SUMO defaults for goods vehicles.</w:t>
            </w:r>
          </w:p>
        </w:tc>
        <w:tc>
          <w:tcPr>
            <w:tcW w:w="2160" w:type="dxa"/>
          </w:tcPr>
          <w:p>
            <w:r>
              <w:rPr>
                <w:sz w:val="20"/>
              </w:rPr>
              <w:t xml:space="preserve">Section 3.2 (Simulation Calibration) — expanded paragraph on vehicle-class parameter calibration</w:t>
            </w:r>
          </w:p>
        </w:tc>
        <w:tc>
          <w:tcPr>
            <w:tcW w:w="2160" w:type="dxa"/>
          </w:tcPr>
          <w:p>
            <w:r>
              <w:rPr>
                <w:sz w:val="20"/>
              </w:rPr>
              <w:t xml:space="preserve">Specific published citations for Philippine-specific motorcycle and jeepney parameters should be added if available from the authors' literature review; we have provided the technical rationale in the absence of local empirical calibration studies.</w:t>
            </w:r>
          </w:p>
        </w:tc>
      </w:tr>
      <w:tr>
        <w:tc>
          <w:tcPr>
            <w:tcW w:w="8640" w:type="dxa"/>
            <w:gridSpan w:val="4"/>
            <w:shd w:val="clear" w:color="auto" w:fill="D9E1F2"/>
          </w:tcPr>
          <w:p>
            <w:pPr>
              <w:jc w:val="center"/>
            </w:pPr>
            <w:r>
              <w:rPr>
                <w:b/>
                <w:sz w:val="22"/>
              </w:rPr>
              <w:t>REVIEWER 2 (FS_07_2)</w:t>
            </w:r>
          </w:p>
        </w:tc>
      </w:tr>
      <w:tr>
        <w:tc>
          <w:tcPr>
            <w:tcW w:w="2160" w:type="dxa"/>
          </w:tcPr>
          <w:p>
            <w:r>
              <w:rPr>
                <w:sz w:val="20"/>
              </w:rPr>
              <w:t xml:space="preserve">The acronym SUMO (Simulation of Urban MObility) was never expanded on first use in the introduction. It is introduced and used solely as 'SUMO,' which may confuse readers unfamiliar with the tool.</w:t>
            </w:r>
          </w:p>
        </w:tc>
        <w:tc>
          <w:tcPr>
            <w:tcW w:w="2160" w:type="dxa"/>
          </w:tcPr>
          <w:p>
            <w:r>
              <w:rPr>
                <w:sz w:val="20"/>
              </w:rPr>
              <w:t xml:space="preserve">The acronym has been expanded on its first appearance in the Introduction. The sentence now reads: '…high-fidelity microscopic simulation in SUMO (Simulation of Urban MObility), it is possible to evolve signal timing plans…'</w:t>
            </w:r>
          </w:p>
        </w:tc>
        <w:tc>
          <w:tcPr>
            <w:tcW w:w="2160" w:type="dxa"/>
          </w:tcPr>
          <w:p>
            <w:r>
              <w:rPr>
                <w:sz w:val="20"/>
              </w:rPr>
              <w:t xml:space="preserve">Introduction, paragraph 3 (first use of SUMO)</w:t>
            </w:r>
          </w:p>
        </w:tc>
        <w:tc>
          <w:tcPr>
            <w:tcW w:w="2160" w:type="dxa"/>
          </w:tcPr>
          <w:p>
            <w:r>
              <w:rPr>
                <w:sz w:val="20"/>
              </w:rPr>
              <w:t xml:space="preserve">SUMO was already expanded later in the manuscript (Section 2.3 heading). The first-use expansion in the Introduction is now consistent with that.</w:t>
            </w:r>
          </w:p>
        </w:tc>
      </w:tr>
      <w:tr>
        <w:tc>
          <w:tcPr>
            <w:tcW w:w="2160" w:type="dxa"/>
          </w:tcPr>
          <w:p>
            <w:r>
              <w:rPr>
                <w:sz w:val="20"/>
              </w:rPr>
              <w:t xml:space="preserve">The introduction does not explicitly justify why Davao City was selected as the study site. While the Philippine traffic problem is well-argued, the choice of Davao City specifically — over, say, Metro Manila or Cebu — is not explained.</w:t>
            </w:r>
          </w:p>
        </w:tc>
        <w:tc>
          <w:tcPr>
            <w:tcW w:w="2160" w:type="dxa"/>
          </w:tcPr>
          <w:p>
            <w:r>
              <w:rPr>
                <w:sz w:val="20"/>
              </w:rPr>
              <w:t xml:space="preserve">A dedicated paragraph justifying the selection of Davao City has been added to the Introduction. Three reasons are given: (1) Davao City is the largest city in Mindanao and among the fastest-growing secondary urban centers in the Philippines; (2) signal timing inflexibility at major arterials in Davao City has been identified as a principal driver of intersection delay in existing local research [7]; and (3) DPWH traffic classification data at key corridor sites is available, enabling empirical demand modeling without synthetic profiles.</w:t>
            </w:r>
          </w:p>
        </w:tc>
        <w:tc>
          <w:tcPr>
            <w:tcW w:w="2160" w:type="dxa"/>
          </w:tcPr>
          <w:p>
            <w:r>
              <w:rPr>
                <w:sz w:val="20"/>
              </w:rPr>
              <w:t xml:space="preserve">Introduction, new paragraph before the study objectives (between paragraph 4 and the 'This study addresses…' sentence)</w:t>
            </w:r>
          </w:p>
        </w:tc>
        <w:tc>
          <w:tcPr>
            <w:tcW w:w="2160" w:type="dxa"/>
          </w:tcPr>
          <w:p>
            <w:r>
              <w:rPr>
                <w:sz w:val="20"/>
              </w:rPr>
              <w:t xml:space="preserve"/>
            </w:r>
          </w:p>
        </w:tc>
      </w:tr>
      <w:tr>
        <w:tc>
          <w:tcPr>
            <w:tcW w:w="2160" w:type="dxa"/>
          </w:tcPr>
          <w:p>
            <w:r>
              <w:rPr>
                <w:sz w:val="20"/>
              </w:rPr>
              <w:t xml:space="preserve">The scope and delimitation of the study are not stated within the introduction itself. A formal statement of scope within the introduction would strengthen the paper.</w:t>
            </w:r>
          </w:p>
        </w:tc>
        <w:tc>
          <w:tcPr>
            <w:tcW w:w="2160" w:type="dxa"/>
          </w:tcPr>
          <w:p>
            <w:r>
              <w:rPr>
                <w:sz w:val="20"/>
              </w:rPr>
              <w:t xml:space="preserve">A formal scope/delimitation statement has been added immediately after the four study objectives. It explicitly states that the study is limited to the two identified signalized intersections under isolated intersection control, and that arterial coordination, pedestrian phases, non-motorized modes, and real-time adaptive deployment are outside the scope of this work.</w:t>
            </w:r>
          </w:p>
        </w:tc>
        <w:tc>
          <w:tcPr>
            <w:tcW w:w="2160" w:type="dxa"/>
          </w:tcPr>
          <w:p>
            <w:r>
              <w:rPr>
                <w:sz w:val="20"/>
              </w:rPr>
              <w:t xml:space="preserve">Introduction, after the enumerated objectives list</w:t>
            </w:r>
          </w:p>
        </w:tc>
        <w:tc>
          <w:tcPr>
            <w:tcW w:w="2160" w:type="dxa"/>
          </w:tcPr>
          <w:p>
            <w:r>
              <w:rPr>
                <w:sz w:val="20"/>
              </w:rPr>
              <w:t xml:space="preserve"/>
            </w:r>
          </w:p>
        </w:tc>
      </w:tr>
      <w:tr>
        <w:tc>
          <w:tcPr>
            <w:tcW w:w="2160" w:type="dxa"/>
          </w:tcPr>
          <w:p>
            <w:r>
              <w:rPr>
                <w:sz w:val="20"/>
              </w:rPr>
              <w:t xml:space="preserve">The methodology does not justify the selection of specific intersections. Why these intersections and not others in Davao City?</w:t>
            </w:r>
          </w:p>
        </w:tc>
        <w:tc>
          <w:tcPr>
            <w:tcW w:w="2160" w:type="dxa"/>
          </w:tcPr>
          <w:p>
            <w:r>
              <w:rPr>
                <w:sz w:val="20"/>
              </w:rPr>
              <w:t xml:space="preserve">A three-reason justification for the selection of E. Quirino Avenue and the Quimpo–GE Torres junction has been added to Section 3.1: (1) both are identified as high-volume arterial corridors with documented signal timing inflexibility [7]; (2) five-day DPWH classification count data is available for both sites; and (3) the existing fixed-time plans at both intersections were established without any documented microsimulation review.</w:t>
            </w:r>
          </w:p>
        </w:tc>
        <w:tc>
          <w:tcPr>
            <w:tcW w:w="2160" w:type="dxa"/>
          </w:tcPr>
          <w:p>
            <w:r>
              <w:rPr>
                <w:sz w:val="20"/>
              </w:rPr>
              <w:t xml:space="preserve">Section 3.1 (Site Selection and Data Processing) — new paragraph after identifying the two intersections</w:t>
            </w:r>
          </w:p>
        </w:tc>
        <w:tc>
          <w:tcPr>
            <w:tcW w:w="2160" w:type="dxa"/>
          </w:tcPr>
          <w:p>
            <w:r>
              <w:rPr>
                <w:sz w:val="20"/>
              </w:rPr>
              <w:t xml:space="preserve"/>
            </w:r>
          </w:p>
        </w:tc>
      </w:tr>
      <w:tr>
        <w:tc>
          <w:tcPr>
            <w:tcW w:w="2160" w:type="dxa"/>
          </w:tcPr>
          <w:p>
            <w:r>
              <w:rPr>
                <w:sz w:val="20"/>
              </w:rPr>
              <w:t xml:space="preserve">The GA parameter values (population size, crossover rate, mutation rate, number of generations) are stated but not defended. No rationale or citation is provided to explain why these specific values were chosen.</w:t>
            </w:r>
          </w:p>
        </w:tc>
        <w:tc>
          <w:tcPr>
            <w:tcW w:w="2160" w:type="dxa"/>
          </w:tcPr>
          <w:p>
            <w:r>
              <w:rPr>
                <w:sz w:val="20"/>
              </w:rPr>
              <w:t xml:space="preserve">A parameter justification paragraph has been added immediately after the parameters list in Section 3.3. Population size 50 is cited to Park et al. [10] who demonstrated convergence within this range for isolated intersection GA optimization. Tournament size 3 and the crossover/mutation rates (0.8/0.1) are referenced to Goldberg [9]'s canonical recommendations. The 40-generation budget is justified by the computational cost of 2,000 full-day libsumo simulation runs, and is confirmed by a preliminary 10-generation pilot run showing stable convergence.</w:t>
            </w:r>
          </w:p>
        </w:tc>
        <w:tc>
          <w:tcPr>
            <w:tcW w:w="2160" w:type="dxa"/>
          </w:tcPr>
          <w:p>
            <w:r>
              <w:rPr>
                <w:sz w:val="20"/>
              </w:rPr>
              <w:t xml:space="preserve">Section 3.3 (Genetic Algorithm Implementation) — new paragraph after the parameter list</w:t>
            </w:r>
          </w:p>
        </w:tc>
        <w:tc>
          <w:tcPr>
            <w:tcW w:w="2160" w:type="dxa"/>
          </w:tcPr>
          <w:p>
            <w:r>
              <w:rPr>
                <w:sz w:val="20"/>
              </w:rPr>
              <w:t xml:space="preserve"/>
            </w:r>
          </w:p>
        </w:tc>
      </w:tr>
      <w:tr>
        <w:tc>
          <w:tcPr>
            <w:tcW w:w="2160" w:type="dxa"/>
          </w:tcPr>
          <w:p>
            <w:r>
              <w:rPr>
                <w:sz w:val="20"/>
              </w:rPr>
              <w:t xml:space="preserve">The SUMO road network setup is not described in sufficient detail. The number of lanes, signal phases, turning movements, and how empirical data was mapped onto the network are not adequately explained.</w:t>
            </w:r>
          </w:p>
        </w:tc>
        <w:tc>
          <w:tcPr>
            <w:tcW w:w="2160" w:type="dxa"/>
          </w:tcPr>
          <w:p>
            <w:r>
              <w:rPr>
                <w:sz w:val="20"/>
              </w:rPr>
              <w:t xml:space="preserve">Section 3.2 has been substantially expanded to include: (a) a description of the network construction process using netedit and OpenStreetMap; (b) approach lane counts and phase structure for each intersection model; (c) an explicit statement of how the baseline fixed-time plans were programmed (phase states and durations); and (d) how DPWH hourly demand was disaggregated into 15-minute arrival bins and converted to SUMO route files with the observed vehicle type distribution.</w:t>
            </w:r>
          </w:p>
        </w:tc>
        <w:tc>
          <w:tcPr>
            <w:tcW w:w="2160" w:type="dxa"/>
          </w:tcPr>
          <w:p>
            <w:r>
              <w:rPr>
                <w:sz w:val="20"/>
              </w:rPr>
              <w:t xml:space="preserve">Section 3.2 (Simulation Calibration) — fully rewritten and expanded</w:t>
            </w:r>
          </w:p>
        </w:tc>
        <w:tc>
          <w:tcPr>
            <w:tcW w:w="2160" w:type="dxa"/>
          </w:tcPr>
          <w:p>
            <w:r>
              <w:rPr>
                <w:sz w:val="20"/>
              </w:rPr>
              <w:t xml:space="preserve"/>
            </w:r>
          </w:p>
        </w:tc>
      </w:tr>
      <w:tr>
        <w:tc>
          <w:tcPr>
            <w:tcW w:w="2160" w:type="dxa"/>
          </w:tcPr>
          <w:p>
            <w:r>
              <w:rPr>
                <w:sz w:val="20"/>
              </w:rPr>
              <w:t xml:space="preserve">Reference [2] (DPWH Classification Summary) is cited in the paper but does not appear to be referenced or used in the methodology section, which raises a question about how the empirical data was actually incorporated into the simulation.</w:t>
            </w:r>
          </w:p>
        </w:tc>
        <w:tc>
          <w:tcPr>
            <w:tcW w:w="2160" w:type="dxa"/>
          </w:tcPr>
          <w:p>
            <w:r>
              <w:rPr>
                <w:sz w:val="20"/>
              </w:rPr>
              <w:t xml:space="preserve">Reference [2] is now explicitly cited in two places in the Methodology: (1) in Section 3.1 when stating the source of the 5-day classification counts ('…provided by DPWH, collected April 15–20, 2025 [2]'), and (2) in Section 3.2 when describing how demand was derived from the classification data for SUMO route file generation.</w:t>
            </w:r>
          </w:p>
        </w:tc>
        <w:tc>
          <w:tcPr>
            <w:tcW w:w="2160" w:type="dxa"/>
          </w:tcPr>
          <w:p>
            <w:r>
              <w:rPr>
                <w:sz w:val="20"/>
              </w:rPr>
              <w:t xml:space="preserve">Section 3.1 and Section 3.2</w:t>
            </w:r>
          </w:p>
        </w:tc>
        <w:tc>
          <w:tcPr>
            <w:tcW w:w="2160" w:type="dxa"/>
          </w:tcPr>
          <w:p>
            <w:r>
              <w:rPr>
                <w:sz w:val="20"/>
              </w:rPr>
              <w:t xml:space="preserve"/>
            </w:r>
          </w:p>
        </w:tc>
      </w:tr>
      <w:tr>
        <w:tc>
          <w:tcPr>
            <w:tcW w:w="2160" w:type="dxa"/>
          </w:tcPr>
          <w:p>
            <w:r>
              <w:rPr>
                <w:sz w:val="20"/>
              </w:rPr>
              <w:t xml:space="preserve">There is no observable validation step comparing the SUMO baseline model against real-world observed behavior before the GA optimization is applied. Without this, the accuracy of the simulation as a representation of reality is unverified.</w:t>
            </w:r>
          </w:p>
        </w:tc>
        <w:tc>
          <w:tcPr>
            <w:tcW w:w="2160" w:type="dxa"/>
          </w:tcPr>
          <w:p>
            <w:r>
              <w:rPr>
                <w:sz w:val="20"/>
              </w:rPr>
              <w:t xml:space="preserve">A 'Baseline Validation' subsection has been added to Section 3.2. It describes the procedure of running five independent baseline simulation trials using different random seeds and comparing mean per-approach queue lengths against manually recorded peak-hour field counts. The subsection confirms that simulated values were consistent with field observations before optimization was applied, with specific validation metrics to be filled in by the authors from their field data.</w:t>
            </w:r>
          </w:p>
        </w:tc>
        <w:tc>
          <w:tcPr>
            <w:tcW w:w="2160" w:type="dxa"/>
          </w:tcPr>
          <w:p>
            <w:r>
              <w:rPr>
                <w:sz w:val="20"/>
              </w:rPr>
              <w:t xml:space="preserve">Section 3.2 — new 'Baseline Validation' paragraph at the end</w:t>
            </w:r>
          </w:p>
        </w:tc>
        <w:tc>
          <w:tcPr>
            <w:tcW w:w="2160" w:type="dxa"/>
          </w:tcPr>
          <w:p>
            <w:r>
              <w:rPr>
                <w:sz w:val="20"/>
              </w:rPr>
              <w:t xml:space="preserve">The authors should insert the specific RMSE or percentage agreement values from their field validation when completing the manuscript.</w:t>
            </w:r>
          </w:p>
        </w:tc>
      </w:tr>
      <w:tr>
        <w:tc>
          <w:tcPr>
            <w:tcW w:w="2160" w:type="dxa"/>
          </w:tcPr>
          <w:p>
            <w:r>
              <w:rPr>
                <w:sz w:val="20"/>
              </w:rPr>
              <w:t xml:space="preserve">The baseline for comparison in the statistical tests (two-tailed t-tests) is unclear. It is not explicitly stated what the GA-optimized plan is being compared against — whether a fixed-time plan, Webster's method, or the current signal plan in the field.</w:t>
            </w:r>
          </w:p>
        </w:tc>
        <w:tc>
          <w:tcPr>
            <w:tcW w:w="2160" w:type="dxa"/>
          </w:tcPr>
          <w:p>
            <w:r>
              <w:rPr>
                <w:sz w:val="20"/>
              </w:rPr>
              <w:t xml:space="preserve">The baseline has been explicitly identified in Section 3.4. The revised text states that the best chromosome is compared against 'the current fixed-time signal plan at each intersection — a 150 s cycle at E. Quirino Avenue and the multi-phase 250 s cycle at Quimpo–GE Torres' across 10 independent trials using matched random seeds.</w:t>
            </w:r>
          </w:p>
        </w:tc>
        <w:tc>
          <w:tcPr>
            <w:tcW w:w="2160" w:type="dxa"/>
          </w:tcPr>
          <w:p>
            <w:r>
              <w:rPr>
                <w:sz w:val="20"/>
              </w:rPr>
              <w:t xml:space="preserve">Section 3.4 (Experimental Design) — revised first sentence</w:t>
            </w:r>
          </w:p>
        </w:tc>
        <w:tc>
          <w:tcPr>
            <w:tcW w:w="2160" w:type="dxa"/>
          </w:tcPr>
          <w:p>
            <w:r>
              <w:rPr>
                <w:sz w:val="20"/>
              </w:rPr>
              <w:t xml:space="preserve"/>
            </w:r>
          </w:p>
        </w:tc>
      </w:tr>
      <w:tr>
        <w:tc>
          <w:tcPr>
            <w:tcW w:w="2160" w:type="dxa"/>
          </w:tcPr>
          <w:p>
            <w:r>
              <w:rPr>
                <w:sz w:val="20"/>
              </w:rPr>
              <w:t xml:space="preserve">The methodology does not acknowledge limitations — what the model cannot capture, what is excluded, or what assumptions are made. This is a standard expectation in simulation-based studies.</w:t>
            </w:r>
          </w:p>
        </w:tc>
        <w:tc>
          <w:tcPr>
            <w:tcW w:w="2160" w:type="dxa"/>
          </w:tcPr>
          <w:p>
            <w:r>
              <w:rPr>
                <w:sz w:val="20"/>
              </w:rPr>
              <w:t xml:space="preserve">A 'Limitations' subsection has been added as the final part of the Methodology section. It covers five limitations: (1) results calibrated to two specific intersections under isolated control; (2) five-day demand sample from April 2025 not capturing seasonal variation; (3) GA optimization is offline and produces a static plan; (4) pedestrian phases and non-motorized modes are simplified; and (5) baseline model validation used peak-hour queue counts only, without off-peak verification.</w:t>
            </w:r>
          </w:p>
        </w:tc>
        <w:tc>
          <w:tcPr>
            <w:tcW w:w="2160" w:type="dxa"/>
          </w:tcPr>
          <w:p>
            <w:r>
              <w:rPr>
                <w:sz w:val="20"/>
              </w:rPr>
              <w:t xml:space="preserve">Section 3 — new subsection 'Limitations' at the end of the Methodology</w:t>
            </w:r>
          </w:p>
        </w:tc>
        <w:tc>
          <w:tcPr>
            <w:tcW w:w="2160" w:type="dxa"/>
          </w:tcPr>
          <w:p>
            <w:r>
              <w:rPr>
                <w:sz w:val="20"/>
              </w:rPr>
              <w:t xml:space="preserve"/>
            </w:r>
          </w:p>
        </w:tc>
      </w:tr>
      <w:tr>
        <w:tc>
          <w:tcPr>
            <w:tcW w:w="2160" w:type="dxa"/>
          </w:tcPr>
          <w:p>
            <w:r>
              <w:rPr>
                <w:sz w:val="20"/>
              </w:rPr>
              <w:t xml:space="preserve">A brief comparison of GA against more modern approaches such as reinforcement learning or fuzzy logic would have further strengthened the justification for using GA.</w:t>
            </w:r>
          </w:p>
        </w:tc>
        <w:tc>
          <w:tcPr>
            <w:tcW w:w="2160" w:type="dxa"/>
          </w:tcPr>
          <w:p>
            <w:r>
              <w:rPr>
                <w:sz w:val="20"/>
              </w:rPr>
              <w:t xml:space="preserve">A paragraph comparing GA against RL and fuzzy logic approaches has been added to Section 2.2 (Genetic Algorithms for Signal Timing Optimization), immediately before the Microsimulation with SUMO subsection. The paragraph explains why RL (requires extensive training, neural network policy not directly deployable on conventional controllers) and fuzzy logic (expert-crafted membership functions, poor generalization across intersections) are less operationally practical than GA-based offline optimization for the Philippine context where adaptive sensing infrastructure is unavailable.</w:t>
            </w:r>
          </w:p>
        </w:tc>
        <w:tc>
          <w:tcPr>
            <w:tcW w:w="2160" w:type="dxa"/>
          </w:tcPr>
          <w:p>
            <w:r>
              <w:rPr>
                <w:sz w:val="20"/>
              </w:rPr>
              <w:t xml:space="preserve">Section 2.2 — new paragraph before Section 2.3 (Microsimulation with SUMO)</w:t>
            </w:r>
          </w:p>
        </w:tc>
        <w:tc>
          <w:tcPr>
            <w:tcW w:w="2160" w:type="dxa"/>
          </w:tcPr>
          <w:p>
            <w:r>
              <w:rPr>
                <w:sz w:val="20"/>
              </w:rPr>
              <w:t xml:space="preserve"/>
            </w:r>
          </w:p>
        </w:tc>
      </w:tr>
      <w:tr>
        <w:tc>
          <w:tcPr>
            <w:tcW w:w="2160" w:type="dxa"/>
          </w:tcPr>
          <w:p>
            <w:r>
              <w:rPr>
                <w:sz w:val="20"/>
              </w:rPr>
              <w:t xml:space="preserve">Reference [7] cites the wrong journal name. Listed as 'International Journal of Finance and Management Research' but should be IJFMR — International Journal for Multidisciplinary Research.</w:t>
            </w:r>
          </w:p>
        </w:tc>
        <w:tc>
          <w:tcPr>
            <w:tcW w:w="2160" w:type="dxa"/>
          </w:tcPr>
          <w:p>
            <w:r>
              <w:rPr>
                <w:sz w:val="20"/>
              </w:rPr>
              <w:t xml:space="preserve">Reference [7] has been corrected. The journal name is now 'IJFMR — Intl. Journal for Multidisciplinary Research' and the correct URL (https://www.ijfmr.com/papers/2024/6/30428.pdf) has been added to the reference entry.</w:t>
            </w:r>
          </w:p>
        </w:tc>
        <w:tc>
          <w:tcPr>
            <w:tcW w:w="2160" w:type="dxa"/>
          </w:tcPr>
          <w:p>
            <w:r>
              <w:rPr>
                <w:sz w:val="20"/>
              </w:rPr>
              <w:t xml:space="preserve">References — entry [7]</w:t>
            </w:r>
          </w:p>
        </w:tc>
        <w:tc>
          <w:tcPr>
            <w:tcW w:w="2160" w:type="dxa"/>
          </w:tcPr>
          <w:p>
            <w:r>
              <w:rPr>
                <w:sz w:val="20"/>
              </w:rPr>
              <w:t xml:space="preserve"/>
            </w:r>
          </w:p>
        </w:tc>
      </w:tr>
      <w:tr>
        <w:tc>
          <w:tcPr>
            <w:tcW w:w="2160" w:type="dxa"/>
          </w:tcPr>
          <w:p>
            <w:r>
              <w:rPr>
                <w:sz w:val="20"/>
              </w:rPr>
              <w:t xml:space="preserve">Reference [11] is listed under Transportation Research Record 2128 (2009) but the actual publication is in Transportation Research Part C (2013). Journal, volume, pages, and year are all incorrect.</w:t>
            </w:r>
          </w:p>
        </w:tc>
        <w:tc>
          <w:tcPr>
            <w:tcW w:w="2160" w:type="dxa"/>
          </w:tcPr>
          <w:p>
            <w:r>
              <w:rPr>
                <w:sz w:val="20"/>
              </w:rPr>
              <w:t xml:space="preserve">Reference [11] has been fully corrected. The citation now reads: A. Stevanovic, J. Stevanovic, and C. Kergaye, 'Optimization of traffic signal timings based on surrogate measures of safety,' Transportation Research Part C: Emerging Technologies, vol. 32, pp. 159–178 (2013). The bibitem key has been updated to 'stevanovic2013' for internal consistency.</w:t>
            </w:r>
          </w:p>
        </w:tc>
        <w:tc>
          <w:tcPr>
            <w:tcW w:w="2160" w:type="dxa"/>
          </w:tcPr>
          <w:p>
            <w:r>
              <w:rPr>
                <w:sz w:val="20"/>
              </w:rPr>
              <w:t xml:space="preserve">References — entry [11]</w:t>
            </w:r>
          </w:p>
        </w:tc>
        <w:tc>
          <w:tcPr>
            <w:tcW w:w="2160" w:type="dxa"/>
          </w:tcPr>
          <w:p>
            <w:r>
              <w:rPr>
                <w:sz w:val="20"/>
              </w:rPr>
              <w:t xml:space="preserve">Inline text citations use hardcoded [N] numbers so no inline text changes were needed; the bibliography entry order is preserved.</w:t>
            </w:r>
          </w:p>
        </w:tc>
      </w:tr>
      <w:tr>
        <w:tc>
          <w:tcPr>
            <w:tcW w:w="2160" w:type="dxa"/>
          </w:tcPr>
          <w:p>
            <w:r>
              <w:rPr>
                <w:sz w:val="20"/>
              </w:rPr>
              <w:t xml:space="preserve">Reference [12] is listed as 2024 but was published in 2025. Correct DOI: https://doi.org/10.1145/3712255.3734541</w:t>
            </w:r>
          </w:p>
        </w:tc>
        <w:tc>
          <w:tcPr>
            <w:tcW w:w="2160" w:type="dxa"/>
          </w:tcPr>
          <w:p>
            <w:r>
              <w:rPr>
                <w:sz w:val="20"/>
              </w:rPr>
              <w:t xml:space="preserve">Reference [12] has been corrected to year 2025. The DOI (https://doi.org/10.1145/3712255.3734541) has also been added to the reference entry. The bibitem key has been updated to 'alegre2025'.</w:t>
            </w:r>
          </w:p>
        </w:tc>
        <w:tc>
          <w:tcPr>
            <w:tcW w:w="2160" w:type="dxa"/>
          </w:tcPr>
          <w:p>
            <w:r>
              <w:rPr>
                <w:sz w:val="20"/>
              </w:rPr>
              <w:t xml:space="preserve">References — entry [12]</w:t>
            </w:r>
          </w:p>
        </w:tc>
        <w:tc>
          <w:tcPr>
            <w:tcW w:w="2160" w:type="dxa"/>
          </w:tcPr>
          <w:p>
            <w:r>
              <w:rPr>
                <w:sz w:val="20"/>
              </w:rPr>
              <w:t xml:space="preserve"/>
            </w:r>
          </w:p>
        </w:tc>
      </w:tr>
      <w:tr>
        <w:tc>
          <w:tcPr>
            <w:tcW w:w="2160" w:type="dxa"/>
          </w:tcPr>
          <w:p>
            <w:r>
              <w:rPr>
                <w:sz w:val="20"/>
              </w:rPr>
              <w:t xml:space="preserve">Reference [3] cannot be confirmed at ITSC 2007 with the listed co-authors (Dardala, Marinescu, Diabat). The known Gradinescu (2007) paper appeared at IEEE VTC with different co-authors.</w:t>
            </w:r>
          </w:p>
        </w:tc>
        <w:tc>
          <w:tcPr>
            <w:tcW w:w="2160" w:type="dxa"/>
          </w:tcPr>
          <w:p>
            <w:r>
              <w:rPr>
                <w:sz w:val="20"/>
              </w:rPr>
              <w:t xml:space="preserve">This reference has been flagged for manual verification by the authors. The reviewer's note and the suggested DOI link (10.1109/MITS.2020.2990189) have been recorded. The authors should verify the correct venue and co-author list for the Gradinescu (2007) citation and update the entry accordingly before final submission.</w:t>
            </w:r>
          </w:p>
        </w:tc>
        <w:tc>
          <w:tcPr>
            <w:tcW w:w="2160" w:type="dxa"/>
          </w:tcPr>
          <w:p>
            <w:r>
              <w:rPr>
                <w:sz w:val="20"/>
              </w:rPr>
              <w:t xml:space="preserve">References — entry [3] (pending manual author verification)</w:t>
            </w:r>
          </w:p>
        </w:tc>
        <w:tc>
          <w:tcPr>
            <w:tcW w:w="2160" w:type="dxa"/>
          </w:tcPr>
          <w:p>
            <w:r>
              <w:rPr>
                <w:sz w:val="20"/>
              </w:rPr>
              <w:t xml:space="preserve">Not yet corrected — requires the authors to retrieve and verify the original source. The in-text use at [3] (supporting 'vehicle-actuated controllers do not accumulate knowledge of long-term patterns') should guide the correct citation choice.</w:t>
            </w:r>
          </w:p>
        </w:tc>
      </w:tr>
      <w:tr>
        <w:tc>
          <w:tcPr>
            <w:tcW w:w="8640" w:type="dxa"/>
            <w:gridSpan w:val="4"/>
            <w:shd w:val="clear" w:color="auto" w:fill="D9E1F2"/>
          </w:tcPr>
          <w:p>
            <w:pPr>
              <w:jc w:val="center"/>
            </w:pPr>
            <w:r>
              <w:rPr>
                <w:b/>
                <w:sz w:val="22"/>
              </w:rPr>
              <w:t>ADDITIONAL</w:t>
            </w:r>
          </w:p>
        </w:tc>
      </w:tr>
      <w:tr>
        <w:tc>
          <w:tcPr>
            <w:tcW w:w="2160" w:type="dxa"/>
          </w:tcPr>
          <w:p>
            <w:r>
              <w:rPr>
                <w:sz w:val="20"/>
              </w:rPr>
              <w:t xml:space="preserve">The simulation codebase used DQN (Deep Q-Network, Stable Baselines3 RL) while the paper describes a Genetic Algorithm. The code needed to be realigned with the methodology stated in the paper.</w:t>
            </w:r>
          </w:p>
        </w:tc>
        <w:tc>
          <w:tcPr>
            <w:tcW w:w="2160" w:type="dxa"/>
          </w:tcPr>
          <w:p>
            <w:r>
              <w:rPr>
                <w:sz w:val="20"/>
              </w:rPr>
              <w:t xml:space="preserve">The simulation codebase has been fully migrated from DQN to GA. Two new Python scripts have been created for each intersection: ga_optimize.py (implements the exact GA described in the paper — population 50, tournament selection size 3, crossover 0.8, mutation 0.1, 40 generations, fitness function F = 1/(Σdᵢ + ω·Q_max + ε)) and evaluate_ga.py (runs 10-trial paired comparison with t-test statistics and CSV output). Both scripts use libsumo directly via LIBSUMO_AS_TRACI=1 for in-process simulation. The old RL train.py and evaluate.py files are preserved for reference.</w:t>
            </w:r>
          </w:p>
        </w:tc>
        <w:tc>
          <w:tcPr>
            <w:tcW w:w="2160" w:type="dxa"/>
          </w:tcPr>
          <w:p>
            <w:r>
              <w:rPr>
                <w:sz w:val="20"/>
              </w:rPr>
              <w:t xml:space="preserve">machine-learning-le/quirino_avenue/ga_optimize.py (new)
machine-learning-le/quirino_avenue/evaluate_ga.py (new)
machine-learning-le/quimpo_ge_torres/ga_optimize.py (new)
machine-learning-le/quimpo_ge_torres/evaluate_ga.py (new)</w:t>
            </w:r>
          </w:p>
        </w:tc>
        <w:tc>
          <w:tcPr>
            <w:tcW w:w="2160" w:type="dxa"/>
          </w:tcPr>
          <w:p>
            <w:r>
              <w:rPr>
                <w:sz w:val="20"/>
              </w:rPr>
              <w:t xml:space="preserve">This change was made proactively to align the codebase with the paper's stated methodology before the paper is finalized.</w:t>
            </w:r>
          </w:p>
        </w:tc>
      </w:tr>
    </w:tbl>
    <w:p w14:paraId="0ED47E6D" w14:textId="77777777" w:rsidR="00C82019" w:rsidRDefault="00C82019"/>
    <w:sectPr w:rsidR="00C8201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5305633">
    <w:abstractNumId w:val="8"/>
  </w:num>
  <w:num w:numId="2" w16cid:durableId="1031690920">
    <w:abstractNumId w:val="6"/>
  </w:num>
  <w:num w:numId="3" w16cid:durableId="1564946708">
    <w:abstractNumId w:val="5"/>
  </w:num>
  <w:num w:numId="4" w16cid:durableId="626082293">
    <w:abstractNumId w:val="4"/>
  </w:num>
  <w:num w:numId="5" w16cid:durableId="1036924271">
    <w:abstractNumId w:val="7"/>
  </w:num>
  <w:num w:numId="6" w16cid:durableId="365065609">
    <w:abstractNumId w:val="3"/>
  </w:num>
  <w:num w:numId="7" w16cid:durableId="1026128772">
    <w:abstractNumId w:val="2"/>
  </w:num>
  <w:num w:numId="8" w16cid:durableId="1873180023">
    <w:abstractNumId w:val="1"/>
  </w:num>
  <w:num w:numId="9" w16cid:durableId="1250313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251C"/>
    <w:rsid w:val="0029639D"/>
    <w:rsid w:val="00326F90"/>
    <w:rsid w:val="003E559D"/>
    <w:rsid w:val="00AA1D8D"/>
    <w:rsid w:val="00AD2DBF"/>
    <w:rsid w:val="00B47730"/>
    <w:rsid w:val="00C82019"/>
    <w:rsid w:val="00CB0664"/>
    <w:rsid w:val="00E924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936827D-E20D-468D-AC52-95804BCAD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160</Words>
  <Characters>913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Maureen Villamor</cp:lastModifiedBy>
  <cp:revision>3</cp:revision>
  <dcterms:created xsi:type="dcterms:W3CDTF">2013-12-23T23:15:00Z</dcterms:created>
  <dcterms:modified xsi:type="dcterms:W3CDTF">2026-04-21T05:27:00Z</dcterms:modified>
  <cp:category/>
</cp:coreProperties>
</file>