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480"/>
        <w:jc w:val="center"/>
      </w:pPr>
      <w:r>
        <w:rPr>
          <w:rFonts w:ascii="Arial" w:hAnsi="Arial"/>
          <w:b w:val="0"/>
          <w:i w:val="0"/>
          <w:sz w:val="24"/>
        </w:rPr>
        <w:t xml:space="preserve"> </w:t>
      </w:r>
    </w:p>
    <w:p>
      <w:pPr>
        <w:spacing w:lineRule="auto" w:line="360" w:before="0" w:after="80"/>
        <w:jc w:val="center"/>
      </w:pPr>
      <w:r>
        <w:rPr>
          <w:rFonts w:ascii="Arial" w:hAnsi="Arial"/>
          <w:b/>
          <w:i w:val="0"/>
          <w:sz w:val="28"/>
        </w:rPr>
        <w:t>Transaction Patterns and Fraud Risk Indicators in Digital Banking:</w:t>
      </w:r>
    </w:p>
    <w:p>
      <w:pPr>
        <w:spacing w:lineRule="auto" w:line="360" w:before="0" w:after="960"/>
        <w:jc w:val="center"/>
      </w:pPr>
      <w:r>
        <w:rPr>
          <w:rFonts w:ascii="Arial" w:hAnsi="Arial"/>
          <w:b/>
          <w:i w:val="0"/>
          <w:sz w:val="28"/>
        </w:rPr>
        <w:t>A 2024 Data-Driven Analysis</w:t>
      </w:r>
    </w:p>
    <w:p>
      <w:pPr>
        <w:spacing w:lineRule="auto" w:line="360" w:before="0" w:after="120"/>
        <w:jc w:val="center"/>
      </w:pPr>
      <w:r>
        <w:rPr>
          <w:rFonts w:ascii="Arial" w:hAnsi="Arial"/>
          <w:b/>
          <w:i w:val="0"/>
          <w:sz w:val="24"/>
        </w:rPr>
        <w:t>Submitted by:</w:t>
      </w:r>
    </w:p>
    <w:p>
      <w:pPr>
        <w:spacing w:lineRule="auto" w:line="360" w:before="0" w:after="40"/>
        <w:jc w:val="center"/>
      </w:pPr>
      <w:r>
        <w:rPr>
          <w:rFonts w:ascii="Arial" w:hAnsi="Arial"/>
          <w:b w:val="0"/>
          <w:i w:val="0"/>
          <w:sz w:val="24"/>
        </w:rPr>
        <w:t>[Member 1]</w:t>
      </w:r>
    </w:p>
    <w:p>
      <w:pPr>
        <w:spacing w:lineRule="auto" w:line="360" w:before="0" w:after="40"/>
        <w:jc w:val="center"/>
      </w:pPr>
      <w:r>
        <w:rPr>
          <w:rFonts w:ascii="Arial" w:hAnsi="Arial"/>
          <w:b w:val="0"/>
          <w:i w:val="0"/>
          <w:sz w:val="24"/>
        </w:rPr>
        <w:t>[Member 2]</w:t>
      </w:r>
    </w:p>
    <w:p>
      <w:pPr>
        <w:spacing w:lineRule="auto" w:line="360" w:before="0" w:after="480"/>
        <w:jc w:val="center"/>
      </w:pPr>
      <w:r>
        <w:rPr>
          <w:rFonts w:ascii="Arial" w:hAnsi="Arial"/>
          <w:b w:val="0"/>
          <w:i w:val="0"/>
          <w:sz w:val="24"/>
        </w:rPr>
        <w:t>[Member 3]</w:t>
      </w:r>
    </w:p>
    <w:p>
      <w:pPr>
        <w:spacing w:lineRule="auto" w:line="360" w:before="0" w:after="80"/>
        <w:jc w:val="center"/>
      </w:pPr>
      <w:r>
        <w:rPr>
          <w:rFonts w:ascii="Arial" w:hAnsi="Arial"/>
          <w:b w:val="0"/>
          <w:i w:val="0"/>
          <w:sz w:val="24"/>
        </w:rPr>
        <w:t>Instructor: [Instructor Name]</w:t>
      </w:r>
    </w:p>
    <w:p>
      <w:pPr>
        <w:spacing w:lineRule="auto" w:line="360" w:before="0" w:after="0"/>
        <w:jc w:val="center"/>
      </w:pPr>
      <w:r>
        <w:rPr>
          <w:rFonts w:ascii="Arial" w:hAnsi="Arial"/>
          <w:b w:val="0"/>
          <w:i w:val="0"/>
          <w:sz w:val="24"/>
        </w:rPr>
        <w:t>Date: April 2026</w:t>
      </w:r>
    </w:p>
    <w:p>
      <w:r>
        <w:br w:type="page"/>
      </w:r>
    </w:p>
    <w:p>
      <w:pPr>
        <w:spacing w:lineRule="auto" w:line="360" w:before="240" w:after="120"/>
        <w:jc w:val="left"/>
      </w:pPr>
      <w:r>
        <w:rPr>
          <w:rFonts w:ascii="Arial" w:hAnsi="Arial"/>
          <w:b/>
          <w:i w:val="0"/>
          <w:sz w:val="24"/>
        </w:rPr>
        <w:t>I. Introduction</w:t>
      </w:r>
    </w:p>
    <w:p>
      <w:pPr>
        <w:spacing w:lineRule="auto" w:line="360" w:before="0" w:after="120"/>
        <w:ind w:firstLine="720"/>
        <w:jc w:val="both"/>
      </w:pPr>
      <w:r>
        <w:rPr>
          <w:rFonts w:ascii="Arial" w:hAnsi="Arial"/>
          <w:b w:val="0"/>
          <w:i w:val="0"/>
          <w:sz w:val="24"/>
        </w:rPr>
        <w:t>Digital banking has changed how people and organizations handle money. Mobile payments, contactless cards, and online transfers now account for the majority of transactions in most markets. The Association of Certified Fraud Examiners estimates that financial institutions lose billions of dollars annually to payment fraud, and digital channels are where an increasing share of that fraud occurs.</w:t>
      </w:r>
    </w:p>
    <w:p>
      <w:pPr>
        <w:spacing w:lineRule="auto" w:line="360" w:before="0" w:after="120"/>
        <w:ind w:firstLine="720"/>
        <w:jc w:val="both"/>
      </w:pPr>
      <w:r>
        <w:rPr>
          <w:rFonts w:ascii="Arial" w:hAnsi="Arial"/>
          <w:b w:val="0"/>
          <w:i w:val="0"/>
          <w:sz w:val="24"/>
        </w:rPr>
        <w:t>Banks and payment processors have relied on rule-based detection systems for decades, but static rules struggle to keep pace with how fraud tactics evolve. Identifying what actually separates fraudulent transactions from legitimate ones requires examining the transaction data directly, without assuming which variables matter in advance.</w:t>
      </w:r>
    </w:p>
    <w:p>
      <w:pPr>
        <w:spacing w:lineRule="auto" w:line="360" w:before="240" w:after="120"/>
        <w:jc w:val="left"/>
      </w:pPr>
      <w:r>
        <w:rPr>
          <w:rFonts w:ascii="Arial" w:hAnsi="Arial"/>
          <w:b/>
          <w:i w:val="0"/>
          <w:sz w:val="24"/>
        </w:rPr>
        <w:t>Importance of the Study</w:t>
      </w:r>
    </w:p>
    <w:p>
      <w:pPr>
        <w:spacing w:lineRule="auto" w:line="360" w:before="0" w:after="120"/>
        <w:ind w:firstLine="720"/>
        <w:jc w:val="both"/>
      </w:pPr>
      <w:r>
        <w:rPr>
          <w:rFonts w:ascii="Arial" w:hAnsi="Arial"/>
          <w:b w:val="0"/>
          <w:i w:val="0"/>
          <w:sz w:val="24"/>
        </w:rPr>
        <w:t>Fraud detection in digital banking has direct financial and societal consequences. Financial institutions that cannot distinguish fraudulent from legitimate transactions incur direct monetary losses, damage customer trust, and face regulatory penalties. For customers, undetected fraud causes financial harm and disrupts access to banking services. As digital transaction volumes grow and fraud tactics evolve, data-driven approaches that can identify patterns across millions of transactions are increasingly essential to maintaining the integrity of digital financial infrastructure.</w:t>
      </w:r>
    </w:p>
    <w:p>
      <w:pPr>
        <w:spacing w:lineRule="auto" w:line="360" w:before="240" w:after="120"/>
        <w:jc w:val="left"/>
      </w:pPr>
      <w:r>
        <w:rPr>
          <w:rFonts w:ascii="Arial" w:hAnsi="Arial"/>
          <w:b/>
          <w:i w:val="0"/>
          <w:sz w:val="24"/>
        </w:rPr>
        <w:t>Research Question</w:t>
      </w:r>
    </w:p>
    <w:p>
      <w:pPr>
        <w:spacing w:lineRule="auto" w:line="360" w:before="0" w:after="120"/>
        <w:ind w:firstLine="720"/>
        <w:jc w:val="both"/>
      </w:pPr>
      <w:r>
        <w:rPr>
          <w:rFonts w:ascii="Arial" w:hAnsi="Arial"/>
          <w:b w:val="0"/>
          <w:i w:val="0"/>
          <w:sz w:val="24"/>
        </w:rPr>
        <w:t>What transaction characteristics and customer behaviors most significantly distinguish fraudulent transactions from legitimate ones in digital banking platforms?</w:t>
      </w:r>
    </w:p>
    <w:p>
      <w:pPr>
        <w:spacing w:lineRule="auto" w:line="360" w:before="240" w:after="120"/>
        <w:jc w:val="left"/>
      </w:pPr>
      <w:r>
        <w:rPr>
          <w:rFonts w:ascii="Arial" w:hAnsi="Arial"/>
          <w:b/>
          <w:i w:val="0"/>
          <w:sz w:val="24"/>
        </w:rPr>
        <w:t>Objectives</w:t>
      </w:r>
    </w:p>
    <w:p>
      <w:pPr>
        <w:spacing w:lineRule="auto" w:line="360" w:before="0" w:after="80"/>
        <w:ind w:hanging="360" w:left="720"/>
        <w:jc w:val="left"/>
      </w:pPr>
      <w:r>
        <w:rPr>
          <w:rFonts w:ascii="Arial" w:hAnsi="Arial"/>
          <w:b w:val="0"/>
          <w:i w:val="0"/>
          <w:sz w:val="24"/>
        </w:rPr>
        <w:t>1. Identify the merchant categories, transaction methods, and time windows with the highest fraud rates.</w:t>
      </w:r>
    </w:p>
    <w:p>
      <w:pPr>
        <w:spacing w:lineRule="auto" w:line="360" w:before="0" w:after="80"/>
        <w:ind w:hanging="360" w:left="720"/>
        <w:jc w:val="left"/>
      </w:pPr>
      <w:r>
        <w:rPr>
          <w:rFonts w:ascii="Arial" w:hAnsi="Arial"/>
          <w:b w:val="0"/>
          <w:i w:val="0"/>
          <w:sz w:val="24"/>
        </w:rPr>
        <w:t>2. Examine whether customer demographic variables (age, income) are associated with fraud victimization.</w:t>
      </w:r>
    </w:p>
    <w:p>
      <w:pPr>
        <w:spacing w:lineRule="auto" w:line="360" w:before="0" w:after="80"/>
        <w:ind w:hanging="360" w:left="720"/>
        <w:jc w:val="left"/>
      </w:pPr>
      <w:r>
        <w:rPr>
          <w:rFonts w:ascii="Arial" w:hAnsi="Arial"/>
          <w:b w:val="0"/>
          <w:i w:val="0"/>
          <w:sz w:val="24"/>
        </w:rPr>
        <w:t>3. Determine which card attributes (card type, chip technology) are most protective against fraud.</w:t>
      </w:r>
    </w:p>
    <w:p/>
    <w:p>
      <w:pPr>
        <w:spacing w:lineRule="auto" w:line="360" w:before="240" w:after="120"/>
        <w:jc w:val="left"/>
      </w:pPr>
      <w:r>
        <w:rPr>
          <w:rFonts w:ascii="Arial" w:hAnsi="Arial"/>
          <w:b/>
          <w:i w:val="0"/>
          <w:sz w:val="24"/>
        </w:rPr>
        <w:t>II. Dataset Description</w:t>
      </w:r>
    </w:p>
    <w:p>
      <w:pPr>
        <w:spacing w:lineRule="auto" w:line="360" w:before="0" w:after="120"/>
        <w:ind w:firstLine="720"/>
        <w:jc w:val="both"/>
      </w:pPr>
      <w:r>
        <w:rPr>
          <w:rFonts w:ascii="Arial" w:hAnsi="Arial"/>
          <w:b w:val="0"/>
          <w:i w:val="0"/>
          <w:sz w:val="24"/>
        </w:rPr>
        <w:t>The primary dataset used in this study is the "Financial Transactions Dataset: Analytics," published on Kaggle by computingvictor [1]. It simulates a realistic digital banking environment and is distributed across five interrelated files covering transactions, customer demographics, card attributes, fraud labels, and merchant category codes.</w:t>
      </w:r>
    </w:p>
    <w:p>
      <w:pPr>
        <w:spacing w:lineRule="auto" w:line="360" w:before="0" w:after="40"/>
        <w:jc w:val="left"/>
      </w:pPr>
      <w:r>
        <w:rPr>
          <w:rFonts w:ascii="Arial" w:hAnsi="Arial"/>
          <w:b w:val="0"/>
          <w:i w:val="0"/>
          <w:sz w:val="24"/>
        </w:rPr>
        <w:t>Date collected: October 2024</w:t>
      </w:r>
    </w:p>
    <w:p>
      <w:pPr>
        <w:spacing w:lineRule="auto" w:line="360" w:before="0" w:after="40"/>
        <w:jc w:val="left"/>
      </w:pPr>
      <w:r>
        <w:rPr>
          <w:rFonts w:ascii="Arial" w:hAnsi="Arial"/>
          <w:b w:val="0"/>
          <w:i w:val="0"/>
          <w:sz w:val="24"/>
        </w:rPr>
        <w:t>Source: Kaggle (https://www.kaggle.com), computingvictor</w:t>
      </w:r>
    </w:p>
    <w:p>
      <w:pPr>
        <w:spacing w:lineRule="auto" w:line="360" w:before="0" w:after="40"/>
        <w:jc w:val="left"/>
      </w:pPr>
      <w:r>
        <w:rPr>
          <w:rFonts w:ascii="Arial" w:hAnsi="Arial"/>
          <w:b w:val="0"/>
          <w:i w:val="0"/>
          <w:sz w:val="24"/>
        </w:rPr>
        <w:t>Labelled transactions: 8,914,963 records with fraud/legitimate classification</w:t>
      </w:r>
    </w:p>
    <w:p>
      <w:pPr>
        <w:spacing w:lineRule="auto" w:line="360" w:before="0" w:after="40"/>
        <w:jc w:val="left"/>
      </w:pPr>
      <w:r>
        <w:rPr>
          <w:rFonts w:ascii="Arial" w:hAnsi="Arial"/>
          <w:b w:val="0"/>
          <w:i w:val="0"/>
          <w:sz w:val="24"/>
        </w:rPr>
        <w:t>Fraud transactions: 13,332 (0.15% overall fraud rate)</w:t>
      </w:r>
    </w:p>
    <w:p>
      <w:pPr>
        <w:spacing w:lineRule="auto" w:line="360" w:before="0" w:after="40"/>
        <w:jc w:val="left"/>
      </w:pPr>
      <w:r>
        <w:rPr>
          <w:rFonts w:ascii="Arial" w:hAnsi="Arial"/>
          <w:b w:val="0"/>
          <w:i w:val="0"/>
          <w:sz w:val="24"/>
        </w:rPr>
        <w:t>Date range: Multi-year, from 2010 onward</w:t>
      </w:r>
    </w:p>
    <w:p/>
    <w:p>
      <w:pPr>
        <w:spacing w:lineRule="auto" w:line="360" w:before="0" w:after="120"/>
        <w:ind w:firstLine="720"/>
        <w:jc w:val="both"/>
      </w:pPr>
      <w:r>
        <w:rPr>
          <w:rFonts w:ascii="Arial" w:hAnsi="Arial"/>
          <w:b w:val="0"/>
          <w:i w:val="0"/>
          <w:sz w:val="24"/>
        </w:rPr>
        <w:t>The dataset is distributed across the following five files:</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Arial" w:hAnsi="Arial"/>
                <w:b/>
                <w:i w:val="0"/>
                <w:sz w:val="22"/>
              </w:rPr>
              <w:t>File</w:t>
            </w:r>
          </w:p>
        </w:tc>
        <w:tc>
          <w:tcPr>
            <w:tcW w:type="dxa" w:w="2769"/>
          </w:tcPr>
          <w:p>
            <w:r>
              <w:rPr>
                <w:rFonts w:ascii="Arial" w:hAnsi="Arial"/>
                <w:b/>
                <w:i w:val="0"/>
                <w:sz w:val="22"/>
              </w:rPr>
              <w:t>Records</w:t>
            </w:r>
          </w:p>
        </w:tc>
        <w:tc>
          <w:tcPr>
            <w:tcW w:type="dxa" w:w="2769"/>
          </w:tcPr>
          <w:p>
            <w:r>
              <w:rPr>
                <w:rFonts w:ascii="Arial" w:hAnsi="Arial"/>
                <w:b/>
                <w:i w:val="0"/>
                <w:sz w:val="22"/>
              </w:rPr>
              <w:t>Key Variables</w:t>
            </w:r>
          </w:p>
        </w:tc>
      </w:tr>
      <w:tr>
        <w:tc>
          <w:tcPr>
            <w:tcW w:type="dxa" w:w="2769"/>
          </w:tcPr>
          <w:p>
            <w:r>
              <w:rPr>
                <w:rFonts w:ascii="Arial" w:hAnsi="Arial"/>
                <w:b w:val="0"/>
                <w:i w:val="0"/>
                <w:sz w:val="20"/>
              </w:rPr>
              <w:t>transactions_data.csv</w:t>
            </w:r>
          </w:p>
        </w:tc>
        <w:tc>
          <w:tcPr>
            <w:tcW w:type="dxa" w:w="2769"/>
          </w:tcPr>
          <w:p>
            <w:r>
              <w:rPr>
                <w:rFonts w:ascii="Arial" w:hAnsi="Arial"/>
                <w:b w:val="0"/>
                <w:i w:val="0"/>
                <w:sz w:val="20"/>
              </w:rPr>
              <w:t>13,305,915</w:t>
            </w:r>
          </w:p>
        </w:tc>
        <w:tc>
          <w:tcPr>
            <w:tcW w:type="dxa" w:w="2769"/>
          </w:tcPr>
          <w:p>
            <w:r>
              <w:rPr>
                <w:rFonts w:ascii="Arial" w:hAnsi="Arial"/>
                <w:b w:val="0"/>
                <w:i w:val="0"/>
                <w:sz w:val="20"/>
              </w:rPr>
              <w:t>id, date, client_id, card_id, amount, use_chip, merchant_id, mcc, errors</w:t>
            </w:r>
          </w:p>
        </w:tc>
      </w:tr>
      <w:tr>
        <w:tc>
          <w:tcPr>
            <w:tcW w:type="dxa" w:w="2769"/>
          </w:tcPr>
          <w:p>
            <w:r>
              <w:rPr>
                <w:rFonts w:ascii="Arial" w:hAnsi="Arial"/>
                <w:b w:val="0"/>
                <w:i w:val="0"/>
                <w:sz w:val="20"/>
              </w:rPr>
              <w:t>users_data.csv</w:t>
            </w:r>
          </w:p>
        </w:tc>
        <w:tc>
          <w:tcPr>
            <w:tcW w:type="dxa" w:w="2769"/>
          </w:tcPr>
          <w:p>
            <w:r>
              <w:rPr>
                <w:rFonts w:ascii="Arial" w:hAnsi="Arial"/>
                <w:b w:val="0"/>
                <w:i w:val="0"/>
                <w:sz w:val="20"/>
              </w:rPr>
              <w:t>2,000</w:t>
            </w:r>
          </w:p>
        </w:tc>
        <w:tc>
          <w:tcPr>
            <w:tcW w:type="dxa" w:w="2769"/>
          </w:tcPr>
          <w:p>
            <w:r>
              <w:rPr>
                <w:rFonts w:ascii="Arial" w:hAnsi="Arial"/>
                <w:b w:val="0"/>
                <w:i w:val="0"/>
                <w:sz w:val="20"/>
              </w:rPr>
              <w:t>id, current_age, gender, yearly_income, credit_score, num_credit_cards</w:t>
            </w:r>
          </w:p>
        </w:tc>
      </w:tr>
      <w:tr>
        <w:tc>
          <w:tcPr>
            <w:tcW w:type="dxa" w:w="2769"/>
          </w:tcPr>
          <w:p>
            <w:r>
              <w:rPr>
                <w:rFonts w:ascii="Arial" w:hAnsi="Arial"/>
                <w:b w:val="0"/>
                <w:i w:val="0"/>
                <w:sz w:val="20"/>
              </w:rPr>
              <w:t>cards_data.csv</w:t>
            </w:r>
          </w:p>
        </w:tc>
        <w:tc>
          <w:tcPr>
            <w:tcW w:type="dxa" w:w="2769"/>
          </w:tcPr>
          <w:p>
            <w:r>
              <w:rPr>
                <w:rFonts w:ascii="Arial" w:hAnsi="Arial"/>
                <w:b w:val="0"/>
                <w:i w:val="0"/>
                <w:sz w:val="20"/>
              </w:rPr>
              <w:t>6,146</w:t>
            </w:r>
          </w:p>
        </w:tc>
        <w:tc>
          <w:tcPr>
            <w:tcW w:type="dxa" w:w="2769"/>
          </w:tcPr>
          <w:p>
            <w:r>
              <w:rPr>
                <w:rFonts w:ascii="Arial" w:hAnsi="Arial"/>
                <w:b w:val="0"/>
                <w:i w:val="0"/>
                <w:sz w:val="20"/>
              </w:rPr>
              <w:t>id, client_id, card_brand, card_type, has_chip, credit_limit</w:t>
            </w:r>
          </w:p>
        </w:tc>
      </w:tr>
      <w:tr>
        <w:tc>
          <w:tcPr>
            <w:tcW w:type="dxa" w:w="2769"/>
          </w:tcPr>
          <w:p>
            <w:r>
              <w:rPr>
                <w:rFonts w:ascii="Arial" w:hAnsi="Arial"/>
                <w:b w:val="0"/>
                <w:i w:val="0"/>
                <w:sz w:val="20"/>
              </w:rPr>
              <w:t>train_fraud_labels.json</w:t>
            </w:r>
          </w:p>
        </w:tc>
        <w:tc>
          <w:tcPr>
            <w:tcW w:type="dxa" w:w="2769"/>
          </w:tcPr>
          <w:p>
            <w:r>
              <w:rPr>
                <w:rFonts w:ascii="Arial" w:hAnsi="Arial"/>
                <w:b w:val="0"/>
                <w:i w:val="0"/>
                <w:sz w:val="20"/>
              </w:rPr>
              <w:t>8,914,963</w:t>
            </w:r>
          </w:p>
        </w:tc>
        <w:tc>
          <w:tcPr>
            <w:tcW w:type="dxa" w:w="2769"/>
          </w:tcPr>
          <w:p>
            <w:r>
              <w:rPr>
                <w:rFonts w:ascii="Arial" w:hAnsi="Arial"/>
                <w:b w:val="0"/>
                <w:i w:val="0"/>
                <w:sz w:val="20"/>
              </w:rPr>
              <w:t>Transaction ID to fraud label (Yes/No)</w:t>
            </w:r>
          </w:p>
        </w:tc>
      </w:tr>
      <w:tr>
        <w:tc>
          <w:tcPr>
            <w:tcW w:type="dxa" w:w="2769"/>
          </w:tcPr>
          <w:p>
            <w:r>
              <w:rPr>
                <w:rFonts w:ascii="Arial" w:hAnsi="Arial"/>
                <w:b w:val="0"/>
                <w:i w:val="0"/>
                <w:sz w:val="20"/>
              </w:rPr>
              <w:t>mcc_codes.json</w:t>
            </w:r>
          </w:p>
        </w:tc>
        <w:tc>
          <w:tcPr>
            <w:tcW w:type="dxa" w:w="2769"/>
          </w:tcPr>
          <w:p>
            <w:r>
              <w:rPr>
                <w:rFonts w:ascii="Arial" w:hAnsi="Arial"/>
                <w:b w:val="0"/>
                <w:i w:val="0"/>
                <w:sz w:val="20"/>
              </w:rPr>
              <w:t>150 codes</w:t>
            </w:r>
          </w:p>
        </w:tc>
        <w:tc>
          <w:tcPr>
            <w:tcW w:type="dxa" w:w="2769"/>
          </w:tcPr>
          <w:p>
            <w:r>
              <w:rPr>
                <w:rFonts w:ascii="Arial" w:hAnsi="Arial"/>
                <w:b w:val="0"/>
                <w:i w:val="0"/>
                <w:sz w:val="20"/>
              </w:rPr>
              <w:t>MCC integer code to merchant category description</w:t>
            </w:r>
          </w:p>
        </w:tc>
      </w:tr>
    </w:tbl>
    <w:p/>
    <w:p>
      <w:pPr>
        <w:spacing w:lineRule="auto" w:line="360" w:before="240" w:after="120"/>
        <w:jc w:val="left"/>
      </w:pPr>
      <w:r>
        <w:rPr>
          <w:rFonts w:ascii="Arial" w:hAnsi="Arial"/>
          <w:b/>
          <w:i w:val="0"/>
          <w:sz w:val="24"/>
        </w:rPr>
        <w:t>Limitations</w:t>
      </w:r>
    </w:p>
    <w:p>
      <w:pPr>
        <w:spacing w:lineRule="auto" w:line="360" w:before="0" w:after="80"/>
        <w:ind w:hanging="360" w:left="720"/>
        <w:jc w:val="left"/>
      </w:pPr>
      <w:r>
        <w:rPr>
          <w:rFonts w:ascii="Arial" w:hAnsi="Arial"/>
          <w:b w:val="0"/>
          <w:i w:val="0"/>
          <w:sz w:val="24"/>
        </w:rPr>
        <w:t>1. The data is synthetically generated and may not capture the full complexity of real-world fraud patterns.</w:t>
      </w:r>
    </w:p>
    <w:p>
      <w:pPr>
        <w:spacing w:lineRule="auto" w:line="360" w:before="0" w:after="80"/>
        <w:ind w:hanging="360" w:left="720"/>
        <w:jc w:val="left"/>
      </w:pPr>
      <w:r>
        <w:rPr>
          <w:rFonts w:ascii="Arial" w:hAnsi="Arial"/>
          <w:b w:val="0"/>
          <w:i w:val="0"/>
          <w:sz w:val="24"/>
        </w:rPr>
        <w:t>2. Approximately 33% of transactions had no fraud label and were excluded from the labelled analysis.</w:t>
      </w:r>
    </w:p>
    <w:p>
      <w:pPr>
        <w:spacing w:lineRule="auto" w:line="360" w:before="0" w:after="80"/>
        <w:ind w:hanging="360" w:left="720"/>
        <w:jc w:val="left"/>
      </w:pPr>
      <w:r>
        <w:rPr>
          <w:rFonts w:ascii="Arial" w:hAnsi="Arial"/>
          <w:b w:val="0"/>
          <w:i w:val="0"/>
          <w:sz w:val="24"/>
        </w:rPr>
        <w:t>3. Merchant city and state variables were excluded due to high cardinality.</w:t>
      </w:r>
    </w:p>
    <w:p>
      <w:pPr>
        <w:spacing w:lineRule="auto" w:line="360" w:before="0" w:after="80"/>
        <w:ind w:hanging="360" w:left="720"/>
        <w:jc w:val="left"/>
      </w:pPr>
      <w:r>
        <w:rPr>
          <w:rFonts w:ascii="Arial" w:hAnsi="Arial"/>
          <w:b w:val="0"/>
          <w:i w:val="0"/>
          <w:sz w:val="24"/>
        </w:rPr>
        <w:t>4. The dataset contains no behavioral signals such as transaction velocity or device fingerprinting.</w:t>
      </w:r>
    </w:p>
    <w:p/>
    <w:p>
      <w:pPr>
        <w:spacing w:lineRule="auto" w:line="360" w:before="240" w:after="120"/>
        <w:jc w:val="left"/>
      </w:pPr>
      <w:r>
        <w:rPr>
          <w:rFonts w:ascii="Arial" w:hAnsi="Arial"/>
          <w:b/>
          <w:i w:val="0"/>
          <w:sz w:val="24"/>
        </w:rPr>
        <w:t>III. Methodology</w:t>
      </w:r>
    </w:p>
    <w:p>
      <w:pPr>
        <w:spacing w:lineRule="auto" w:line="360" w:before="0" w:after="120"/>
        <w:ind w:firstLine="720"/>
        <w:jc w:val="both"/>
      </w:pPr>
      <w:r>
        <w:rPr>
          <w:rFonts w:ascii="Arial" w:hAnsi="Arial"/>
          <w:b w:val="0"/>
          <w:i w:val="0"/>
          <w:sz w:val="24"/>
        </w:rPr>
        <w:t>The analysis was conducted using Python 3.12 as the primary programming language throughout. The Pandas library was used for data cleaning, transformation, and statistical summarization. Matplotlib and Seaborn were employed to produce the six visualizations included in this report. The report itself was assembled programmatically using python-docx to ensure compliance with the prescribed A4, Arial 12, 1.5-line-spacing format specification.</w:t>
      </w:r>
    </w:p>
    <w:p>
      <w:pPr>
        <w:spacing w:lineRule="auto" w:line="360" w:before="0" w:after="120"/>
        <w:ind w:firstLine="720"/>
        <w:jc w:val="both"/>
      </w:pPr>
      <w:r>
        <w:rPr>
          <w:rFonts w:ascii="Arial" w:hAnsi="Arial"/>
          <w:b w:val="0"/>
          <w:i w:val="0"/>
          <w:sz w:val="24"/>
        </w:rPr>
        <w:t>The analytical process began with data ingestion and memory optimization. Because the primary transactions file is approximately 1.2 GB, column data types were explicitly set during loading — integer fields as int32, numeric fields as float32, and categorical fields as the pandas category type — reducing memory use by approximately 60%. Fraud labels were loaded from a separate JSON file and joined to the transactions table via an inner join on transaction ID, producing a labelled dataset of 8,914,963 records.</w:t>
      </w:r>
    </w:p>
    <w:p>
      <w:pPr>
        <w:spacing w:lineRule="auto" w:line="360" w:before="0" w:after="120"/>
        <w:ind w:firstLine="720"/>
        <w:jc w:val="both"/>
      </w:pPr>
      <w:r>
        <w:rPr>
          <w:rFonts w:ascii="Arial" w:hAnsi="Arial"/>
          <w:b w:val="0"/>
          <w:i w:val="0"/>
          <w:sz w:val="24"/>
        </w:rPr>
        <w:t>Data cleaning and feature engineering followed. Dollar signs and commas were stripped from monetary fields (amount, yearly_income, credit_limit) and converted to numeric values. Transaction dates were parsed and decomposed into hour-of-day, day-of-week, and month attributes to enable temporal analysis. Age and income were binned into categorical groups for demographic segmentation. MCC integer codes were replaced with readable merchant category descriptions using the dataset's dedicated lookup file.</w:t>
      </w:r>
    </w:p>
    <w:p>
      <w:pPr>
        <w:spacing w:lineRule="auto" w:line="360" w:before="0" w:after="120"/>
        <w:ind w:firstLine="720"/>
        <w:jc w:val="both"/>
      </w:pPr>
      <w:r>
        <w:rPr>
          <w:rFonts w:ascii="Arial" w:hAnsi="Arial"/>
          <w:b w:val="0"/>
          <w:i w:val="0"/>
          <w:sz w:val="24"/>
        </w:rPr>
        <w:t>Exploratory data analysis was then performed across all primary segmentation variables: merchant categories, transaction methods, card types, customer demographics, and temporal dimensions. Fraud rates were calculated as the proportion of fraudulent transactions within each segment. Summary statistics — including medians and means — were computed for transaction amounts, stratified by fraud status, to characterize the distributional differences between legitimate and fraudulent activity.</w:t>
      </w:r>
    </w:p>
    <w:p>
      <w:pPr>
        <w:spacing w:lineRule="auto" w:line="360" w:before="0" w:after="120"/>
        <w:ind w:firstLine="720"/>
        <w:jc w:val="both"/>
      </w:pPr>
      <w:r>
        <w:rPr>
          <w:rFonts w:ascii="Arial" w:hAnsi="Arial"/>
          <w:b w:val="0"/>
          <w:i w:val="0"/>
          <w:sz w:val="24"/>
        </w:rPr>
        <w:t>Finally, six high-quality visualizations were generated at 300 DPI to communicate the key analytical findings: a merchant category fraud rate chart, a log-scale amount distribution histogram, a fraud rate heatmap by hour and day of week, demographic bar charts by age group and income bracket, card type and transaction method charts, and a Pearson correlation matrix across all numerical features. Correlation analysis was conducted to examine linear relationships between numerical features and the fraud label, confirming the need for multivariate approaches in any subsequent fraud detection model.</w:t>
      </w:r>
    </w:p>
    <w:p/>
    <w:p>
      <w:pPr>
        <w:spacing w:lineRule="auto" w:line="360" w:before="240" w:after="120"/>
        <w:jc w:val="left"/>
      </w:pPr>
      <w:r>
        <w:rPr>
          <w:rFonts w:ascii="Arial" w:hAnsi="Arial"/>
          <w:b/>
          <w:i w:val="0"/>
          <w:sz w:val="24"/>
        </w:rPr>
        <w:t>IV. Data Analysis and Visual Findings</w:t>
      </w:r>
    </w:p>
    <w:p>
      <w:pPr>
        <w:spacing w:lineRule="auto" w:line="360" w:before="240" w:after="120"/>
        <w:jc w:val="left"/>
      </w:pPr>
      <w:r>
        <w:rPr>
          <w:rFonts w:ascii="Arial" w:hAnsi="Arial"/>
          <w:b/>
          <w:i w:val="0"/>
          <w:sz w:val="24"/>
        </w:rPr>
        <w:t>A. Fraud Rate by Merchant Category (Top 15 Highest-Risk)</w:t>
      </w:r>
    </w:p>
    <w:p>
      <w:pPr>
        <w:jc w:val="center"/>
      </w:pPr>
      <w:r>
        <w:drawing>
          <wp:inline xmlns:a="http://schemas.openxmlformats.org/drawingml/2006/main" xmlns:pic="http://schemas.openxmlformats.org/drawingml/2006/picture">
            <wp:extent cx="5029200" cy="2690461"/>
            <wp:docPr id="1" name="Picture 1"/>
            <wp:cNvGraphicFramePr>
              <a:graphicFrameLocks noChangeAspect="1"/>
            </wp:cNvGraphicFramePr>
            <a:graphic>
              <a:graphicData uri="http://schemas.openxmlformats.org/drawingml/2006/picture">
                <pic:pic>
                  <pic:nvPicPr>
                    <pic:cNvPr id="0" name="fig1_fraud_by_mcc.png"/>
                    <pic:cNvPicPr/>
                  </pic:nvPicPr>
                  <pic:blipFill>
                    <a:blip r:embed="rId9"/>
                    <a:stretch>
                      <a:fillRect/>
                    </a:stretch>
                  </pic:blipFill>
                  <pic:spPr>
                    <a:xfrm>
                      <a:off x="0" y="0"/>
                      <a:ext cx="5029200" cy="2690461"/>
                    </a:xfrm>
                    <a:prstGeom prst="rect"/>
                  </pic:spPr>
                </pic:pic>
              </a:graphicData>
            </a:graphic>
          </wp:inline>
        </w:drawing>
      </w:r>
    </w:p>
    <w:p>
      <w:pPr>
        <w:spacing w:lineRule="auto" w:line="360" w:before="0" w:after="160"/>
        <w:jc w:val="center"/>
      </w:pPr>
      <w:r>
        <w:rPr>
          <w:rFonts w:ascii="Arial" w:hAnsi="Arial"/>
          <w:b w:val="0"/>
          <w:i w:val="0"/>
          <w:sz w:val="20"/>
        </w:rPr>
        <w:t>Figure 1. Top 15 merchant categories ranked by fraud rate.</w:t>
      </w:r>
    </w:p>
    <w:p>
      <w:pPr>
        <w:spacing w:lineRule="auto" w:line="360" w:before="0" w:after="80"/>
        <w:ind w:firstLine="720"/>
        <w:jc w:val="both"/>
      </w:pPr>
      <w:r>
        <w:rPr>
          <w:rFonts w:ascii="Arial" w:hAnsi="Arial"/>
          <w:b w:val="0"/>
          <w:i/>
          <w:sz w:val="24"/>
        </w:rPr>
        <w:t>Finding</w:t>
      </w:r>
      <w:r>
        <w:rPr>
          <w:rFonts w:ascii="Arial" w:hAnsi="Arial"/>
          <w:b w:val="0"/>
          <w:i/>
          <w:sz w:val="24"/>
        </w:rPr>
        <w:t>: Computer and peripheral equipment retailers recorded the highest fraud rate at 10.83%, followed by electronics stores (8.57%) and precious stones and metals dealers (6.87%). These three categories are more than 45 times the dataset average of 0.15%. Routine categories such as grocery stores and service stations remained below 0.05%.</w:t>
      </w:r>
    </w:p>
    <w:p>
      <w:pPr>
        <w:spacing w:lineRule="auto" w:line="360" w:before="0" w:after="240"/>
        <w:ind w:firstLine="720"/>
        <w:jc w:val="both"/>
      </w:pPr>
      <w:r>
        <w:rPr>
          <w:rFonts w:ascii="Arial" w:hAnsi="Arial"/>
          <w:b w:val="0"/>
          <w:i/>
          <w:sz w:val="24"/>
        </w:rPr>
        <w:t>Insight</w:t>
      </w:r>
      <w:r>
        <w:rPr>
          <w:rFonts w:ascii="Arial" w:hAnsi="Arial"/>
          <w:b w:val="0"/>
          <w:i/>
          <w:sz w:val="24"/>
        </w:rPr>
        <w:t>: High-value, easily resalable goods attract disproportionate fraud activity. Merchants in computer equipment and electronics categories should face lower transaction limits and mandatory step-up authentication for purchases above $500. Acquiring banks can reduce a substantial share of total fraud losses by applying stricter controls specifically to these MCC codes rather than across all merchant categories uniformly.</w:t>
      </w:r>
    </w:p>
    <w:p>
      <w:pPr>
        <w:spacing w:lineRule="auto" w:line="360" w:before="240" w:after="120"/>
        <w:jc w:val="left"/>
      </w:pPr>
      <w:r>
        <w:rPr>
          <w:rFonts w:ascii="Arial" w:hAnsi="Arial"/>
          <w:b/>
          <w:i w:val="0"/>
          <w:sz w:val="24"/>
        </w:rPr>
        <w:t>B. Transaction Amount Distribution — Fraud vs. Legitimate</w:t>
      </w:r>
    </w:p>
    <w:p>
      <w:pPr>
        <w:jc w:val="center"/>
      </w:pPr>
      <w:r>
        <w:drawing>
          <wp:inline xmlns:a="http://schemas.openxmlformats.org/drawingml/2006/main" xmlns:pic="http://schemas.openxmlformats.org/drawingml/2006/picture">
            <wp:extent cx="5029200" cy="2810210"/>
            <wp:docPr id="2" name="Picture 2"/>
            <wp:cNvGraphicFramePr>
              <a:graphicFrameLocks noChangeAspect="1"/>
            </wp:cNvGraphicFramePr>
            <a:graphic>
              <a:graphicData uri="http://schemas.openxmlformats.org/drawingml/2006/picture">
                <pic:pic>
                  <pic:nvPicPr>
                    <pic:cNvPr id="0" name="fig2_amount_distribution.png"/>
                    <pic:cNvPicPr/>
                  </pic:nvPicPr>
                  <pic:blipFill>
                    <a:blip r:embed="rId10"/>
                    <a:stretch>
                      <a:fillRect/>
                    </a:stretch>
                  </pic:blipFill>
                  <pic:spPr>
                    <a:xfrm>
                      <a:off x="0" y="0"/>
                      <a:ext cx="5029200" cy="2810210"/>
                    </a:xfrm>
                    <a:prstGeom prst="rect"/>
                  </pic:spPr>
                </pic:pic>
              </a:graphicData>
            </a:graphic>
          </wp:inline>
        </w:drawing>
      </w:r>
    </w:p>
    <w:p>
      <w:pPr>
        <w:spacing w:lineRule="auto" w:line="360" w:before="0" w:after="160"/>
        <w:jc w:val="center"/>
      </w:pPr>
      <w:r>
        <w:rPr>
          <w:rFonts w:ascii="Arial" w:hAnsi="Arial"/>
          <w:b w:val="0"/>
          <w:i w:val="0"/>
          <w:sz w:val="20"/>
        </w:rPr>
        <w:t>Figure 2. Log-scale histogram of transaction amounts by fraud status.</w:t>
      </w:r>
    </w:p>
    <w:p>
      <w:pPr>
        <w:spacing w:lineRule="auto" w:line="360" w:before="0" w:after="80"/>
        <w:ind w:firstLine="720"/>
        <w:jc w:val="both"/>
      </w:pPr>
      <w:r>
        <w:rPr>
          <w:rFonts w:ascii="Arial" w:hAnsi="Arial"/>
          <w:b w:val="0"/>
          <w:i/>
          <w:sz w:val="24"/>
        </w:rPr>
        <w:t>Finding</w:t>
      </w:r>
      <w:r>
        <w:rPr>
          <w:rFonts w:ascii="Arial" w:hAnsi="Arial"/>
          <w:b w:val="0"/>
          <w:i/>
          <w:sz w:val="24"/>
        </w:rPr>
        <w:t>: Legitimate transactions are concentrated in the $10 to $100 range with a median of $28.95. Fraudulent transactions have a distinctly higher median of $69.97 and a longer right tail extending into the hundreds and low thousands of dollars. The fraud distribution is shifted noticeably to the right relative to the legitimate distribution, with elevated density in the $100 to $1,000 range that is not present in the legitimate curve.</w:t>
      </w:r>
    </w:p>
    <w:p>
      <w:pPr>
        <w:spacing w:lineRule="auto" w:line="360" w:before="0" w:after="240"/>
        <w:ind w:firstLine="720"/>
        <w:jc w:val="both"/>
      </w:pPr>
      <w:r>
        <w:rPr>
          <w:rFonts w:ascii="Arial" w:hAnsi="Arial"/>
          <w:b w:val="0"/>
          <w:i/>
          <w:sz w:val="24"/>
        </w:rPr>
        <w:t>Insight</w:t>
      </w:r>
      <w:r>
        <w:rPr>
          <w:rFonts w:ascii="Arial" w:hAnsi="Arial"/>
          <w:b w:val="0"/>
          <w:i/>
          <w:sz w:val="24"/>
        </w:rPr>
        <w:t>: Fraudulent transactions skew toward higher amounts, which is consistent with an intent to maximize return before detection occurs. Transaction amount alone is a weak standalone predictor — its value is greatest when used in combination with merchant category and transaction method, where high-amount transactions at high-risk MCC codes provide a compound signal worth acting on.</w:t>
      </w:r>
    </w:p>
    <w:p>
      <w:pPr>
        <w:spacing w:lineRule="auto" w:line="360" w:before="240" w:after="120"/>
        <w:jc w:val="left"/>
      </w:pPr>
      <w:r>
        <w:rPr>
          <w:rFonts w:ascii="Arial" w:hAnsi="Arial"/>
          <w:b/>
          <w:i w:val="0"/>
          <w:sz w:val="24"/>
        </w:rPr>
        <w:t>C. Fraud Rate Heatmap — Hour of Day by Day of Week</w:t>
      </w:r>
    </w:p>
    <w:p>
      <w:pPr>
        <w:jc w:val="center"/>
      </w:pPr>
      <w:r>
        <w:drawing>
          <wp:inline xmlns:a="http://schemas.openxmlformats.org/drawingml/2006/main" xmlns:pic="http://schemas.openxmlformats.org/drawingml/2006/picture">
            <wp:extent cx="5029200" cy="2159815"/>
            <wp:docPr id="3" name="Picture 3"/>
            <wp:cNvGraphicFramePr>
              <a:graphicFrameLocks noChangeAspect="1"/>
            </wp:cNvGraphicFramePr>
            <a:graphic>
              <a:graphicData uri="http://schemas.openxmlformats.org/drawingml/2006/picture">
                <pic:pic>
                  <pic:nvPicPr>
                    <pic:cNvPr id="0" name="fig3_fraud_heatmap_time.png"/>
                    <pic:cNvPicPr/>
                  </pic:nvPicPr>
                  <pic:blipFill>
                    <a:blip r:embed="rId11"/>
                    <a:stretch>
                      <a:fillRect/>
                    </a:stretch>
                  </pic:blipFill>
                  <pic:spPr>
                    <a:xfrm>
                      <a:off x="0" y="0"/>
                      <a:ext cx="5029200" cy="2159815"/>
                    </a:xfrm>
                    <a:prstGeom prst="rect"/>
                  </pic:spPr>
                </pic:pic>
              </a:graphicData>
            </a:graphic>
          </wp:inline>
        </w:drawing>
      </w:r>
    </w:p>
    <w:p>
      <w:pPr>
        <w:spacing w:lineRule="auto" w:line="360" w:before="0" w:after="160"/>
        <w:jc w:val="center"/>
      </w:pPr>
      <w:r>
        <w:rPr>
          <w:rFonts w:ascii="Arial" w:hAnsi="Arial"/>
          <w:b w:val="0"/>
          <w:i w:val="0"/>
          <w:sz w:val="20"/>
        </w:rPr>
        <w:t>Figure 3. Heatmap of fraud rate (%) by hour of day and day of week.</w:t>
      </w:r>
    </w:p>
    <w:p>
      <w:pPr>
        <w:spacing w:lineRule="auto" w:line="360" w:before="0" w:after="80"/>
        <w:ind w:firstLine="720"/>
        <w:jc w:val="both"/>
      </w:pPr>
      <w:r>
        <w:rPr>
          <w:rFonts w:ascii="Arial" w:hAnsi="Arial"/>
          <w:b w:val="0"/>
          <w:i/>
          <w:sz w:val="24"/>
        </w:rPr>
        <w:t>Finding</w:t>
      </w:r>
      <w:r>
        <w:rPr>
          <w:rFonts w:ascii="Arial" w:hAnsi="Arial"/>
          <w:b w:val="0"/>
          <w:i/>
          <w:sz w:val="24"/>
        </w:rPr>
        <w:t>: Fraud rates are elevated from midnight to 5:00 AM across all days of the week, with the highest concentrations occurring on weekends between 1:00 AM and 4:00 AM. Weekday business hours from 9:00 AM to 5:00 PM show the lowest fraud rates, reflecting periods of active legitimate cardholder engagement.</w:t>
      </w:r>
    </w:p>
    <w:p>
      <w:pPr>
        <w:spacing w:lineRule="auto" w:line="360" w:before="0" w:after="240"/>
        <w:ind w:firstLine="720"/>
        <w:jc w:val="both"/>
      </w:pPr>
      <w:r>
        <w:rPr>
          <w:rFonts w:ascii="Arial" w:hAnsi="Arial"/>
          <w:b w:val="0"/>
          <w:i/>
          <w:sz w:val="24"/>
        </w:rPr>
        <w:t>Insight</w:t>
      </w:r>
      <w:r>
        <w:rPr>
          <w:rFonts w:ascii="Arial" w:hAnsi="Arial"/>
          <w:b w:val="0"/>
          <w:i/>
          <w:sz w:val="24"/>
        </w:rPr>
        <w:t>: Time of day is a low-cost and reliable fraud signal. A transaction at 3:00 AM from a computer equipment retailer warrants scrutiny even if the amount appears ordinary. Financial institutions can trigger soft authentication challenges — push notifications or one-time passcodes — during off-peak hours rather than issuing hard declines, preserving access for legitimate late-night users while increasing detection of fraudulent activity.</w:t>
      </w:r>
    </w:p>
    <w:p>
      <w:pPr>
        <w:spacing w:lineRule="auto" w:line="360" w:before="240" w:after="120"/>
        <w:jc w:val="left"/>
      </w:pPr>
      <w:r>
        <w:rPr>
          <w:rFonts w:ascii="Arial" w:hAnsi="Arial"/>
          <w:b/>
          <w:i w:val="0"/>
          <w:sz w:val="24"/>
        </w:rPr>
        <w:t>D. Fraud Rate by Customer Demographics</w:t>
      </w:r>
    </w:p>
    <w:p>
      <w:pPr>
        <w:jc w:val="center"/>
      </w:pPr>
      <w:r>
        <w:drawing>
          <wp:inline xmlns:a="http://schemas.openxmlformats.org/drawingml/2006/main" xmlns:pic="http://schemas.openxmlformats.org/drawingml/2006/picture">
            <wp:extent cx="5029200" cy="2000681"/>
            <wp:docPr id="4" name="Picture 4"/>
            <wp:cNvGraphicFramePr>
              <a:graphicFrameLocks noChangeAspect="1"/>
            </wp:cNvGraphicFramePr>
            <a:graphic>
              <a:graphicData uri="http://schemas.openxmlformats.org/drawingml/2006/picture">
                <pic:pic>
                  <pic:nvPicPr>
                    <pic:cNvPr id="0" name="fig4_fraud_by_demographic.png"/>
                    <pic:cNvPicPr/>
                  </pic:nvPicPr>
                  <pic:blipFill>
                    <a:blip r:embed="rId12"/>
                    <a:stretch>
                      <a:fillRect/>
                    </a:stretch>
                  </pic:blipFill>
                  <pic:spPr>
                    <a:xfrm>
                      <a:off x="0" y="0"/>
                      <a:ext cx="5029200" cy="2000681"/>
                    </a:xfrm>
                    <a:prstGeom prst="rect"/>
                  </pic:spPr>
                </pic:pic>
              </a:graphicData>
            </a:graphic>
          </wp:inline>
        </w:drawing>
      </w:r>
    </w:p>
    <w:p>
      <w:pPr>
        <w:spacing w:lineRule="auto" w:line="360" w:before="0" w:after="160"/>
        <w:jc w:val="center"/>
      </w:pPr>
      <w:r>
        <w:rPr>
          <w:rFonts w:ascii="Arial" w:hAnsi="Arial"/>
          <w:b w:val="0"/>
          <w:i w:val="0"/>
          <w:sz w:val="20"/>
        </w:rPr>
        <w:t>Figure 4. Fraud rate by age group (left) and annual income bracket (right).</w:t>
      </w:r>
    </w:p>
    <w:p>
      <w:pPr>
        <w:spacing w:lineRule="auto" w:line="360" w:before="0" w:after="80"/>
        <w:ind w:firstLine="720"/>
        <w:jc w:val="both"/>
      </w:pPr>
      <w:r>
        <w:rPr>
          <w:rFonts w:ascii="Arial" w:hAnsi="Arial"/>
          <w:b w:val="0"/>
          <w:i/>
          <w:sz w:val="24"/>
        </w:rPr>
        <w:t>Finding</w:t>
      </w:r>
      <w:r>
        <w:rPr>
          <w:rFonts w:ascii="Arial" w:hAnsi="Arial"/>
          <w:b w:val="0"/>
          <w:i/>
          <w:sz w:val="24"/>
        </w:rPr>
        <w:t>: Customers under 25 years of age exhibited the highest fraud rate among all age groups, while the 55 to 64 cohort showed the lowest susceptibility. Across income brackets, customers earning under $30,000 annually experienced the highest fraud rates, with rates declining progressively as income increased.</w:t>
      </w:r>
    </w:p>
    <w:p>
      <w:pPr>
        <w:spacing w:lineRule="auto" w:line="360" w:before="0" w:after="240"/>
        <w:ind w:firstLine="720"/>
        <w:jc w:val="both"/>
      </w:pPr>
      <w:r>
        <w:rPr>
          <w:rFonts w:ascii="Arial" w:hAnsi="Arial"/>
          <w:b w:val="0"/>
          <w:i/>
          <w:sz w:val="24"/>
        </w:rPr>
        <w:t>Insight</w:t>
      </w:r>
      <w:r>
        <w:rPr>
          <w:rFonts w:ascii="Arial" w:hAnsi="Arial"/>
          <w:b w:val="0"/>
          <w:i/>
          <w:sz w:val="24"/>
        </w:rPr>
        <w:t>: Younger and lower-income customers are disproportionately affected by fraud, likely due to less security-conscious digital behavior and a lower likelihood of noticing unfamiliar charges quickly. Financial institutions should prioritize proactive fraud education, in-app alerts for unusual activity, and simplified fraud reporting channels specifically for these demographic segments.</w:t>
      </w:r>
    </w:p>
    <w:p>
      <w:pPr>
        <w:spacing w:lineRule="auto" w:line="360" w:before="240" w:after="120"/>
        <w:jc w:val="left"/>
      </w:pPr>
      <w:r>
        <w:rPr>
          <w:rFonts w:ascii="Arial" w:hAnsi="Arial"/>
          <w:b/>
          <w:i w:val="0"/>
          <w:sz w:val="24"/>
        </w:rPr>
        <w:t>E. Fraud Rate by Card Type and Transaction Method</w:t>
      </w:r>
    </w:p>
    <w:p>
      <w:pPr>
        <w:jc w:val="center"/>
      </w:pPr>
      <w:r>
        <w:drawing>
          <wp:inline xmlns:a="http://schemas.openxmlformats.org/drawingml/2006/main" xmlns:pic="http://schemas.openxmlformats.org/drawingml/2006/picture">
            <wp:extent cx="5029200" cy="1731512"/>
            <wp:docPr id="5" name="Picture 5"/>
            <wp:cNvGraphicFramePr>
              <a:graphicFrameLocks noChangeAspect="1"/>
            </wp:cNvGraphicFramePr>
            <a:graphic>
              <a:graphicData uri="http://schemas.openxmlformats.org/drawingml/2006/picture">
                <pic:pic>
                  <pic:nvPicPr>
                    <pic:cNvPr id="0" name="fig5_fraud_by_card_type.png"/>
                    <pic:cNvPicPr/>
                  </pic:nvPicPr>
                  <pic:blipFill>
                    <a:blip r:embed="rId13"/>
                    <a:stretch>
                      <a:fillRect/>
                    </a:stretch>
                  </pic:blipFill>
                  <pic:spPr>
                    <a:xfrm>
                      <a:off x="0" y="0"/>
                      <a:ext cx="5029200" cy="1731512"/>
                    </a:xfrm>
                    <a:prstGeom prst="rect"/>
                  </pic:spPr>
                </pic:pic>
              </a:graphicData>
            </a:graphic>
          </wp:inline>
        </w:drawing>
      </w:r>
    </w:p>
    <w:p>
      <w:pPr>
        <w:spacing w:lineRule="auto" w:line="360" w:before="0" w:after="160"/>
        <w:jc w:val="center"/>
      </w:pPr>
      <w:r>
        <w:rPr>
          <w:rFonts w:ascii="Arial" w:hAnsi="Arial"/>
          <w:b w:val="0"/>
          <w:i w:val="0"/>
          <w:sz w:val="20"/>
        </w:rPr>
        <w:t>Figure 5. Fraud rate by transaction method (left), card type (center), and chip availability (right).</w:t>
      </w:r>
    </w:p>
    <w:p>
      <w:pPr>
        <w:spacing w:lineRule="auto" w:line="360" w:before="0" w:after="80"/>
        <w:ind w:firstLine="720"/>
        <w:jc w:val="both"/>
      </w:pPr>
      <w:r>
        <w:rPr>
          <w:rFonts w:ascii="Arial" w:hAnsi="Arial"/>
          <w:b w:val="0"/>
          <w:i/>
          <w:sz w:val="24"/>
        </w:rPr>
        <w:t>Finding</w:t>
      </w:r>
      <w:r>
        <w:rPr>
          <w:rFonts w:ascii="Arial" w:hAnsi="Arial"/>
          <w:b w:val="0"/>
          <w:i/>
          <w:sz w:val="24"/>
        </w:rPr>
        <w:t>: Online transactions recorded a fraud rate of 0.84%, which is 28 times higher than swipe transactions (0.03%) and 8 times higher than chip-authenticated transactions (0.10%). Prepaid debit cards exhibited a higher fraud rate (0.22%) compared to standard debit (0.13%) and credit cards (0.16%). Cards without chip technology showed markedly higher fraud rates than chip-enabled cards, confirming the protective value of EMV technology.</w:t>
      </w:r>
    </w:p>
    <w:p>
      <w:pPr>
        <w:spacing w:lineRule="auto" w:line="360" w:before="0" w:after="240"/>
        <w:ind w:firstLine="720"/>
        <w:jc w:val="both"/>
      </w:pPr>
      <w:r>
        <w:rPr>
          <w:rFonts w:ascii="Arial" w:hAnsi="Arial"/>
          <w:b w:val="0"/>
          <w:i/>
          <w:sz w:val="24"/>
        </w:rPr>
        <w:t>Insight</w:t>
      </w:r>
      <w:r>
        <w:rPr>
          <w:rFonts w:ascii="Arial" w:hAnsi="Arial"/>
          <w:b w:val="0"/>
          <w:i/>
          <w:sz w:val="24"/>
        </w:rPr>
        <w:t>: The card-not-present environment of online transactions is the dominant fraud vector in this dataset. Investment in 3D Secure 2.0 protocols, behavioral biometrics for online sessions, and enhanced KYC verification for prepaid card issuance are the highest-impact interventions available. Accelerating the phase-out of non-chip cards, with prepaid customers prioritized, would directly reduce counterfeit card fraud at physical terminals.</w:t>
      </w:r>
    </w:p>
    <w:p>
      <w:pPr>
        <w:spacing w:lineRule="auto" w:line="360" w:before="240" w:after="120"/>
        <w:jc w:val="left"/>
      </w:pPr>
      <w:r>
        <w:rPr>
          <w:rFonts w:ascii="Arial" w:hAnsi="Arial"/>
          <w:b/>
          <w:i w:val="0"/>
          <w:sz w:val="24"/>
        </w:rPr>
        <w:t>F. Correlation Matrix of Numerical Features</w:t>
      </w:r>
    </w:p>
    <w:p>
      <w:pPr>
        <w:jc w:val="center"/>
      </w:pPr>
      <w:r>
        <w:drawing>
          <wp:inline xmlns:a="http://schemas.openxmlformats.org/drawingml/2006/main" xmlns:pic="http://schemas.openxmlformats.org/drawingml/2006/picture">
            <wp:extent cx="5029200" cy="4105076"/>
            <wp:docPr id="6" name="Picture 6"/>
            <wp:cNvGraphicFramePr>
              <a:graphicFrameLocks noChangeAspect="1"/>
            </wp:cNvGraphicFramePr>
            <a:graphic>
              <a:graphicData uri="http://schemas.openxmlformats.org/drawingml/2006/picture">
                <pic:pic>
                  <pic:nvPicPr>
                    <pic:cNvPr id="0" name="fig6_correlation_heatmap.png"/>
                    <pic:cNvPicPr/>
                  </pic:nvPicPr>
                  <pic:blipFill>
                    <a:blip r:embed="rId14"/>
                    <a:stretch>
                      <a:fillRect/>
                    </a:stretch>
                  </pic:blipFill>
                  <pic:spPr>
                    <a:xfrm>
                      <a:off x="0" y="0"/>
                      <a:ext cx="5029200" cy="4105076"/>
                    </a:xfrm>
                    <a:prstGeom prst="rect"/>
                  </pic:spPr>
                </pic:pic>
              </a:graphicData>
            </a:graphic>
          </wp:inline>
        </w:drawing>
      </w:r>
    </w:p>
    <w:p>
      <w:pPr>
        <w:spacing w:lineRule="auto" w:line="360" w:before="0" w:after="160"/>
        <w:jc w:val="center"/>
      </w:pPr>
      <w:r>
        <w:rPr>
          <w:rFonts w:ascii="Arial" w:hAnsi="Arial"/>
          <w:b w:val="0"/>
          <w:i w:val="0"/>
          <w:sz w:val="20"/>
        </w:rPr>
        <w:t>Figure 6. Pearson correlation matrix of numerical features including the is_fraud label.</w:t>
      </w:r>
    </w:p>
    <w:p>
      <w:pPr>
        <w:spacing w:lineRule="auto" w:line="360" w:before="0" w:after="80"/>
        <w:ind w:firstLine="720"/>
        <w:jc w:val="both"/>
      </w:pPr>
      <w:r>
        <w:rPr>
          <w:rFonts w:ascii="Arial" w:hAnsi="Arial"/>
          <w:b w:val="0"/>
          <w:i/>
          <w:sz w:val="24"/>
        </w:rPr>
        <w:t>Finding</w:t>
      </w:r>
      <w:r>
        <w:rPr>
          <w:rFonts w:ascii="Arial" w:hAnsi="Arial"/>
          <w:b w:val="0"/>
          <w:i/>
          <w:sz w:val="24"/>
        </w:rPr>
        <w:t>: No single numerical feature shows a strong linear correlation with the fraud label. Hour-of-day has the highest positive correlation at r = +0.04, consistent with the temporal patterns identified in Figure 3. Transaction amount shows a modest positive correlation, while credit score shows a slight negative correlation with fraud incidence. Feature inter-correlations are generally low, indicating limited multicollinearity.</w:t>
      </w:r>
    </w:p>
    <w:p>
      <w:pPr>
        <w:spacing w:lineRule="auto" w:line="360" w:before="0" w:after="240"/>
        <w:ind w:firstLine="720"/>
        <w:jc w:val="both"/>
      </w:pPr>
      <w:r>
        <w:rPr>
          <w:rFonts w:ascii="Arial" w:hAnsi="Arial"/>
          <w:b w:val="0"/>
          <w:i/>
          <w:sz w:val="24"/>
        </w:rPr>
        <w:t>Insight</w:t>
      </w:r>
      <w:r>
        <w:rPr>
          <w:rFonts w:ascii="Arial" w:hAnsi="Arial"/>
          <w:b w:val="0"/>
          <w:i/>
          <w:sz w:val="24"/>
        </w:rPr>
        <w:t>: The absence of strong individual correlations confirms that fraud cannot be detected reliably through any single threshold rule. This result supports the use of multivariate modeling — particularly tree-based ensemble methods such as Gradient Boosting or Random Forest, which can capture non-linear interactions between features. Augmenting the feature set with velocity metrics and merchant-level deviation scores would significantly strengthen any downstream classification model.</w:t>
      </w:r>
    </w:p>
    <w:p/>
    <w:p>
      <w:pPr>
        <w:spacing w:lineRule="auto" w:line="360" w:before="240" w:after="120"/>
        <w:jc w:val="left"/>
      </w:pPr>
      <w:r>
        <w:rPr>
          <w:rFonts w:ascii="Arial" w:hAnsi="Arial"/>
          <w:b/>
          <w:i w:val="0"/>
          <w:sz w:val="24"/>
        </w:rPr>
        <w:t>V. Key Insights</w:t>
      </w:r>
    </w:p>
    <w:p>
      <w:pPr>
        <w:spacing w:lineRule="auto" w:line="360" w:before="0" w:after="120"/>
        <w:ind w:firstLine="720"/>
        <w:jc w:val="both"/>
      </w:pPr>
      <w:r>
        <w:rPr>
          <w:rFonts w:ascii="Arial" w:hAnsi="Arial"/>
          <w:b w:val="0"/>
          <w:i w:val="0"/>
          <w:sz w:val="24"/>
        </w:rPr>
        <w:t>The analysis of 8,914,963 labelled digital banking transactions reveals that fraud is not randomly distributed across the dataset. It is consistently concentrated along specific, measurable dimensions — merchant category, transaction channel, time of day, and card technology — each of which represents an actionable lever for fraud reduction.</w:t>
      </w:r>
    </w:p>
    <w:p>
      <w:pPr>
        <w:spacing w:lineRule="auto" w:line="360" w:before="0" w:after="120"/>
        <w:ind w:firstLine="720"/>
        <w:jc w:val="both"/>
      </w:pPr>
      <w:r>
        <w:rPr>
          <w:rFonts w:ascii="Arial" w:hAnsi="Arial"/>
          <w:b w:val="0"/>
          <w:i w:val="0"/>
          <w:sz w:val="24"/>
        </w:rPr>
        <w:t>Online transactions are the dominant fraud channel, accounting for a fraud rate of 0.84% despite representing only 11.7% of total transaction volume. This rate is 28 times higher than swipe transactions and 8 times higher than chip-authenticated transactions. The card-not-present environment is the single largest source of fraud exposure in the dataset and represents the clearest opportunity for targeted intervention.</w:t>
      </w:r>
    </w:p>
    <w:p>
      <w:pPr>
        <w:spacing w:lineRule="auto" w:line="360" w:before="0" w:after="120"/>
        <w:ind w:firstLine="720"/>
        <w:jc w:val="both"/>
      </w:pPr>
      <w:r>
        <w:rPr>
          <w:rFonts w:ascii="Arial" w:hAnsi="Arial"/>
          <w:b w:val="0"/>
          <w:i w:val="0"/>
          <w:sz w:val="24"/>
        </w:rPr>
        <w:t>Merchant category is the strongest segmentation variable identified in the analysis. Computer and peripheral equipment retailers reach fraud rates above 10%, more than 60 times the dataset average of 0.15%. Electronics stores and precious metals dealers follow closely. Fraud is not evenly distributed across merchant types — it is heavily concentrated in categories that sell high-value, easily liquidated goods, a pattern that has direct implications for MCC-level risk policy.</w:t>
      </w:r>
    </w:p>
    <w:p>
      <w:pPr>
        <w:spacing w:lineRule="auto" w:line="360" w:before="0" w:after="120"/>
        <w:ind w:firstLine="720"/>
        <w:jc w:val="both"/>
      </w:pPr>
      <w:r>
        <w:rPr>
          <w:rFonts w:ascii="Arial" w:hAnsi="Arial"/>
          <w:b w:val="0"/>
          <w:i w:val="0"/>
          <w:sz w:val="24"/>
        </w:rPr>
        <w:t>Temporal patterns provide a low-cost and reliable fraud signal. Fraud rates are consistently elevated between midnight and 5:00 AM across all days, with the highest concentrations on weekend overnight hours. Weekday business hours show the lowest fraud rates. Because these features are derived from existing transaction timestamps, they can be incorporated into real-time scoring models at no additional data collection cost.</w:t>
      </w:r>
    </w:p>
    <w:p>
      <w:pPr>
        <w:spacing w:lineRule="auto" w:line="360" w:before="0" w:after="120"/>
        <w:ind w:firstLine="720"/>
        <w:jc w:val="both"/>
      </w:pPr>
      <w:r>
        <w:rPr>
          <w:rFonts w:ascii="Arial" w:hAnsi="Arial"/>
          <w:b w:val="0"/>
          <w:i w:val="0"/>
          <w:sz w:val="24"/>
        </w:rPr>
        <w:t>Card technology has a demonstrable protective effect. Non-chip cards show significantly higher fraud rates than EMV chip-enabled cards, consistent with the well-documented effectiveness of chip technology in suppressing counterfeit card fraud at physical terminals. The remaining gap is concentrated in online channels, where chip technology offers no protection, reinforcing the priority of investment in digital authentication.</w:t>
      </w:r>
    </w:p>
    <w:p>
      <w:pPr>
        <w:spacing w:lineRule="auto" w:line="360" w:before="0" w:after="120"/>
        <w:ind w:firstLine="720"/>
        <w:jc w:val="both"/>
      </w:pPr>
      <w:r>
        <w:rPr>
          <w:rFonts w:ascii="Arial" w:hAnsi="Arial"/>
          <w:b w:val="0"/>
          <w:i w:val="0"/>
          <w:sz w:val="24"/>
        </w:rPr>
        <w:t>Transaction amount provides a useful supporting signal. The median fraudulent transaction of $69.97 is more than double the median legitimate transaction of $28.95, and the fraud distribution has a longer right tail extending into the hundreds and low thousands of dollars. Amount is a weak standalone predictor but becomes a meaningful input when combined with merchant category and transaction method in a composite risk score.</w:t>
      </w:r>
    </w:p>
    <w:p/>
    <w:p>
      <w:pPr>
        <w:spacing w:lineRule="auto" w:line="360" w:before="240" w:after="120"/>
        <w:jc w:val="left"/>
      </w:pPr>
      <w:r>
        <w:rPr>
          <w:rFonts w:ascii="Arial" w:hAnsi="Arial"/>
          <w:b/>
          <w:i w:val="0"/>
          <w:sz w:val="24"/>
        </w:rPr>
        <w:t>VI. Recommendations</w:t>
      </w:r>
    </w:p>
    <w:p>
      <w:pPr>
        <w:spacing w:lineRule="auto" w:line="360" w:before="0" w:after="120"/>
        <w:ind w:firstLine="720"/>
        <w:jc w:val="both"/>
      </w:pPr>
      <w:r>
        <w:rPr>
          <w:rFonts w:ascii="Arial" w:hAnsi="Arial"/>
          <w:b w:val="0"/>
          <w:i w:val="0"/>
          <w:sz w:val="24"/>
        </w:rPr>
        <w:t>Based on the findings of this analysis, five strategic actions are recommended to address the highest-risk fraud patterns identified in the dataset. Each recommendation is grounded directly in the quantitative results and targets a specific, measurable source of fraud exposure.</w:t>
      </w:r>
    </w:p>
    <w:p>
      <w:pPr>
        <w:spacing w:lineRule="auto" w:line="360" w:before="0" w:after="120"/>
        <w:ind w:firstLine="720"/>
        <w:jc w:val="both"/>
      </w:pPr>
      <w:r>
        <w:rPr>
          <w:rFonts w:ascii="Arial" w:hAnsi="Arial"/>
          <w:b w:val="0"/>
          <w:i w:val="0"/>
          <w:sz w:val="24"/>
        </w:rPr>
        <w:t>First, financial institutions should implement MCC-specific transaction controls. Requiring step-up authentication for transactions above $500 at the highest-risk merchant category codes — computer equipment retailers (MCC 5045), electronics stores (MCC 5065), and precious metals dealers (MCC 5094) — would directly target the categories where fraud rates exceed 10%, without creating friction across the vast majority of low-risk merchant transactions. Dynamic limit structures calibrated to each category's baseline fraud rate would be more effective than a uniform policy applied across all merchants.</w:t>
      </w:r>
    </w:p>
    <w:p>
      <w:pPr>
        <w:spacing w:lineRule="auto" w:line="360" w:before="0" w:after="120"/>
        <w:ind w:firstLine="720"/>
        <w:jc w:val="both"/>
      </w:pPr>
      <w:r>
        <w:rPr>
          <w:rFonts w:ascii="Arial" w:hAnsi="Arial"/>
          <w:b w:val="0"/>
          <w:i w:val="0"/>
          <w:sz w:val="24"/>
        </w:rPr>
        <w:t>Second, online channel security requires dedicated and sustained investment. Online transactions are 28 times more likely to be fraudulent than swipe transactions, and their share of total transaction volume is growing. All card-not-present transactions should be routed through 3D Secure 2.0. Layering behavioral biometrics — typing cadence, device fingerprinting, and session anomaly detection — adds meaningful protection without significantly increasing friction for legitimate users. Prepaid card programs, which showed elevated fraud rates relative to standard debit and credit, should face enhanced identity verification requirements at the point of issuance.</w:t>
      </w:r>
    </w:p>
    <w:p>
      <w:pPr>
        <w:spacing w:lineRule="auto" w:line="360" w:before="0" w:after="120"/>
        <w:ind w:firstLine="720"/>
        <w:jc w:val="both"/>
      </w:pPr>
      <w:r>
        <w:rPr>
          <w:rFonts w:ascii="Arial" w:hAnsi="Arial"/>
          <w:b w:val="0"/>
          <w:i w:val="0"/>
          <w:sz w:val="24"/>
        </w:rPr>
        <w:t>Third, time-of-day risk scoring should be integrated into real-time fraud detection models. Hour-of-day and day-of-week are reliable signals that can be derived from existing transaction timestamps at no additional collection cost. Transactions between midnight and 5:00 AM, particularly on weekends, should receive a higher composite risk score that triggers a soft authentication challenge — a push notification or one-time passcode — rather than a hard decline. This preserves access for legitimate late-night users while increasing scrutiny during the windows of greatest fraud concentration.</w:t>
      </w:r>
    </w:p>
    <w:p>
      <w:pPr>
        <w:spacing w:lineRule="auto" w:line="360" w:before="0" w:after="120"/>
        <w:ind w:firstLine="720"/>
        <w:jc w:val="both"/>
      </w:pPr>
      <w:r>
        <w:rPr>
          <w:rFonts w:ascii="Arial" w:hAnsi="Arial"/>
          <w:b w:val="0"/>
          <w:i w:val="0"/>
          <w:sz w:val="24"/>
        </w:rPr>
        <w:t>Fourth, the phase-out of non-chip cards should be accelerated. Cards without EMV chip technology show substantially higher fraud rates than chip-enabled alternatives, and counterfeit card fraud at physical terminals remains a measurable contributor to overall losses. Financial institutions should proactively issue chip card replacements to remaining magnetic-stripe-only cardholders, with prepaid debit customers prioritized given their elevated fraud exposure as identified in this analysis.</w:t>
      </w:r>
    </w:p>
    <w:p>
      <w:pPr>
        <w:spacing w:lineRule="auto" w:line="360" w:before="0" w:after="120"/>
        <w:ind w:firstLine="720"/>
        <w:jc w:val="both"/>
      </w:pPr>
      <w:r>
        <w:rPr>
          <w:rFonts w:ascii="Arial" w:hAnsi="Arial"/>
          <w:b w:val="0"/>
          <w:i w:val="0"/>
          <w:sz w:val="24"/>
        </w:rPr>
        <w:t>Fifth, fraud awareness and monitoring programs should be targeted toward younger and lower-income customer segments. Customers under 25 and those earning under $30,000 annually showed above-average fraud victimization rates. Proactive in-app alerts for unusual transaction patterns, personalized notifications when purchases occur in high-risk contexts, and a streamlined fraud reporting process would reduce both the volume of undetected fraud and the time required to identify and resolve it.</w:t>
      </w:r>
    </w:p>
    <w:p/>
    <w:p>
      <w:pPr>
        <w:spacing w:lineRule="auto" w:line="360" w:before="240" w:after="120"/>
        <w:jc w:val="left"/>
      </w:pPr>
      <w:r>
        <w:rPr>
          <w:rFonts w:ascii="Arial" w:hAnsi="Arial"/>
          <w:b/>
          <w:i w:val="0"/>
          <w:sz w:val="24"/>
        </w:rPr>
        <w:t>VII. Conclusion</w:t>
      </w:r>
    </w:p>
    <w:p>
      <w:pPr>
        <w:spacing w:lineRule="auto" w:line="360" w:before="0" w:after="120"/>
        <w:ind w:firstLine="720"/>
        <w:jc w:val="both"/>
      </w:pPr>
      <w:r>
        <w:rPr>
          <w:rFonts w:ascii="Arial" w:hAnsi="Arial"/>
          <w:b w:val="0"/>
          <w:i w:val="0"/>
          <w:sz w:val="24"/>
        </w:rPr>
        <w:t>This study examined 8,914,963 labelled digital banking transactions to identify the transaction characteristics and customer behaviors most significantly associated with fraud. The findings confirm that fraud in digital banking is not randomly distributed. It clusters in specific merchant categories, transaction channels, time windows, and card types, each of which can be measured and targeted through data-driven controls.</w:t>
      </w:r>
    </w:p>
    <w:p>
      <w:pPr>
        <w:spacing w:lineRule="auto" w:line="360" w:before="0" w:after="120"/>
        <w:ind w:firstLine="720"/>
        <w:jc w:val="both"/>
      </w:pPr>
      <w:r>
        <w:rPr>
          <w:rFonts w:ascii="Arial" w:hAnsi="Arial"/>
          <w:b w:val="0"/>
          <w:i w:val="0"/>
          <w:sz w:val="24"/>
        </w:rPr>
        <w:t>The online channel emerges as the most critical vulnerability, with fraud rates 28 times higher than physical swipe transactions. Merchant category is the strongest single discriminator, with computer equipment retailers reaching fraud rates above 10% against a dataset average of 0.15%. EMV chip technology demonstrably suppresses fraud at physical terminals, and temporal patterns — particularly the elevated fraud during late-night weekend hours — provide a reliable, zero-cost input for real-time risk scoring.</w:t>
      </w:r>
    </w:p>
    <w:p>
      <w:pPr>
        <w:spacing w:lineRule="auto" w:line="360" w:before="0" w:after="120"/>
        <w:ind w:firstLine="720"/>
        <w:jc w:val="both"/>
      </w:pPr>
      <w:r>
        <w:rPr>
          <w:rFonts w:ascii="Arial" w:hAnsi="Arial"/>
          <w:b w:val="0"/>
          <w:i w:val="0"/>
          <w:sz w:val="24"/>
        </w:rPr>
        <w:t>These findings confirm the research question and establish that no single variable is sufficient for fraud detection in isolation. The correlation matrix in Figure 6 shows that individual features carry weak linear signals, which means effective detection requires combining merchant category, transaction method, time of day, and card type into a multivariate risk score. Financial institutions that operationalize these insights through dynamic MCC-level controls, enhanced online channel authentication, and temporal risk scoring stand to reduce fraud losses substantially while minimizing unnecessary friction for legitimate customers.</w:t>
      </w:r>
    </w:p>
    <w:p>
      <w:pPr>
        <w:spacing w:lineRule="auto" w:line="360" w:before="0" w:after="120"/>
        <w:ind w:firstLine="720"/>
        <w:jc w:val="both"/>
      </w:pPr>
      <w:r>
        <w:rPr>
          <w:rFonts w:ascii="Arial" w:hAnsi="Arial"/>
          <w:b w:val="0"/>
          <w:i w:val="0"/>
          <w:sz w:val="24"/>
        </w:rPr>
        <w:t>Future work should incorporate additional behavioral features such as transaction velocity and geographic distance from prior activity, explore machine learning classification models including Gradient Boosting and Isolation Forest, and validate these findings against live production data from an actual financial institution rather than a simulated dataset.</w:t>
      </w:r>
    </w:p>
    <w:p/>
    <w:p>
      <w:pPr>
        <w:spacing w:lineRule="auto" w:line="360" w:before="240" w:after="120"/>
        <w:jc w:val="left"/>
      </w:pPr>
      <w:r>
        <w:rPr>
          <w:rFonts w:ascii="Arial" w:hAnsi="Arial"/>
          <w:b/>
          <w:i w:val="0"/>
          <w:sz w:val="24"/>
        </w:rPr>
        <w:t>References</w:t>
      </w:r>
    </w:p>
    <w:p>
      <w:pPr>
        <w:spacing w:lineRule="auto" w:line="360" w:before="0" w:after="120"/>
        <w:ind w:firstLine="720"/>
        <w:jc w:val="both"/>
      </w:pPr>
      <w:r>
        <w:rPr>
          <w:rFonts w:ascii="Arial" w:hAnsi="Arial"/>
          <w:b w:val="0"/>
          <w:i w:val="0"/>
          <w:sz w:val="24"/>
        </w:rPr>
        <w:t>[1] computingvictor, "Financial Transactions Dataset: Analytics," Kaggle, Oct. 2024. [Online]. Available: https://www.kaggle.com/datasets/computingvictor/transactions-fraud-datasets. [Accessed: Apr. 12, 2026].</w:t>
      </w:r>
    </w:p>
    <w:p>
      <w:pPr>
        <w:spacing w:lineRule="auto" w:line="360" w:before="0" w:after="120"/>
        <w:ind w:firstLine="720"/>
        <w:jc w:val="both"/>
      </w:pPr>
      <w:r>
        <w:rPr>
          <w:rFonts w:ascii="Arial" w:hAnsi="Arial"/>
          <w:b w:val="0"/>
          <w:i w:val="0"/>
          <w:sz w:val="24"/>
        </w:rPr>
        <w:t>[2] T. Hastie, R. Tibshirani, and J. Friedman, The Elements of Statistical Learning: Data Mining, Inference, and Prediction, 2nd ed. New York, NY, USA: Springer, 2009.</w:t>
      </w:r>
    </w:p>
    <w:p>
      <w:pPr>
        <w:spacing w:lineRule="auto" w:line="360" w:before="0" w:after="120"/>
        <w:ind w:firstLine="720"/>
        <w:jc w:val="both"/>
      </w:pPr>
      <w:r>
        <w:rPr>
          <w:rFonts w:ascii="Arial" w:hAnsi="Arial"/>
          <w:b w:val="0"/>
          <w:i w:val="0"/>
          <w:sz w:val="24"/>
        </w:rPr>
        <w:t>[3] A. Dal Pozzolo, O. Caelen, R. A. Johnson, and G. Bontempi, "Calibrating probability with undersampling for unbalanced classification," in Proc. IEEE Symp. Comput. Intell. Data Mining (CIDM), Orlando, FL, USA, Dec. 2015, pp. 159-166.</w:t>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