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ind w:firstLine="0"/>
        <w:jc w:val="center"/>
      </w:pPr>
      <w:r>
        <w:rPr>
          <w:rFonts w:eastAsia="黑体" w:ascii="Arial" w:hAnsi="Arial"/>
          <w:b/>
          <w:sz w:val="40"/>
        </w:rPr>
        <w:t>大数据安全课程大作业实验报告</w:t>
      </w:r>
    </w:p>
    <w:p>
      <w:pPr>
        <w:ind w:firstLine="0"/>
        <w:jc w:val="center"/>
      </w:pPr>
      <w:r>
        <w:rPr>
          <w:rFonts w:eastAsia="宋体" w:ascii="Times New Roman" w:hAnsi="Times New Roman"/>
          <w:sz w:val="28"/>
        </w:rPr>
        <w:t>选项二：差分隐私算法实现</w:t>
      </w:r>
    </w:p>
    <w:p/>
    <w:p/>
    <w:p/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姓　　名：冯明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学　　号：202528013229074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课　　程：大数据安全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所在单位：中国科学院大学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一、实验目标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本实验选择大作业选项二，围绕差分隐私（Differential Privacy，DP）与联邦学习（Federated Learning，FL）的结合展开，具体目标包括以下几个方面：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（1）掌握联邦学习和差分隐私的基本原理，理解二者结合的必要性与实际意义；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（2）了解联邦学习算法（FedAvg）的完整工作流程，包括本地训练、梯度上传与全局聚合；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（3）掌握在联邦学习中应用差分隐私的具体方法，分别实现拉普拉斯机制和高斯机制；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（4）通过复现GRNN梯度攻击并结合差分隐私防护实验，直观理解差分隐私技术的保护效果与局限性。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二、实验方案与参数设置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2.1 联邦学习框架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实验采用经典的FedAvg（Federated Averaging）算法模拟联邦学习场景。全局模型由服务器维护，每轮通信中各客户端基于本地数据独立训练，再将参数更新（Δw）上传服务器进行平均聚合。数据集采用MNIST手写数字识别数据集（60,000训练样本，10,000测试样本），按IID（独立同分布）方式均分给10个客户端，每个客户端持有约6,000条数据。模型统一使用LeNet（双卷积块CNN，约60K参数）。实验在搭载Tesla T4 GPU的服务器上运行，全程训练耗时约2小时。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主要超参数如下表所示：</w:t>
      </w:r>
    </w:p>
    <w:tbl>
      <w:tblPr>
        <w:tblStyle w:val="TableGrid"/>
        <w:tblW w:type="auto" w:w="0"/>
        <w:jc w:val="center"/>
        <w:tblLook w:firstRow="0" w:lastRow="0" w:firstColumn="0" w:lastColumn="0" w:noHBand="1" w:noVBand="1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参数</w:t>
            </w:r>
          </w:p>
        </w:tc>
        <w:tc>
          <w:tcPr>
            <w:tcW w:type="dxa" w:w="1417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取值</w:t>
            </w:r>
          </w:p>
        </w:tc>
        <w:tc>
          <w:tcPr>
            <w:tcW w:type="dxa" w:w="3969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客户端数量 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均分 MNIST 训练集，IID 划分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通信轮数 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服务器与所有客户端共迭代 100 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本地训练轮次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 epoch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每轮客户端在本地数据上跑 1 个 epoch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本地批大小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64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SGD，momentum=0.5，lr=0.01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梯度裁剪范数 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1.0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全局 L2 灵敏度，对客户端更新裁剪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高斯机制 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1e-5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(ε,δ)-差分隐私中的失败概率</w:t>
            </w:r>
          </w:p>
        </w:tc>
      </w:tr>
    </w:tbl>
    <w:p/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2.2 差分隐私噪声机制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为保护各客户端的本地训练数据，在将梯度更新上传服务器前，先进行裁剪再加入噪声。具体流程为：①计算本地更新 Δw = w_local − w_global；②按L2范数对 Δw进行裁剪（clip by norm C=1.0）；③向裁剪后的更新加入DP噪声后上传。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本实验实现了两种噪声机制：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拉普拉斯机制（ε-DP）：噪声尺度参数b = C / ε，对每个参数分量独立采样Laplace(0, b)，提供纯差分隐私（pure DP）保证。ε 越小，加入的噪声越大，隐私保护越强。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高斯机制（(ε,δ)-DP）：噪声标准差 σ = C · √(2·ln(1.25/δ)) / ε，对每个参数分量独立采样N(0, σ²)，提供近似差分隐私保证（δ=1e-5）。相比拉普拉斯机制，高斯噪声分布更集中，但在相同 ε 下噪声规模通常更大。</w:t>
      </w:r>
    </w:p>
    <w:p>
      <w:pPr>
        <w:spacing w:before="80" w:after="80"/>
        <w:ind w:left="567" w:firstLine="0"/>
        <w:shd w:val="clear" w:color="auto" w:fill="EEEEEE"/>
      </w:pPr>
      <w:r>
        <w:rPr>
          <w:rFonts w:eastAsia="宋体" w:ascii="Courier New" w:hAnsi="Courier New"/>
          <w:sz w:val="18"/>
        </w:rPr>
        <w:t># 拉普拉斯机制：b = C / ε</w:t>
        <w:br/>
        <w:t>noise = Laplace(0, C/ε).sample(param.shape)</w:t>
        <w:br/>
        <w:br/>
        <w:t># 高斯机制：σ = C × sqrt(2 × ln(1.25/δ)) / ε，δ=1e-5</w:t>
        <w:br/>
        <w:t>sigma = C * sqrt(2 * log(1.25 / 1e-5)) / epsilon  # ≈ C × 4.84 / ε</w:t>
        <w:br/>
        <w:t>noise = Normal(0, sigma).sample(param.shape)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各机制对应的每轮隐私预算 ε 设置如下：</w:t>
      </w:r>
    </w:p>
    <w:tbl>
      <w:tblPr>
        <w:tblStyle w:val="TableGrid"/>
        <w:tblW w:type="auto" w:w="0"/>
        <w:jc w:val="center"/>
        <w:tblLook w:firstRow="0" w:lastRow="0" w:firstColumn="0" w:lastColumn="0" w:noHBand="1" w:noVBand="1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机制</w:t>
            </w:r>
          </w:p>
        </w:tc>
        <w:tc>
          <w:tcPr>
            <w:tcW w:type="dxa" w:w="2551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每轮 ε 值</w:t>
            </w:r>
          </w:p>
        </w:tc>
        <w:tc>
          <w:tcPr>
            <w:tcW w:type="dxa" w:w="3685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对应总体 ε_total（T=100 轮）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拉普拉斯（ε-DP）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10, 25, 50, 75, 100, +∞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1000, 2500, 5000, 7500, 10000, +∞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高斯（(ε,δ)-DP）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1, 5, 10, 20, 30, +∞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100, 500, 1000, 2000, 3000, +∞</w:t>
            </w:r>
          </w:p>
        </w:tc>
      </w:tr>
    </w:tbl>
    <w:p/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三、多轮联邦学习的隐私预算分析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在联邦学习中，每轮训练都会消耗一定的隐私预算。根据差分隐私的简单组合定理（Simple Composition Theorem）：若每轮使用 ε-DP机制保护，则经过T轮后，整个训练过程对单个客户端数据的总体隐私保证退化为T·ε-DP，即：</w:t>
      </w:r>
    </w:p>
    <w:p>
      <w:pPr>
        <w:spacing w:before="80" w:after="80"/>
        <w:ind w:left="567" w:firstLine="0"/>
        <w:shd w:val="clear" w:color="auto" w:fill="EEEEEE"/>
      </w:pPr>
      <w:r>
        <w:rPr>
          <w:rFonts w:eastAsia="宋体" w:ascii="Courier New" w:hAnsi="Courier New"/>
          <w:sz w:val="18"/>
        </w:rPr>
        <w:t>ε_total = T × ε_per_round</w:t>
        <w:br/>
        <w:br/>
        <w:t>本实验 T=100，各设置的总体隐私预算为：</w:t>
        <w:br/>
        <w:t xml:space="preserve">  拉普拉斯，ε/轮=10  → ε_total = 100 × 10  = 1000</w:t>
        <w:br/>
        <w:t xml:space="preserve">  拉普拉斯，ε/轮=25  → ε_total = 100 × 25  = 2500</w:t>
        <w:br/>
        <w:t xml:space="preserve">  高斯，    ε/轮=1   → ε_total = 100 × 1   = 100</w:t>
        <w:br/>
        <w:t xml:space="preserve">  高斯，    ε/轮=30  → ε_total = 100 × 30  = 3000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简单组合定理给出的是最坏情况下的上界，实际上隐私损耗可能更小。工程实践中通常配合矩会计（Moments Accountant）或Rényi差分隐私（RDP）等更紧的分析方法来减少预算消耗、提升模型效用，各设置的隐私预算汇总如下表：</w:t>
      </w:r>
    </w:p>
    <w:tbl>
      <w:tblPr>
        <w:tblStyle w:val="TableGrid"/>
        <w:tblW w:type="auto" w:w="0"/>
        <w:jc w:val="center"/>
        <w:tblLook w:firstRow="0" w:lastRow="0" w:firstColumn="0" w:lastColumn="0" w:noHBand="1" w:noVBand="1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机制</w:t>
            </w:r>
          </w:p>
        </w:tc>
        <w:tc>
          <w:tcPr>
            <w:tcW w:type="dxa" w:w="1134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每轮 ε</w:t>
            </w:r>
          </w:p>
        </w:tc>
        <w:tc>
          <w:tcPr>
            <w:tcW w:type="dxa" w:w="1984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总预算 ε_total</w:t>
            </w:r>
          </w:p>
        </w:tc>
        <w:tc>
          <w:tcPr>
            <w:tcW w:type="dxa" w:w="2268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噪声标准差/尺度</w:t>
            </w:r>
          </w:p>
        </w:tc>
        <w:tc>
          <w:tcPr>
            <w:tcW w:type="dxa" w:w="1417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隐私强度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拉普拉斯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b = 0.10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拉普拉斯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2,500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b = 0.04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中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拉普拉斯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b = 0.02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较弱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拉普拉斯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b = 0.01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弱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高斯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σ ≈ 4.84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极强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高斯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σ ≈ 0.97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高斯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σ ≈ 0.48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较强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高斯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σ ≈ 0.16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弱</w:t>
            </w:r>
          </w:p>
        </w:tc>
      </w:tr>
    </w:tbl>
    <w:p/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可以看出，高斯机制在相同 ε 下噪声标准差远大于拉普拉斯机制的尺度参数，这是因为高斯机制需要额外的 δ 来放松隐私定义，换来了更好的数值性质，但在小 ε 场景下噪声代价极为显著，这在后续实验结果中得到了印证。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四、实验运行过程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实验代码在配备Tesla T4 GPU（16GB显存）的云服务器上运行，操作系统为Ubuntu 20.04，PyTorch版本2.2.2（CUDA 12.1）。以下为训练过程中的终端输出（部分节选）：</w:t>
      </w:r>
    </w:p>
    <w:p>
      <w:pPr>
        <w:spacing w:before="80" w:after="80"/>
        <w:ind w:left="567" w:firstLine="0"/>
        <w:shd w:val="clear" w:color="auto" w:fill="EEEEEE"/>
      </w:pPr>
      <w:r>
        <w:rPr>
          <w:rFonts w:eastAsia="宋体" w:ascii="Courier New" w:hAnsi="Courier New"/>
          <w:sz w:val="18"/>
        </w:rPr>
        <w:t>root@gpu-server:/tmp/dp_exp# python3 -u fl_dp.py</w:t>
        <w:br/>
        <w:t>Device: cuda  |  N_CLIENTS=10  N_ROUNDS=100</w:t>
        <w:br/>
        <w:br/>
        <w:t>=== Laplace Mechanism ===</w:t>
        <w:br/>
        <w:br/>
        <w:t>ε = 10.0</w:t>
        <w:br/>
        <w:t xml:space="preserve">  Round   1/100  ε=10.0  acc=0.0930</w:t>
        <w:br/>
        <w:t xml:space="preserve">  Round  10/100  ε=10.0  acc=0.5028</w:t>
        <w:br/>
        <w:t xml:space="preserve">  Round  20/100  ε=10.0  acc=0.7457</w:t>
        <w:br/>
        <w:t xml:space="preserve">  Round  50/100  ε=10.0  acc=0.7340</w:t>
        <w:br/>
        <w:t xml:space="preserve">  Round 100/100  ε=10.0  acc=0.7829</w:t>
        <w:br/>
        <w:t>ε = 25.0</w:t>
        <w:br/>
        <w:t xml:space="preserve">  Round   1/100  ε=25.0  acc=0.1088</w:t>
        <w:br/>
        <w:t xml:space="preserve">  Round  50/100  ε=25.0  acc=0.9281</w:t>
        <w:br/>
        <w:t xml:space="preserve">  Round 100/100  ε=25.0  acc=0.9418</w:t>
        <w:br/>
        <w:t>ε = 50.0</w:t>
        <w:br/>
        <w:t xml:space="preserve">  Round 100/100  ε=50.0  acc=0.9687</w:t>
        <w:br/>
        <w:t>ε = 75.0</w:t>
        <w:br/>
        <w:t xml:space="preserve">  Round 100/100  ε=75.0  acc=0.9757</w:t>
        <w:br/>
        <w:t>ε = 100.0</w:t>
        <w:br/>
        <w:t xml:space="preserve">  Round 100/100  ε=100.0  acc=0.9778</w:t>
        <w:br/>
        <w:t>ε = inf</w:t>
        <w:br/>
        <w:t xml:space="preserve">  Round 100/100  ε=inf  acc=0.9799</w:t>
        <w:br/>
        <w:t>Saved: results/laplace_accuracy.png</w:t>
        <w:br/>
        <w:br/>
        <w:t>=== Gaussian Mechanism ===</w:t>
        <w:br/>
        <w:br/>
        <w:t>ε = 1.0</w:t>
        <w:br/>
        <w:t xml:space="preserve">  Round 100/100  ε=1.0  acc=0.0980</w:t>
        <w:br/>
        <w:t>ε = 5.0</w:t>
        <w:br/>
        <w:t xml:space="preserve">  Round 100/100  ε=5.0  acc=0.0980</w:t>
        <w:br/>
        <w:t>ε = 10.0</w:t>
        <w:br/>
        <w:t xml:space="preserve">  Round 100/100  ε=10.0  acc=0.0980</w:t>
        <w:br/>
        <w:t>ε = 20.0</w:t>
        <w:br/>
        <w:t xml:space="preserve">  Round 100/100  ε=20.0  acc=0.0975</w:t>
        <w:br/>
        <w:t>ε = 30.0</w:t>
        <w:br/>
        <w:t xml:space="preserve">  Round  50/100  ε=30.0  acc=0.5960</w:t>
        <w:br/>
        <w:t xml:space="preserve">  Round 100/100  ε=30.0  acc=0.4340</w:t>
        <w:br/>
        <w:t>ε = inf</w:t>
        <w:br/>
        <w:t xml:space="preserve">  Round 100/100  ε=inf  acc=0.9797</w:t>
        <w:br/>
        <w:t>Saved: results/gaussian_accuracy.png</w:t>
        <w:br/>
        <w:br/>
        <w:t>=== Final Accuracy (Round 100) ===</w:t>
        <w:br/>
        <w:t xml:space="preserve">         ε     Laplace    Gaussian</w:t>
        <w:br/>
        <w:t xml:space="preserve">      10.0      78.29%    1.0     9.80%</w:t>
        <w:br/>
        <w:t xml:space="preserve">      25.0      94.18%    5.0     9.80%</w:t>
        <w:br/>
        <w:t xml:space="preserve">      50.0      96.87%   10.0     9.80%</w:t>
        <w:br/>
        <w:t xml:space="preserve">      75.0      97.57%   20.0     9.75%</w:t>
        <w:br/>
        <w:t xml:space="preserve">     100.0      97.78%   30.0    43.40%</w:t>
        <w:br/>
        <w:t xml:space="preserve">       inf      97.99%    inf    97.97%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五、不同总体隐私预算对联邦学习性能的影响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5.1 拉普拉斯机制实验结果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图1展示了在不同总体隐私预算（ε_total = 100 × ε/轮）下，拉普拉斯机制对联邦学习测试准确率的影响。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lace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图1  拉普拉斯机制：不同总体隐私预算下100轮联邦学习的测试准确率曲线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从图中可以看到几个比较明显的规律。首先，无噪声基线（ε_total=+∞）100轮后准确率达到97.99%，收敛相对平稳。加入拉普拉斯噪声后，ε_total=1000（每轮 ε=10）时性能下降最为明显，100轮后准确率仅78.3%，且收敛过程存在明显波动，说明较大的噪声对梯度聚合干扰很大。随着 ε_total增大，曲线逐渐向基线靠拢：ε_total=2500时约94.2%，ε_total=5000时约96.9%，ε_total≥7500时与基线差距已在0.5% 以内。这说明拉普拉斯机制在 ε_total≥5000（每轮 ε≥50）时，对模型性能的影响已较为有限，能在一定程度上实现隐私保护与精度的平衡。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值得注意的是，各曲线在前20轮的收敛速度差异较大。ε_total=1000的情况下，模型在20轮时才勉强超过74%，而 ε_total≥5000的配置在10轮内就已接近最终精度的90%。这提示在实际部署中，如果对收敛速度有要求，需要适当放宽隐私约束。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5.2 高斯机制实验结果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高斯机制的实验结果如图2所示，其表现与拉普拉斯机制有明显差异。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图2  高斯机制：不同总体隐私预算下100轮联邦学习的测试准确率曲线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实验结果出乎意料地严苛。当 ε_total≤2000（每轮 ε≤20）时，模型100轮后准确率始终徘徊在9.8% 左右，与随机猜测无异。具体来看，当每轮 ε=10时，高斯噪声标准差 σ≈0.48，已经足以完全掩盖客户端的梯度更新，梯度信号完全被淹没，模型根本无法学习。ε_total=3000（每轮 ε=30，σ≈0.16）时模型开始出现学习迹象，但准确率在40%～70% 之间大幅波动，最终停在43.4%，仍然很不稳定。只有完全不加噪声（ε=+∞）时，模型才能正常收敛到97.97%。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造成这一现象的根本原因在于，高斯机制在相同每轮 ε 下的噪声规模远大于拉普拉斯机制。以每轮 ε=10为例：拉普拉斯机制的噪声尺度b=0.1，而高斯机制的标准差 σ≈0.48，后者约是前者的5倍。在本实验的参数配置下（梯度裁剪范数C=1.0，批大小64），客户端梯度更新幅度较小，无法对抗如此量级的高斯扰动。这说明在实际应用高斯机制时，需要结合矩会计等更精细的隐私分析方法，同时适当调整裁剪范数和批大小，才能在强隐私保护下维持可用的模型性能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六、GRNN 梯度攻击复现与差分隐私防护效果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6.1 攻击原理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GRNN（Gradient Inversion Attack）源自Zhu et al. 2019年发表于NeurIPS的论文《Deep Leakage from Gradients》（DLG）。其核心思想是：在联邦学习中，攻击者（通常是恶意的服务器端）能够拿到客户端上传的梯度，而该梯度由真实数据(x_r, y_r)产生。攻击者通过最小化以下目标函数，从梯度反推出原始训练数据：</w:t>
      </w:r>
    </w:p>
    <w:p>
      <w:pPr>
        <w:spacing w:before="80" w:after="80"/>
        <w:ind w:left="567" w:firstLine="0"/>
        <w:shd w:val="clear" w:color="auto" w:fill="EEEEEE"/>
      </w:pPr>
      <w:r>
        <w:rPr>
          <w:rFonts w:eastAsia="宋体" w:ascii="Courier New" w:hAnsi="Courier New"/>
          <w:sz w:val="18"/>
        </w:rPr>
        <w:t>目标函数：</w:t>
        <w:br/>
        <w:t xml:space="preserve">  min_{x_d, y_d}  Σ_l ||∇_w L(x_d,y_d;w)_l  −  ∇_w L(x_r,y_r;w)_l||²_F</w:t>
        <w:br/>
        <w:br/>
        <w:t>其中 x_d, y_d 是攻击者初始化的随机虚假输入，</w:t>
        <w:br/>
        <w:t>l 遍历所有网络层，w 为当前全局模型参数（攻击者已知）。</w:t>
        <w:br/>
        <w:t>通过对 x_d, y_d 做梯度下降，使虚假梯度逼近真实梯度，</w:t>
        <w:br/>
        <w:t>最终 x_d 收敛到接近原始图像的结果。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本实验使用两层全连接网络（784→128→ReLU→10，参数量约10万）复现攻击，优化器为Adam（lr=0.1），迭代100步，配合torch.autograd.grad实现二阶梯度计算。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6.2 无差分隐私保护时的攻击效果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在完全不加任何差分隐私噪声的情况下（ε_total=+∞），攻击者可以从上传的梯度中几乎完美地重建原始训练图像。图3和图4分别展示了对数字8和数字3的重建过程。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870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nn_no_d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图3  GRNN攻击重建过程（label=8，ε_total=+∞，无DP保护）</w:t>
        <w:br/>
        <w:t>最左为原始图像，其余依次为迭代5、10、20、40、60、80、100步的重建结果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870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nn_no_dp_label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图4  GRNN攻击重建过程（label=3，ε_total=+∞，无DP保护）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重建过程可以看出，随机初始化的虚假图像在迭代20步左右便开始显现出数字的轮廓，到80～100步时已与原始图像高度相似，能够清晰辨认出数字类别。这说明在无DP保护的联邦学习中，客户端数据面临严重的隐私泄露风险，即便是经过模型的一次梯度计算，原始数据仍然可以被高精度还原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6.3 差分隐私对抗 GRNN 攻击的防护效果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为验证差分隐私的防护效果，对同一张数字8的图像施加不同强度的高斯机制噪声后，再执行GRNN攻击，对比重建质量。图5展示了在不同总体隐私预算下的攻击结果：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130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nn_dp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3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图5  差分隐私对GRNN攻击的防护效果对比（高斯机制，不同ε_total）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防护效果的定量分析通过重建MSE（均方误差）衡量，MSE越大说明重建失真越严重，即攻击越不成功。实验测量结果如下表所示：</w:t>
      </w:r>
    </w:p>
    <w:tbl>
      <w:tblPr>
        <w:tblStyle w:val="TableGrid"/>
        <w:tblW w:type="auto" w:w="0"/>
        <w:jc w:val="center"/>
        <w:tblLook w:firstRow="0" w:lastRow="0" w:firstColumn="0" w:lastColumn="0" w:noHBand="1" w:noVBand="1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隐私配置（高斯）</w:t>
            </w:r>
          </w:p>
        </w:tc>
        <w:tc>
          <w:tcPr>
            <w:tcW w:type="dxa" w:w="1134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每轮 ε</w:t>
            </w:r>
          </w:p>
        </w:tc>
        <w:tc>
          <w:tcPr>
            <w:tcW w:type="dxa" w:w="1701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总体 ε_total</w:t>
            </w:r>
          </w:p>
        </w:tc>
        <w:tc>
          <w:tcPr>
            <w:tcW w:type="dxa" w:w="2551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重建质量</w:t>
            </w:r>
          </w:p>
        </w:tc>
        <w:tc>
          <w:tcPr>
            <w:tcW w:type="dxa" w:w="1417"/>
            <w:shd w:val="clear" w:color="auto" w:fill="auto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重建 MSE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无保护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+∞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+∞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清晰可辨，攻击成功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0.0033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弱保护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3000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轮廓轻微模糊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0.0172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中等保护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基本不可辨认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0.3206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较强保护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近似随机噪声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0.3184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强保护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完全随机，攻击失效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0.4014</w:t>
            </w:r>
          </w:p>
        </w:tc>
      </w:tr>
    </w:tbl>
    <w:p/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从图5和上表可以得出以下结论：无DP保护时（ε_total=+∞），重建MSE仅0.0033，攻击效果极佳；当总体预算降至 ε_total=3000时，MSE上升到0.017，已能看出噪声影响；ε_total≤1000时，MSE突增至0.32～0.40，重建图像与原始图像几乎没有视觉相似性，攻击宣告失败。这说明差分隐私在 ε_total≤1000的强度下能够有效阻断GRNN梯度攻击，保护客户端数据隐私。当然，这也对应着前面联邦学习实验中模型精度的显著损失，再次体现了隐私与效用之间的基本矛盾。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七、总结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本实验完整实现了基于差分隐私的联邦学习系统，并通过GRNN梯度攻击的复现直观验证了差分隐私的实际保护效果，主要得出以下几点认识：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第一，精度-隐私权衡是差分隐私联邦学习的核心矛盾。隐私预算越小，噪声越大，模型精度越低。拉普拉斯机制在 ε_total=5000（每轮 ε=50）时仍能维持约97% 的精度，隐私-效用权衡相对合理；高斯机制在本实验配置下对小 ε 极为敏感，ε_total≤2000时模型完全失效，需要结合更精细的隐私分析方法才能实用。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第二，简单组合定理给出的是隐私损耗的上界，实际损耗往往更小。100轮训练后总体隐私预算按简单组合定理为100×ε，实践中使用矩会计可将这一上界收紧数倍，从而在相同轮数下维持更强的隐私保证。</w:t>
      </w:r>
    </w:p>
    <w:p>
      <w:pPr>
        <w:spacing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第三，GRNN攻击实验直观展示了梯度中包含的隐私信息之丰富。在无DP保护下，仅凭一次梯度上传，攻击者便能以极低误差重建原始训练图像。差分隐私有效阻断了这一攻击路径，在 ε_total≤1000时重建MSE提升100倍以上，彻底使攻击失效，验证了差分隐私作为梯度保护手段的有效性。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