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实验5 密码分享实验报告</w:t>
      </w:r>
    </w:p>
    <w:p>
      <w:pPr>
        <w:jc w:val="center"/>
      </w:pPr>
      <w:r>
        <w:t>课程: 密码分享与安全多方计算</w:t>
        <w:br/>
      </w:r>
      <w:r>
        <w:t>姓名: __________   学号: __________   日期: 2026-05-17</w:t>
      </w:r>
    </w:p>
    <w:p>
      <w:pPr>
        <w:pStyle w:val="Heading1"/>
        <w:jc w:val="left"/>
      </w:pPr>
      <w:r>
        <w:t>1. 实验目标</w:t>
      </w:r>
    </w:p>
    <w:p>
      <w:r>
        <w:t>1) 了解秘密分享算法的工作流程。</w:t>
      </w:r>
    </w:p>
    <w:p>
      <w:r>
        <w:t>2) 掌握秘密分享算法的基本原理，并完成基于秘密分享的函数计算。</w:t>
      </w:r>
    </w:p>
    <w:p>
      <w:pPr>
        <w:pStyle w:val="Heading1"/>
        <w:jc w:val="left"/>
      </w:pPr>
      <w:r>
        <w:t>2. 实验环境</w:t>
      </w:r>
    </w:p>
    <w:p>
      <w:r>
        <w:t>Python 3 + numpy + python-docx + Pillow</w:t>
      </w:r>
    </w:p>
    <w:p>
      <w:r>
        <w:t>实验输入来自附件 实验5 密码分享.zip 中的 Test.py 和实验说明文档。</w:t>
      </w:r>
    </w:p>
    <w:p>
      <w:pPr>
        <w:pStyle w:val="Heading1"/>
        <w:jc w:val="left"/>
      </w:pPr>
      <w:r>
        <w:t>3. 实验方法</w:t>
      </w:r>
    </w:p>
    <w:p>
      <w:r>
        <w:t>本实验采用附件中的 BeDoZa 风格秘密分享协议，实现 4 比特输入的函数计算。</w:t>
      </w:r>
    </w:p>
    <w:p>
      <w:r>
        <w:t>输入 a 和 x 都按 2 比特一组解释，分别表示 a1、a2、x1、x2，目标函数为：</w:t>
      </w:r>
    </w:p>
    <w:p>
      <w:r>
        <w:t>f(a, x) = 1, 当且仅当 a1 * x1 + a2 * x2 &gt;= 4；否则输出 0。</w:t>
      </w:r>
    </w:p>
    <w:p>
      <w:r>
        <w:t>为了便于复现，实验脚本固定随机种子，仅影响分片和 Beaver 三元组，不影响协议正确性。</w:t>
      </w:r>
    </w:p>
    <w:p>
      <w:pPr>
        <w:pStyle w:val="Heading1"/>
        <w:jc w:val="left"/>
      </w:pPr>
      <w:r>
        <w:t>4. 代表性运行结果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案例</w:t>
            </w:r>
          </w:p>
        </w:tc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x</w:t>
            </w:r>
          </w:p>
        </w:tc>
        <w:tc>
          <w:tcPr>
            <w:tcW w:type="dxa" w:w="1728"/>
          </w:tcPr>
          <w:p>
            <w:r>
              <w:t>期望值</w:t>
            </w:r>
          </w:p>
        </w:tc>
        <w:tc>
          <w:tcPr>
            <w:tcW w:type="dxa" w:w="1728"/>
          </w:tcPr>
          <w:p>
            <w:r>
              <w:t>协议输出</w:t>
            </w:r>
          </w:p>
        </w:tc>
      </w:tr>
      <w:tr>
        <w:tc>
          <w:tcPr>
            <w:tcW w:type="dxa" w:w="1728"/>
          </w:tcPr>
          <w:p>
            <w:r>
              <w:t>Case 1</w:t>
            </w:r>
          </w:p>
        </w:tc>
        <w:tc>
          <w:tcPr>
            <w:tcW w:type="dxa" w:w="1728"/>
          </w:tcPr>
          <w:p>
            <w:r>
              <w:t>[0, 1, 1, 1]</w:t>
            </w:r>
          </w:p>
        </w:tc>
        <w:tc>
          <w:tcPr>
            <w:tcW w:type="dxa" w:w="1728"/>
          </w:tcPr>
          <w:p>
            <w:r>
              <w:t>[0, 1, 0, 1]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Case 2</w:t>
            </w:r>
          </w:p>
        </w:tc>
        <w:tc>
          <w:tcPr>
            <w:tcW w:type="dxa" w:w="1728"/>
          </w:tcPr>
          <w:p>
            <w:r>
              <w:t>[0, 0, 0, 0]</w:t>
            </w:r>
          </w:p>
        </w:tc>
        <w:tc>
          <w:tcPr>
            <w:tcW w:type="dxa" w:w="1728"/>
          </w:tcPr>
          <w:p>
            <w:r>
              <w:t>[0, 0, 0, 0]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Case 3</w:t>
            </w:r>
          </w:p>
        </w:tc>
        <w:tc>
          <w:tcPr>
            <w:tcW w:type="dxa" w:w="1728"/>
          </w:tcPr>
          <w:p>
            <w:r>
              <w:t>[1, 1, 1, 1]</w:t>
            </w:r>
          </w:p>
        </w:tc>
        <w:tc>
          <w:tcPr>
            <w:tcW w:type="dxa" w:w="1728"/>
          </w:tcPr>
          <w:p>
            <w:r>
              <w:t>[1, 1, 1, 1]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</w:tbl>
    <w:p>
      <w:r>
        <w:t>三组代表性输入都与理论结果一致，且协议输出与明文函数一致。</w:t>
      </w:r>
    </w:p>
    <w:p>
      <w:pPr>
        <w:pStyle w:val="Heading1"/>
        <w:jc w:val="left"/>
      </w:pPr>
      <w:r>
        <w:t>5. 中间过程截图</w:t>
      </w:r>
    </w:p>
    <w:p>
      <w:r>
        <w:t>图1 展示 sample case 的输入共享、第一层第一个与门的 Beaver 三元组、d/e 中间量，以及最终重构结果。</w:t>
      </w:r>
    </w:p>
    <w:p>
      <w:r>
        <w:drawing>
          <wp:inline xmlns:a="http://schemas.openxmlformats.org/drawingml/2006/main" xmlns:pic="http://schemas.openxmlformats.org/drawingml/2006/picture">
            <wp:extent cx="6217920" cy="37074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case_tra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07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图1  sample case 的中间过程</w:t>
      </w:r>
    </w:p>
    <w:p>
      <w:r>
        <w:t>图2 展示若干代表性输入的输出对比。</w:t>
      </w:r>
    </w:p>
    <w:p>
      <w:r>
        <w:drawing>
          <wp:inline xmlns:a="http://schemas.openxmlformats.org/drawingml/2006/main" xmlns:pic="http://schemas.openxmlformats.org/drawingml/2006/picture">
            <wp:extent cx="6217920" cy="10920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e_summ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092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图2  代表性输入的输出对比</w:t>
      </w:r>
    </w:p>
    <w:p>
      <w:r>
        <w:t>图3 展示 256 组输入的穷举校验结果。</w:t>
      </w:r>
    </w:p>
    <w:p>
      <w:r>
        <w:drawing>
          <wp:inline xmlns:a="http://schemas.openxmlformats.org/drawingml/2006/main" xmlns:pic="http://schemas.openxmlformats.org/drawingml/2006/picture">
            <wp:extent cx="6217920" cy="8743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haustive_che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874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图3  穷举校验结果</w:t>
      </w:r>
    </w:p>
    <w:p>
      <w:pPr>
        <w:pStyle w:val="Heading1"/>
        <w:jc w:val="left"/>
      </w:pPr>
      <w:r>
        <w:t>6. 实验结论</w:t>
      </w:r>
    </w:p>
    <w:p>
      <w:r>
        <w:t>1) 协议能够正确输出目标函数结果。</w:t>
      </w:r>
    </w:p>
    <w:p>
      <w:r>
        <w:t>2) 对全部 256 组输入做穷举验证后，协议输出与理论函数完全一致。</w:t>
      </w:r>
    </w:p>
    <w:p>
      <w:r>
        <w:t>3) 第一层与门的中间量 d、e、Beaver 三元组和分片值都能对上明文计算。</w:t>
      </w:r>
    </w:p>
    <w:p>
      <w:pPr>
        <w:pStyle w:val="Heading1"/>
        <w:jc w:val="left"/>
      </w:pPr>
      <w:r>
        <w:t>附录：验证摘要</w:t>
      </w:r>
    </w:p>
    <w:p>
      <w:r>
        <w:t>Exhaustive check: 256/256 passed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