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4BF" w:rsidRPr="004104BF" w:rsidRDefault="004104BF" w:rsidP="00606127">
      <w:pPr>
        <w:spacing w:before="100" w:beforeAutospacing="1" w:after="100" w:afterAutospacing="1" w:line="240" w:lineRule="auto"/>
        <w:jc w:val="both"/>
        <w:outlineLvl w:val="1"/>
        <w:rPr>
          <w:rFonts w:ascii="Arial" w:eastAsia="Times New Roman" w:hAnsi="Arial" w:cs="Arial"/>
          <w:b/>
          <w:bCs/>
          <w:sz w:val="32"/>
          <w:szCs w:val="32"/>
          <w:lang w:eastAsia="pt-BR"/>
        </w:rPr>
      </w:pPr>
      <w:r w:rsidRPr="00606127">
        <w:rPr>
          <w:rFonts w:ascii="Arial" w:eastAsia="Times New Roman" w:hAnsi="Arial" w:cs="Arial"/>
          <w:b/>
          <w:bCs/>
          <w:sz w:val="32"/>
          <w:szCs w:val="32"/>
          <w:lang w:eastAsia="pt-BR"/>
        </w:rPr>
        <w:t>Introdução</w:t>
      </w:r>
    </w:p>
    <w:p w:rsidR="004104BF" w:rsidRPr="004104BF" w:rsidRDefault="004104BF" w:rsidP="00606127">
      <w:pPr>
        <w:spacing w:before="100" w:beforeAutospacing="1" w:after="100" w:afterAutospacing="1" w:line="240" w:lineRule="auto"/>
        <w:ind w:firstLine="708"/>
        <w:jc w:val="both"/>
        <w:rPr>
          <w:rFonts w:ascii="Arial" w:eastAsia="Times New Roman" w:hAnsi="Arial" w:cs="Arial"/>
          <w:lang w:eastAsia="pt-BR"/>
        </w:rPr>
      </w:pPr>
      <w:r w:rsidRPr="004104BF">
        <w:rPr>
          <w:rFonts w:ascii="Arial" w:eastAsia="Times New Roman" w:hAnsi="Arial" w:cs="Arial"/>
          <w:lang w:eastAsia="pt-BR"/>
        </w:rPr>
        <w:t xml:space="preserve">O presente estudo tem como objetivo prever os valores de arrecadação do </w:t>
      </w:r>
      <w:r w:rsidRPr="00606127">
        <w:rPr>
          <w:rFonts w:ascii="Arial" w:eastAsia="Times New Roman" w:hAnsi="Arial" w:cs="Arial"/>
          <w:bCs/>
          <w:lang w:eastAsia="pt-BR"/>
        </w:rPr>
        <w:t>Imposto Predial e Territorial Urbano (IPTU)</w:t>
      </w:r>
      <w:r w:rsidRPr="004104BF">
        <w:rPr>
          <w:rFonts w:ascii="Arial" w:eastAsia="Times New Roman" w:hAnsi="Arial" w:cs="Arial"/>
          <w:lang w:eastAsia="pt-BR"/>
        </w:rPr>
        <w:t xml:space="preserve"> </w:t>
      </w:r>
      <w:r w:rsidR="00606127">
        <w:rPr>
          <w:rFonts w:ascii="Arial" w:eastAsia="Times New Roman" w:hAnsi="Arial" w:cs="Arial"/>
          <w:lang w:eastAsia="pt-BR"/>
        </w:rPr>
        <w:t xml:space="preserve">da prefeitura de Cascavel </w:t>
      </w:r>
      <w:r w:rsidRPr="004104BF">
        <w:rPr>
          <w:rFonts w:ascii="Arial" w:eastAsia="Times New Roman" w:hAnsi="Arial" w:cs="Arial"/>
          <w:lang w:eastAsia="pt-BR"/>
        </w:rPr>
        <w:t xml:space="preserve">para o ano de 2025. Para essa previsão, foi utilizada uma análise de </w:t>
      </w:r>
      <w:r w:rsidRPr="00606127">
        <w:rPr>
          <w:rFonts w:ascii="Arial" w:eastAsia="Times New Roman" w:hAnsi="Arial" w:cs="Arial"/>
          <w:bCs/>
          <w:lang w:eastAsia="pt-BR"/>
        </w:rPr>
        <w:t>séries temporais</w:t>
      </w:r>
      <w:r w:rsidRPr="004104BF">
        <w:rPr>
          <w:rFonts w:ascii="Arial" w:eastAsia="Times New Roman" w:hAnsi="Arial" w:cs="Arial"/>
          <w:lang w:eastAsia="pt-BR"/>
        </w:rPr>
        <w:t xml:space="preserve">, considerando os valores arrecadados mensalmente no período de </w:t>
      </w:r>
      <w:r w:rsidRPr="00606127">
        <w:rPr>
          <w:rFonts w:ascii="Arial" w:eastAsia="Times New Roman" w:hAnsi="Arial" w:cs="Arial"/>
          <w:bCs/>
          <w:lang w:eastAsia="pt-BR"/>
        </w:rPr>
        <w:t>janeiro de 2020 a fevereiro de 2025</w:t>
      </w:r>
      <w:r w:rsidRPr="004104BF">
        <w:rPr>
          <w:rFonts w:ascii="Arial" w:eastAsia="Times New Roman" w:hAnsi="Arial" w:cs="Arial"/>
          <w:lang w:eastAsia="pt-BR"/>
        </w:rPr>
        <w:t>.</w:t>
      </w:r>
    </w:p>
    <w:p w:rsidR="004104BF" w:rsidRPr="004104BF" w:rsidRDefault="004104BF" w:rsidP="00606127">
      <w:pPr>
        <w:spacing w:before="100" w:beforeAutospacing="1" w:after="100" w:afterAutospacing="1" w:line="240" w:lineRule="auto"/>
        <w:ind w:firstLine="708"/>
        <w:jc w:val="both"/>
        <w:rPr>
          <w:rFonts w:ascii="Arial" w:eastAsia="Times New Roman" w:hAnsi="Arial" w:cs="Arial"/>
          <w:lang w:eastAsia="pt-BR"/>
        </w:rPr>
      </w:pPr>
      <w:r w:rsidRPr="004104BF">
        <w:rPr>
          <w:rFonts w:ascii="Arial" w:eastAsia="Times New Roman" w:hAnsi="Arial" w:cs="Arial"/>
          <w:lang w:eastAsia="pt-BR"/>
        </w:rPr>
        <w:t xml:space="preserve">A fim de garantir a comparabilidade dos dados ao longo do tempo, os valores arrecadados em cada ano foram </w:t>
      </w:r>
      <w:r w:rsidRPr="00606127">
        <w:rPr>
          <w:rFonts w:ascii="Arial" w:eastAsia="Times New Roman" w:hAnsi="Arial" w:cs="Arial"/>
          <w:bCs/>
          <w:lang w:eastAsia="pt-BR"/>
        </w:rPr>
        <w:t>corrigidos de acordo com a Unidade Fiscal do Município (UFM)</w:t>
      </w:r>
      <w:r w:rsidRPr="004104BF">
        <w:rPr>
          <w:rFonts w:ascii="Arial" w:eastAsia="Times New Roman" w:hAnsi="Arial" w:cs="Arial"/>
          <w:lang w:eastAsia="pt-BR"/>
        </w:rPr>
        <w:t>. A escolha desse indexador se justifica pelo fato de que a prefeitura também utiliza a UFM para calcular os ajustes anuais do IPTU, garantindo, assim, maior precisão na projeção dos valores futuros.</w:t>
      </w:r>
    </w:p>
    <w:p w:rsidR="004104BF" w:rsidRPr="004104BF" w:rsidRDefault="00606127" w:rsidP="00606127">
      <w:pPr>
        <w:spacing w:before="100" w:beforeAutospacing="1" w:after="100" w:afterAutospacing="1" w:line="240" w:lineRule="auto"/>
        <w:ind w:firstLine="708"/>
        <w:jc w:val="both"/>
        <w:rPr>
          <w:rFonts w:ascii="Arial" w:eastAsia="Times New Roman" w:hAnsi="Arial" w:cs="Arial"/>
          <w:lang w:eastAsia="pt-BR"/>
        </w:rPr>
      </w:pPr>
      <w:r>
        <w:rPr>
          <w:rFonts w:ascii="Arial" w:eastAsia="Times New Roman" w:hAnsi="Arial" w:cs="Arial"/>
          <w:lang w:eastAsia="pt-BR"/>
        </w:rPr>
        <w:t>Na sequencia será detalhada a analise descritiva dos dados, o método utilizado</w:t>
      </w:r>
      <w:r w:rsidR="004104BF" w:rsidRPr="004104BF">
        <w:rPr>
          <w:rFonts w:ascii="Arial" w:eastAsia="Times New Roman" w:hAnsi="Arial" w:cs="Arial"/>
          <w:lang w:eastAsia="pt-BR"/>
        </w:rPr>
        <w:t xml:space="preserve"> para a modelagem da série temporal, </w:t>
      </w:r>
      <w:r>
        <w:rPr>
          <w:rFonts w:ascii="Arial" w:eastAsia="Times New Roman" w:hAnsi="Arial" w:cs="Arial"/>
          <w:lang w:eastAsia="pt-BR"/>
        </w:rPr>
        <w:t xml:space="preserve">os parâmetros utilizados para esse modelo </w:t>
      </w:r>
      <w:r w:rsidR="004104BF" w:rsidRPr="004104BF">
        <w:rPr>
          <w:rFonts w:ascii="Arial" w:eastAsia="Times New Roman" w:hAnsi="Arial" w:cs="Arial"/>
          <w:lang w:eastAsia="pt-BR"/>
        </w:rPr>
        <w:t>e a análise dos resultados obtidos.</w:t>
      </w:r>
    </w:p>
    <w:p w:rsidR="004104BF" w:rsidRPr="00606127" w:rsidRDefault="004104BF" w:rsidP="00606127">
      <w:pPr>
        <w:pStyle w:val="Ttulo2"/>
        <w:jc w:val="both"/>
        <w:rPr>
          <w:rFonts w:ascii="Arial" w:hAnsi="Arial" w:cs="Arial"/>
          <w:sz w:val="32"/>
          <w:szCs w:val="32"/>
        </w:rPr>
      </w:pPr>
      <w:r w:rsidRPr="00606127">
        <w:rPr>
          <w:sz w:val="32"/>
          <w:szCs w:val="32"/>
        </w:rPr>
        <w:t>Análise Descritiva dos Dados</w:t>
      </w:r>
    </w:p>
    <w:p w:rsidR="004104BF" w:rsidRPr="00606127" w:rsidRDefault="004104BF" w:rsidP="00606127">
      <w:pPr>
        <w:pStyle w:val="NormalWeb"/>
        <w:ind w:firstLine="708"/>
        <w:jc w:val="both"/>
        <w:rPr>
          <w:rFonts w:ascii="Arial" w:hAnsi="Arial" w:cs="Arial"/>
          <w:sz w:val="22"/>
          <w:szCs w:val="22"/>
        </w:rPr>
      </w:pPr>
      <w:r w:rsidRPr="00606127">
        <w:rPr>
          <w:rFonts w:ascii="Arial" w:hAnsi="Arial" w:cs="Arial"/>
          <w:sz w:val="22"/>
          <w:szCs w:val="22"/>
        </w:rPr>
        <w:t xml:space="preserve">Ao analisar o gráfico apresentado a seguir, é possível identificar alguns padrões na série temporal. Observa-se que, tradicionalmente, o </w:t>
      </w:r>
      <w:r w:rsidRPr="00606127">
        <w:rPr>
          <w:rStyle w:val="Forte"/>
          <w:rFonts w:ascii="Arial" w:hAnsi="Arial" w:cs="Arial"/>
          <w:b w:val="0"/>
          <w:sz w:val="22"/>
          <w:szCs w:val="22"/>
        </w:rPr>
        <w:t>pico de arrecadação ocorre no mês de abril</w:t>
      </w:r>
      <w:r w:rsidRPr="00606127">
        <w:rPr>
          <w:rFonts w:ascii="Arial" w:hAnsi="Arial" w:cs="Arial"/>
          <w:sz w:val="22"/>
          <w:szCs w:val="22"/>
        </w:rPr>
        <w:t>, período em que vence a cota única do IPTU. No entanto, há exceções a essa tendência ao longo dos anos.</w:t>
      </w:r>
    </w:p>
    <w:p w:rsidR="004104BF" w:rsidRPr="00606127" w:rsidRDefault="00964676" w:rsidP="00606127">
      <w:pPr>
        <w:pStyle w:val="NormalWeb"/>
        <w:jc w:val="both"/>
        <w:rPr>
          <w:rFonts w:ascii="Arial" w:hAnsi="Arial" w:cs="Arial"/>
          <w:sz w:val="22"/>
          <w:szCs w:val="22"/>
        </w:rPr>
      </w:pPr>
      <w:r>
        <w:rPr>
          <w:noProof/>
        </w:rPr>
        <w:drawing>
          <wp:inline distT="0" distB="0" distL="0" distR="0" wp14:anchorId="6CECBBED" wp14:editId="04D3C257">
            <wp:extent cx="5400040" cy="347354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00040" cy="3473549"/>
                    </a:xfrm>
                    <a:prstGeom prst="rect">
                      <a:avLst/>
                    </a:prstGeom>
                  </pic:spPr>
                </pic:pic>
              </a:graphicData>
            </a:graphic>
          </wp:inline>
        </w:drawing>
      </w:r>
    </w:p>
    <w:p w:rsidR="004104BF" w:rsidRPr="00606127" w:rsidRDefault="004104BF" w:rsidP="00606127">
      <w:pPr>
        <w:pStyle w:val="NormalWeb"/>
        <w:ind w:firstLine="708"/>
        <w:jc w:val="both"/>
        <w:rPr>
          <w:rFonts w:ascii="Arial" w:hAnsi="Arial" w:cs="Arial"/>
          <w:sz w:val="22"/>
          <w:szCs w:val="22"/>
        </w:rPr>
      </w:pPr>
      <w:r w:rsidRPr="00606127">
        <w:rPr>
          <w:rFonts w:ascii="Arial" w:hAnsi="Arial" w:cs="Arial"/>
          <w:sz w:val="22"/>
          <w:szCs w:val="22"/>
        </w:rPr>
        <w:t xml:space="preserve">Uma dessas exceções ocorreu em </w:t>
      </w:r>
      <w:r w:rsidRPr="00606127">
        <w:rPr>
          <w:rStyle w:val="Forte"/>
          <w:rFonts w:ascii="Arial" w:hAnsi="Arial" w:cs="Arial"/>
          <w:b w:val="0"/>
          <w:sz w:val="22"/>
          <w:szCs w:val="22"/>
        </w:rPr>
        <w:t>2023</w:t>
      </w:r>
      <w:r w:rsidRPr="00606127">
        <w:rPr>
          <w:rFonts w:ascii="Arial" w:hAnsi="Arial" w:cs="Arial"/>
          <w:sz w:val="22"/>
          <w:szCs w:val="22"/>
        </w:rPr>
        <w:t xml:space="preserve">, quando a prefeitura ofereceu um </w:t>
      </w:r>
      <w:r w:rsidRPr="00606127">
        <w:rPr>
          <w:rStyle w:val="Forte"/>
          <w:rFonts w:ascii="Arial" w:hAnsi="Arial" w:cs="Arial"/>
          <w:b w:val="0"/>
          <w:sz w:val="22"/>
          <w:szCs w:val="22"/>
        </w:rPr>
        <w:t>desconto maior para os contribuintes que optassem pelo pagamento da cota única no mês de janeiro</w:t>
      </w:r>
      <w:r w:rsidRPr="00606127">
        <w:rPr>
          <w:rFonts w:ascii="Arial" w:hAnsi="Arial" w:cs="Arial"/>
          <w:sz w:val="22"/>
          <w:szCs w:val="22"/>
        </w:rPr>
        <w:t>. Como consequência, houve um deslocamento do pico de arrecadação para o início do ano, resultando em um valor menor arrecadado no mês de abril em comparação com os anos anteriores.</w:t>
      </w:r>
    </w:p>
    <w:p w:rsidR="004104BF" w:rsidRPr="00606127" w:rsidRDefault="004104BF" w:rsidP="00606127">
      <w:pPr>
        <w:pStyle w:val="NormalWeb"/>
        <w:ind w:firstLine="708"/>
        <w:jc w:val="both"/>
        <w:rPr>
          <w:rFonts w:ascii="Arial" w:hAnsi="Arial" w:cs="Arial"/>
          <w:sz w:val="22"/>
          <w:szCs w:val="22"/>
        </w:rPr>
      </w:pPr>
      <w:r w:rsidRPr="00606127">
        <w:rPr>
          <w:rFonts w:ascii="Arial" w:hAnsi="Arial" w:cs="Arial"/>
          <w:sz w:val="22"/>
          <w:szCs w:val="22"/>
        </w:rPr>
        <w:lastRenderedPageBreak/>
        <w:t xml:space="preserve">Outra particularidade foi observada em </w:t>
      </w:r>
      <w:r w:rsidRPr="00606127">
        <w:rPr>
          <w:rStyle w:val="Forte"/>
          <w:rFonts w:ascii="Arial" w:hAnsi="Arial" w:cs="Arial"/>
          <w:b w:val="0"/>
          <w:sz w:val="22"/>
          <w:szCs w:val="22"/>
        </w:rPr>
        <w:t>2020</w:t>
      </w:r>
      <w:r w:rsidRPr="00606127">
        <w:rPr>
          <w:rFonts w:ascii="Arial" w:hAnsi="Arial" w:cs="Arial"/>
          <w:sz w:val="22"/>
          <w:szCs w:val="22"/>
        </w:rPr>
        <w:t xml:space="preserve">, quando, devido às medidas adotadas durante a pandemia, a prefeitura </w:t>
      </w:r>
      <w:r w:rsidRPr="00606127">
        <w:rPr>
          <w:rStyle w:val="Forte"/>
          <w:rFonts w:ascii="Arial" w:hAnsi="Arial" w:cs="Arial"/>
          <w:b w:val="0"/>
          <w:sz w:val="22"/>
          <w:szCs w:val="22"/>
        </w:rPr>
        <w:t>prorrogou o vencimento da cota única para o mês de maio</w:t>
      </w:r>
      <w:r w:rsidRPr="00606127">
        <w:rPr>
          <w:rFonts w:ascii="Arial" w:hAnsi="Arial" w:cs="Arial"/>
          <w:sz w:val="22"/>
          <w:szCs w:val="22"/>
        </w:rPr>
        <w:t>. Essa mudança fez com que a arrecadação que normalmente ocorre em abril fosse distribuída entre abril e maio, alterando o padrão usual da série.</w:t>
      </w:r>
    </w:p>
    <w:p w:rsidR="008F03D2" w:rsidRPr="00606127" w:rsidRDefault="004104BF" w:rsidP="00606127">
      <w:pPr>
        <w:pStyle w:val="NormalWeb"/>
        <w:ind w:firstLine="708"/>
        <w:jc w:val="both"/>
        <w:rPr>
          <w:rFonts w:ascii="Arial" w:hAnsi="Arial" w:cs="Arial"/>
          <w:sz w:val="22"/>
          <w:szCs w:val="22"/>
        </w:rPr>
      </w:pPr>
      <w:r w:rsidRPr="00606127">
        <w:rPr>
          <w:rFonts w:ascii="Arial" w:hAnsi="Arial" w:cs="Arial"/>
          <w:sz w:val="22"/>
          <w:szCs w:val="22"/>
        </w:rPr>
        <w:t xml:space="preserve">Além disso, outro comportamento que sofreu alteração ao longo do período analisado diz respeito aos </w:t>
      </w:r>
      <w:r w:rsidRPr="00606127">
        <w:rPr>
          <w:rStyle w:val="Forte"/>
          <w:rFonts w:ascii="Arial" w:hAnsi="Arial" w:cs="Arial"/>
          <w:b w:val="0"/>
          <w:sz w:val="22"/>
          <w:szCs w:val="22"/>
        </w:rPr>
        <w:t>dois primeiros meses de cada ano</w:t>
      </w:r>
      <w:r w:rsidRPr="00606127">
        <w:rPr>
          <w:rFonts w:ascii="Arial" w:hAnsi="Arial" w:cs="Arial"/>
          <w:sz w:val="22"/>
          <w:szCs w:val="22"/>
        </w:rPr>
        <w:t xml:space="preserve">. Nos três primeiros anos da série, observa-se que a arrecadação nesses meses era </w:t>
      </w:r>
      <w:r w:rsidRPr="00606127">
        <w:rPr>
          <w:rStyle w:val="Forte"/>
          <w:rFonts w:ascii="Arial" w:hAnsi="Arial" w:cs="Arial"/>
          <w:b w:val="0"/>
          <w:sz w:val="22"/>
          <w:szCs w:val="22"/>
        </w:rPr>
        <w:t>próxima de zero</w:t>
      </w:r>
      <w:r w:rsidRPr="00606127">
        <w:rPr>
          <w:rFonts w:ascii="Arial" w:hAnsi="Arial" w:cs="Arial"/>
          <w:sz w:val="22"/>
          <w:szCs w:val="22"/>
        </w:rPr>
        <w:t xml:space="preserve">, o que pode ser explicado pelo fato de que, até então, o IPTU só era disponibilizado no portal do município a partir de março. A partir de </w:t>
      </w:r>
      <w:r w:rsidRPr="00606127">
        <w:rPr>
          <w:rStyle w:val="Forte"/>
          <w:rFonts w:ascii="Arial" w:hAnsi="Arial" w:cs="Arial"/>
          <w:b w:val="0"/>
          <w:sz w:val="22"/>
          <w:szCs w:val="22"/>
        </w:rPr>
        <w:t>2023</w:t>
      </w:r>
      <w:r w:rsidRPr="00606127">
        <w:rPr>
          <w:rFonts w:ascii="Arial" w:hAnsi="Arial" w:cs="Arial"/>
          <w:sz w:val="22"/>
          <w:szCs w:val="22"/>
        </w:rPr>
        <w:t xml:space="preserve">, essa dinâmica mudou, com a liberação do imposto no portal já </w:t>
      </w:r>
      <w:r w:rsidRPr="00606127">
        <w:rPr>
          <w:rStyle w:val="Forte"/>
          <w:rFonts w:ascii="Arial" w:hAnsi="Arial" w:cs="Arial"/>
          <w:b w:val="0"/>
          <w:sz w:val="22"/>
          <w:szCs w:val="22"/>
        </w:rPr>
        <w:t>em meados de janeiro</w:t>
      </w:r>
      <w:r w:rsidRPr="00606127">
        <w:rPr>
          <w:rFonts w:ascii="Arial" w:hAnsi="Arial" w:cs="Arial"/>
          <w:sz w:val="22"/>
          <w:szCs w:val="22"/>
        </w:rPr>
        <w:t>, possibilitando pagamentos antecipados e refletindo um aumento na arrecadação desses meses.</w:t>
      </w:r>
    </w:p>
    <w:p w:rsidR="004104BF" w:rsidRPr="00606127" w:rsidRDefault="004104BF" w:rsidP="00606127">
      <w:pPr>
        <w:pStyle w:val="NormalWeb"/>
        <w:ind w:firstLine="708"/>
        <w:jc w:val="both"/>
        <w:rPr>
          <w:rFonts w:ascii="Arial" w:hAnsi="Arial" w:cs="Arial"/>
          <w:sz w:val="22"/>
          <w:szCs w:val="22"/>
        </w:rPr>
      </w:pPr>
      <w:r w:rsidRPr="00606127">
        <w:rPr>
          <w:rFonts w:ascii="Arial" w:hAnsi="Arial" w:cs="Arial"/>
          <w:sz w:val="22"/>
          <w:szCs w:val="22"/>
        </w:rPr>
        <w:t xml:space="preserve">Além do gráfico de linhas, foi gerado um </w:t>
      </w:r>
      <w:proofErr w:type="spellStart"/>
      <w:r w:rsidRPr="00606127">
        <w:rPr>
          <w:rStyle w:val="Forte"/>
          <w:rFonts w:ascii="Arial" w:hAnsi="Arial" w:cs="Arial"/>
          <w:b w:val="0"/>
          <w:sz w:val="22"/>
          <w:szCs w:val="22"/>
        </w:rPr>
        <w:t>boxplot</w:t>
      </w:r>
      <w:proofErr w:type="spellEnd"/>
      <w:r w:rsidRPr="00606127">
        <w:rPr>
          <w:rFonts w:ascii="Arial" w:hAnsi="Arial" w:cs="Arial"/>
          <w:sz w:val="22"/>
          <w:szCs w:val="22"/>
        </w:rPr>
        <w:t xml:space="preserve"> para evidenciar os pontos discrepantes mencionados anteriormente. A análise desse gráfico confirma a presença de dois valores atípicos: </w:t>
      </w:r>
      <w:r w:rsidRPr="00606127">
        <w:rPr>
          <w:rStyle w:val="Forte"/>
          <w:rFonts w:ascii="Arial" w:hAnsi="Arial" w:cs="Arial"/>
          <w:b w:val="0"/>
          <w:sz w:val="22"/>
          <w:szCs w:val="22"/>
        </w:rPr>
        <w:t>um aumento significativo em janeiro de 2023</w:t>
      </w:r>
      <w:r w:rsidRPr="00606127">
        <w:rPr>
          <w:rFonts w:ascii="Arial" w:hAnsi="Arial" w:cs="Arial"/>
          <w:sz w:val="22"/>
          <w:szCs w:val="22"/>
        </w:rPr>
        <w:t xml:space="preserve">, decorrente do desconto oferecido para pagamento antecipado, e </w:t>
      </w:r>
      <w:r w:rsidRPr="00606127">
        <w:rPr>
          <w:rStyle w:val="Forte"/>
          <w:rFonts w:ascii="Arial" w:hAnsi="Arial" w:cs="Arial"/>
          <w:b w:val="0"/>
          <w:sz w:val="22"/>
          <w:szCs w:val="22"/>
        </w:rPr>
        <w:t>um valor elevado em maio de 2020</w:t>
      </w:r>
      <w:r w:rsidRPr="00606127">
        <w:rPr>
          <w:rFonts w:ascii="Arial" w:hAnsi="Arial" w:cs="Arial"/>
          <w:sz w:val="22"/>
          <w:szCs w:val="22"/>
        </w:rPr>
        <w:t>, devido à prorrogação da cota única do IPTU para esse mês em função das medidas adotadas durante a pandemia.</w:t>
      </w:r>
    </w:p>
    <w:p w:rsidR="005F2B17" w:rsidRPr="00606127" w:rsidRDefault="00964676" w:rsidP="00606127">
      <w:pPr>
        <w:jc w:val="both"/>
        <w:rPr>
          <w:rFonts w:ascii="Arial" w:hAnsi="Arial" w:cs="Arial"/>
        </w:rPr>
      </w:pPr>
      <w:r>
        <w:rPr>
          <w:noProof/>
          <w:lang w:eastAsia="pt-BR"/>
        </w:rPr>
        <w:drawing>
          <wp:inline distT="0" distB="0" distL="0" distR="0" wp14:anchorId="191C904F" wp14:editId="56E8CE7D">
            <wp:extent cx="5400040" cy="4131077"/>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4131077"/>
                    </a:xfrm>
                    <a:prstGeom prst="rect">
                      <a:avLst/>
                    </a:prstGeom>
                  </pic:spPr>
                </pic:pic>
              </a:graphicData>
            </a:graphic>
          </wp:inline>
        </w:drawing>
      </w:r>
      <w:bookmarkStart w:id="0" w:name="_GoBack"/>
      <w:bookmarkEnd w:id="0"/>
    </w:p>
    <w:p w:rsidR="00606127" w:rsidRDefault="004104BF" w:rsidP="00606127">
      <w:pPr>
        <w:ind w:firstLine="708"/>
        <w:jc w:val="both"/>
        <w:rPr>
          <w:rFonts w:ascii="Arial" w:hAnsi="Arial" w:cs="Arial"/>
        </w:rPr>
      </w:pPr>
      <w:r w:rsidRPr="00606127">
        <w:rPr>
          <w:rFonts w:ascii="Arial" w:hAnsi="Arial" w:cs="Arial"/>
        </w:rPr>
        <w:t xml:space="preserve">Apesar dessas exceções, a análise dos gráficos individuais para cada ano revela um </w:t>
      </w:r>
      <w:r w:rsidRPr="00606127">
        <w:rPr>
          <w:rStyle w:val="Forte"/>
          <w:rFonts w:ascii="Arial" w:hAnsi="Arial" w:cs="Arial"/>
          <w:b w:val="0"/>
        </w:rPr>
        <w:t>padrão recorrente</w:t>
      </w:r>
      <w:r w:rsidRPr="00606127">
        <w:rPr>
          <w:rFonts w:ascii="Arial" w:hAnsi="Arial" w:cs="Arial"/>
        </w:rPr>
        <w:t xml:space="preserve"> na série temporal. Em geral, a arrecadação inicia o ano em patamares baixos, apresenta um </w:t>
      </w:r>
      <w:r w:rsidRPr="00606127">
        <w:rPr>
          <w:rStyle w:val="Forte"/>
          <w:rFonts w:ascii="Arial" w:hAnsi="Arial" w:cs="Arial"/>
          <w:b w:val="0"/>
        </w:rPr>
        <w:t>crescimento expressivo no mês de abril</w:t>
      </w:r>
      <w:r w:rsidRPr="00606127">
        <w:rPr>
          <w:rFonts w:ascii="Arial" w:hAnsi="Arial" w:cs="Arial"/>
        </w:rPr>
        <w:t>, quando tradicionalmente vence a cota única do IPTU, e retorna a um nível mais estável nos meses</w:t>
      </w:r>
      <w:r w:rsidR="00606127">
        <w:rPr>
          <w:rFonts w:ascii="Arial" w:hAnsi="Arial" w:cs="Arial"/>
        </w:rPr>
        <w:t xml:space="preserve"> seguintes.</w:t>
      </w:r>
    </w:p>
    <w:p w:rsidR="00472AE1" w:rsidRPr="00606127" w:rsidRDefault="005F2B17" w:rsidP="00606127">
      <w:pPr>
        <w:jc w:val="both"/>
        <w:rPr>
          <w:rFonts w:ascii="Arial" w:hAnsi="Arial" w:cs="Arial"/>
        </w:rPr>
      </w:pPr>
      <w:r w:rsidRPr="00606127">
        <w:rPr>
          <w:rFonts w:ascii="Arial" w:hAnsi="Arial" w:cs="Arial"/>
          <w:noProof/>
          <w:lang w:eastAsia="pt-BR"/>
        </w:rPr>
        <w:lastRenderedPageBreak/>
        <w:drawing>
          <wp:inline distT="0" distB="0" distL="0" distR="0" wp14:anchorId="6DD77D69" wp14:editId="7EF30C3E">
            <wp:extent cx="5400040" cy="2912649"/>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912649"/>
                    </a:xfrm>
                    <a:prstGeom prst="rect">
                      <a:avLst/>
                    </a:prstGeom>
                  </pic:spPr>
                </pic:pic>
              </a:graphicData>
            </a:graphic>
          </wp:inline>
        </w:drawing>
      </w:r>
    </w:p>
    <w:p w:rsidR="00172756" w:rsidRPr="00606127" w:rsidRDefault="004104BF" w:rsidP="00606127">
      <w:pPr>
        <w:ind w:firstLine="708"/>
        <w:jc w:val="both"/>
        <w:rPr>
          <w:rFonts w:ascii="Arial" w:hAnsi="Arial" w:cs="Arial"/>
        </w:rPr>
      </w:pPr>
      <w:r w:rsidRPr="00606127">
        <w:rPr>
          <w:rFonts w:ascii="Arial" w:hAnsi="Arial" w:cs="Arial"/>
        </w:rPr>
        <w:t xml:space="preserve">Esse comportamento reforça a </w:t>
      </w:r>
      <w:r w:rsidRPr="00606127">
        <w:rPr>
          <w:rStyle w:val="Forte"/>
          <w:rFonts w:ascii="Arial" w:hAnsi="Arial" w:cs="Arial"/>
          <w:b w:val="0"/>
        </w:rPr>
        <w:t>sazonalidade da série</w:t>
      </w:r>
      <w:r w:rsidRPr="00606127">
        <w:rPr>
          <w:rFonts w:ascii="Arial" w:hAnsi="Arial" w:cs="Arial"/>
        </w:rPr>
        <w:t xml:space="preserve">, uma vez que os anos seguem um padrão semelhante ao longo dos meses. Dessa forma, fica evidente que se trata de uma série </w:t>
      </w:r>
      <w:r w:rsidRPr="00606127">
        <w:rPr>
          <w:rStyle w:val="Forte"/>
          <w:rFonts w:ascii="Arial" w:hAnsi="Arial" w:cs="Arial"/>
          <w:b w:val="0"/>
        </w:rPr>
        <w:t>não estacionária</w:t>
      </w:r>
      <w:r w:rsidRPr="00606127">
        <w:rPr>
          <w:rFonts w:ascii="Arial" w:hAnsi="Arial" w:cs="Arial"/>
        </w:rPr>
        <w:t>, ou seja, sua distribuição estatística muda ao longo do tempo.</w:t>
      </w:r>
    </w:p>
    <w:p w:rsidR="00172756" w:rsidRPr="00606127" w:rsidRDefault="00172756" w:rsidP="00606127">
      <w:pPr>
        <w:ind w:firstLine="708"/>
        <w:jc w:val="both"/>
        <w:rPr>
          <w:rFonts w:ascii="Arial" w:hAnsi="Arial" w:cs="Arial"/>
        </w:rPr>
      </w:pPr>
      <w:r w:rsidRPr="00606127">
        <w:rPr>
          <w:rFonts w:ascii="Arial" w:hAnsi="Arial" w:cs="Arial"/>
        </w:rPr>
        <w:t xml:space="preserve">Para complementar a análise da sazonalidade da série, foi </w:t>
      </w:r>
      <w:proofErr w:type="gramStart"/>
      <w:r w:rsidRPr="00606127">
        <w:rPr>
          <w:rFonts w:ascii="Arial" w:hAnsi="Arial" w:cs="Arial"/>
        </w:rPr>
        <w:t>gerado</w:t>
      </w:r>
      <w:proofErr w:type="gramEnd"/>
      <w:r w:rsidRPr="00606127">
        <w:rPr>
          <w:rFonts w:ascii="Arial" w:hAnsi="Arial" w:cs="Arial"/>
        </w:rPr>
        <w:t xml:space="preserve"> um </w:t>
      </w:r>
      <w:r w:rsidRPr="00606127">
        <w:rPr>
          <w:rStyle w:val="Forte"/>
          <w:rFonts w:ascii="Arial" w:hAnsi="Arial" w:cs="Arial"/>
          <w:b w:val="0"/>
        </w:rPr>
        <w:t xml:space="preserve">gráfico de </w:t>
      </w:r>
      <w:proofErr w:type="spellStart"/>
      <w:r w:rsidRPr="00606127">
        <w:rPr>
          <w:rStyle w:val="Forte"/>
          <w:rFonts w:ascii="Arial" w:hAnsi="Arial" w:cs="Arial"/>
          <w:b w:val="0"/>
        </w:rPr>
        <w:t>autocorrelação</w:t>
      </w:r>
      <w:proofErr w:type="spellEnd"/>
      <w:r w:rsidRPr="00606127">
        <w:rPr>
          <w:rStyle w:val="Forte"/>
          <w:rFonts w:ascii="Arial" w:hAnsi="Arial" w:cs="Arial"/>
          <w:b w:val="0"/>
        </w:rPr>
        <w:t xml:space="preserve"> (ACF)</w:t>
      </w:r>
      <w:r w:rsidRPr="00606127">
        <w:rPr>
          <w:rFonts w:ascii="Arial" w:hAnsi="Arial" w:cs="Arial"/>
        </w:rPr>
        <w:t xml:space="preserve">. Esse gráfico mede a correlação entre a série e suas próprias defasagens ao longo do tempo, permitindo identificar padrões cíclicos. Observa-se que a correlação apresenta </w:t>
      </w:r>
      <w:r w:rsidRPr="00606127">
        <w:rPr>
          <w:rStyle w:val="Forte"/>
          <w:rFonts w:ascii="Arial" w:hAnsi="Arial" w:cs="Arial"/>
          <w:b w:val="0"/>
        </w:rPr>
        <w:t>picos significativos nos múltiplos de 12 meses</w:t>
      </w:r>
      <w:r w:rsidRPr="00606127">
        <w:rPr>
          <w:rFonts w:ascii="Arial" w:hAnsi="Arial" w:cs="Arial"/>
        </w:rPr>
        <w:t>, reforçando a hipótese de que a série segue um comportamento sazonal anual.</w:t>
      </w:r>
    </w:p>
    <w:p w:rsidR="00172756" w:rsidRPr="00606127" w:rsidRDefault="00172756" w:rsidP="00606127">
      <w:pPr>
        <w:jc w:val="both"/>
        <w:rPr>
          <w:rFonts w:ascii="Arial" w:hAnsi="Arial" w:cs="Arial"/>
        </w:rPr>
      </w:pPr>
      <w:r w:rsidRPr="00606127">
        <w:rPr>
          <w:rFonts w:ascii="Arial" w:hAnsi="Arial" w:cs="Arial"/>
          <w:noProof/>
          <w:lang w:eastAsia="pt-BR"/>
        </w:rPr>
        <w:drawing>
          <wp:inline distT="0" distB="0" distL="0" distR="0" wp14:anchorId="64B00D67" wp14:editId="50FF1729">
            <wp:extent cx="4305300" cy="32249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04794" cy="3224546"/>
                    </a:xfrm>
                    <a:prstGeom prst="rect">
                      <a:avLst/>
                    </a:prstGeom>
                  </pic:spPr>
                </pic:pic>
              </a:graphicData>
            </a:graphic>
          </wp:inline>
        </w:drawing>
      </w:r>
    </w:p>
    <w:p w:rsidR="00FA59A8" w:rsidRPr="00606127" w:rsidRDefault="00FA59A8" w:rsidP="00606127">
      <w:pPr>
        <w:ind w:firstLine="708"/>
        <w:jc w:val="both"/>
        <w:rPr>
          <w:rFonts w:ascii="Arial" w:hAnsi="Arial" w:cs="Arial"/>
        </w:rPr>
      </w:pPr>
      <w:r w:rsidRPr="00606127">
        <w:rPr>
          <w:rFonts w:ascii="Arial" w:hAnsi="Arial" w:cs="Arial"/>
        </w:rPr>
        <w:t>Para analisar a tendência da série temporal, foi realizada uma decomposição aditiva, gerando o gráfico abaixo:</w:t>
      </w:r>
    </w:p>
    <w:p w:rsidR="00FA59A8" w:rsidRPr="00606127" w:rsidRDefault="00FA59A8" w:rsidP="00606127">
      <w:pPr>
        <w:jc w:val="both"/>
        <w:rPr>
          <w:rFonts w:ascii="Arial" w:hAnsi="Arial" w:cs="Arial"/>
        </w:rPr>
      </w:pPr>
      <w:r w:rsidRPr="00606127">
        <w:rPr>
          <w:rFonts w:ascii="Arial" w:hAnsi="Arial" w:cs="Arial"/>
          <w:noProof/>
          <w:lang w:eastAsia="pt-BR"/>
        </w:rPr>
        <w:lastRenderedPageBreak/>
        <w:drawing>
          <wp:inline distT="0" distB="0" distL="0" distR="0" wp14:anchorId="65286B91" wp14:editId="5AB37430">
            <wp:extent cx="5400040" cy="353885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538855"/>
                    </a:xfrm>
                    <a:prstGeom prst="rect">
                      <a:avLst/>
                    </a:prstGeom>
                  </pic:spPr>
                </pic:pic>
              </a:graphicData>
            </a:graphic>
          </wp:inline>
        </w:drawing>
      </w:r>
    </w:p>
    <w:p w:rsidR="00FA59A8" w:rsidRPr="00606127" w:rsidRDefault="00FA59A8" w:rsidP="00606127">
      <w:pPr>
        <w:ind w:firstLine="708"/>
        <w:jc w:val="both"/>
        <w:rPr>
          <w:rFonts w:ascii="Arial" w:hAnsi="Arial" w:cs="Arial"/>
        </w:rPr>
      </w:pPr>
      <w:r w:rsidRPr="00606127">
        <w:rPr>
          <w:rFonts w:ascii="Arial" w:hAnsi="Arial" w:cs="Arial"/>
        </w:rPr>
        <w:t>A partir dessa análise, podemos observar, além da sazonalidade já mencionada anteriormente, uma leve tendência de crescimento no valor arrecadado ao longo do tempo. Essa tendência também pode ser verificada ao avaliar a soma do valor arrecadado em cada ano.</w:t>
      </w:r>
    </w:p>
    <w:p w:rsidR="00FA59A8" w:rsidRPr="00606127" w:rsidRDefault="00FA59A8" w:rsidP="00606127">
      <w:pPr>
        <w:jc w:val="both"/>
        <w:rPr>
          <w:rFonts w:ascii="Arial" w:hAnsi="Arial" w:cs="Arial"/>
        </w:rPr>
      </w:pPr>
      <w:r w:rsidRPr="00606127">
        <w:rPr>
          <w:rFonts w:ascii="Arial" w:hAnsi="Arial" w:cs="Arial"/>
          <w:noProof/>
          <w:lang w:eastAsia="pt-BR"/>
        </w:rPr>
        <w:drawing>
          <wp:inline distT="0" distB="0" distL="0" distR="0" wp14:anchorId="317D3F76" wp14:editId="2CF86C88">
            <wp:extent cx="3781425" cy="20288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81675" cy="2028959"/>
                    </a:xfrm>
                    <a:prstGeom prst="rect">
                      <a:avLst/>
                    </a:prstGeom>
                  </pic:spPr>
                </pic:pic>
              </a:graphicData>
            </a:graphic>
          </wp:inline>
        </w:drawing>
      </w:r>
    </w:p>
    <w:p w:rsidR="00FA59A8" w:rsidRPr="00606127" w:rsidRDefault="00606127" w:rsidP="00606127">
      <w:pPr>
        <w:jc w:val="both"/>
        <w:rPr>
          <w:rFonts w:ascii="Times New Roman" w:hAnsi="Times New Roman" w:cs="Times New Roman"/>
          <w:sz w:val="32"/>
          <w:szCs w:val="32"/>
          <w:lang w:eastAsia="pt-BR"/>
        </w:rPr>
      </w:pPr>
      <w:r>
        <w:rPr>
          <w:rFonts w:ascii="Times New Roman" w:hAnsi="Times New Roman" w:cs="Times New Roman"/>
          <w:sz w:val="32"/>
          <w:szCs w:val="32"/>
          <w:lang w:eastAsia="pt-BR"/>
        </w:rPr>
        <w:t>Aplicação do Modelo de predição</w:t>
      </w:r>
    </w:p>
    <w:p w:rsidR="004104BF" w:rsidRPr="00606127" w:rsidRDefault="004104BF" w:rsidP="00606127">
      <w:pPr>
        <w:ind w:firstLine="708"/>
        <w:jc w:val="both"/>
        <w:rPr>
          <w:rFonts w:ascii="Arial" w:hAnsi="Arial" w:cs="Arial"/>
        </w:rPr>
      </w:pPr>
      <w:r w:rsidRPr="00606127">
        <w:rPr>
          <w:rFonts w:ascii="Arial" w:hAnsi="Arial" w:cs="Arial"/>
        </w:rPr>
        <w:t xml:space="preserve">Diante disso, para modelagem e previsão, é necessário utilizar </w:t>
      </w:r>
      <w:r w:rsidRPr="00606127">
        <w:rPr>
          <w:rStyle w:val="Forte"/>
          <w:rFonts w:ascii="Arial" w:hAnsi="Arial" w:cs="Arial"/>
          <w:b w:val="0"/>
        </w:rPr>
        <w:t>modelos adequados para séries não estacionárias</w:t>
      </w:r>
      <w:r w:rsidRPr="00606127">
        <w:rPr>
          <w:rFonts w:ascii="Arial" w:hAnsi="Arial" w:cs="Arial"/>
        </w:rPr>
        <w:t xml:space="preserve"> ou aplicar </w:t>
      </w:r>
      <w:r w:rsidRPr="00606127">
        <w:rPr>
          <w:rStyle w:val="Forte"/>
          <w:rFonts w:ascii="Arial" w:hAnsi="Arial" w:cs="Arial"/>
          <w:b w:val="0"/>
        </w:rPr>
        <w:t>técnicas de decomposição</w:t>
      </w:r>
      <w:r w:rsidRPr="00606127">
        <w:rPr>
          <w:rFonts w:ascii="Arial" w:hAnsi="Arial" w:cs="Arial"/>
        </w:rPr>
        <w:t xml:space="preserve"> que tornem a série estacionária, permitindo uma análise mais precisa dos componentes de tendência e sazonalidade.</w:t>
      </w:r>
    </w:p>
    <w:p w:rsidR="00FA59A8" w:rsidRPr="00606127" w:rsidRDefault="00FA59A8" w:rsidP="00E963D1">
      <w:pPr>
        <w:ind w:firstLine="708"/>
        <w:jc w:val="both"/>
        <w:rPr>
          <w:rFonts w:ascii="Arial" w:hAnsi="Arial" w:cs="Arial"/>
        </w:rPr>
      </w:pPr>
      <w:r w:rsidRPr="00606127">
        <w:rPr>
          <w:rFonts w:ascii="Arial" w:hAnsi="Arial" w:cs="Arial"/>
        </w:rPr>
        <w:t xml:space="preserve">Optou-se por utilizar o SARIMAX, um modelo de predição eficaz para séries temporais não estacionárias que apresentam sazonalidade. O SARIMAX é uma extensão do ARIMA, que incorpora componentes sazonais para capturar padrões recorrentes ao longo do tempo. Esse modelo é representado por (p, d, q) × (P, D, Q, </w:t>
      </w:r>
      <w:r w:rsidRPr="00606127">
        <w:rPr>
          <w:rFonts w:ascii="Arial" w:hAnsi="Arial" w:cs="Arial"/>
        </w:rPr>
        <w:lastRenderedPageBreak/>
        <w:t xml:space="preserve">s), onde os primeiros três parâmetros (p, d, q) correspondem aos termos </w:t>
      </w:r>
      <w:proofErr w:type="spellStart"/>
      <w:proofErr w:type="gramStart"/>
      <w:r w:rsidRPr="00606127">
        <w:rPr>
          <w:rFonts w:ascii="Arial" w:hAnsi="Arial" w:cs="Arial"/>
        </w:rPr>
        <w:t>auto-regressivos</w:t>
      </w:r>
      <w:proofErr w:type="spellEnd"/>
      <w:proofErr w:type="gramEnd"/>
      <w:r w:rsidRPr="00606127">
        <w:rPr>
          <w:rFonts w:ascii="Arial" w:hAnsi="Arial" w:cs="Arial"/>
        </w:rPr>
        <w:t xml:space="preserve"> (AR), de médias móveis (MA) e de diferenciação (I), e os parâmetros sazonais (P, D, Q) capturam os padrões sazonais com o período de sazonalidade definido por 's'. No estudo em questão, a sazonalidade foi definida em 12 meses, refletindo a repetição anual dos padrões observados na arrecadação.</w:t>
      </w:r>
    </w:p>
    <w:p w:rsidR="00E963D1" w:rsidRDefault="00E963D1" w:rsidP="00E963D1">
      <w:pPr>
        <w:pStyle w:val="NormalWeb"/>
        <w:ind w:firstLine="708"/>
        <w:jc w:val="both"/>
        <w:rPr>
          <w:rFonts w:ascii="Arial" w:eastAsiaTheme="minorHAnsi" w:hAnsi="Arial" w:cs="Arial"/>
          <w:sz w:val="22"/>
          <w:szCs w:val="22"/>
          <w:lang w:eastAsia="en-US"/>
        </w:rPr>
      </w:pPr>
      <w:r>
        <w:rPr>
          <w:rFonts w:ascii="Arial" w:eastAsiaTheme="minorHAnsi" w:hAnsi="Arial" w:cs="Arial"/>
          <w:sz w:val="22"/>
          <w:szCs w:val="22"/>
          <w:lang w:eastAsia="en-US"/>
        </w:rPr>
        <w:t xml:space="preserve">Sendo que os parâmetros utilizados nesse estudo, foram os seguintes: </w:t>
      </w:r>
    </w:p>
    <w:p w:rsidR="000C1D6F" w:rsidRPr="00606127" w:rsidRDefault="00E963D1" w:rsidP="00E963D1">
      <w:pPr>
        <w:pStyle w:val="NormalWeb"/>
        <w:ind w:firstLine="708"/>
        <w:jc w:val="both"/>
        <w:rPr>
          <w:rFonts w:ascii="Arial" w:eastAsiaTheme="minorHAnsi" w:hAnsi="Arial" w:cs="Arial"/>
          <w:sz w:val="22"/>
          <w:szCs w:val="22"/>
          <w:lang w:eastAsia="en-US"/>
        </w:rPr>
      </w:pPr>
      <w:r>
        <w:rPr>
          <w:rFonts w:ascii="Arial" w:eastAsiaTheme="minorHAnsi" w:hAnsi="Arial" w:cs="Arial"/>
          <w:sz w:val="22"/>
          <w:szCs w:val="22"/>
          <w:lang w:eastAsia="en-US"/>
        </w:rPr>
        <w:t>P</w:t>
      </w:r>
      <w:r w:rsidR="000C1D6F" w:rsidRPr="00606127">
        <w:rPr>
          <w:rFonts w:ascii="Arial" w:eastAsiaTheme="minorHAnsi" w:hAnsi="Arial" w:cs="Arial"/>
          <w:sz w:val="22"/>
          <w:szCs w:val="22"/>
          <w:lang w:eastAsia="en-US"/>
        </w:rPr>
        <w:t>arâmetros ARIMA (p, d, q) igual a (1, 1, 1). A escolha de p = 1 foi para que o valor do período anterior tivesse uma relação significativa com o valor atual da série. O parâmetro d = 1 significa que foi aplicada uma única diferenciação para tornar a série estacionária, o que é comum quando há uma tendência de crescimento. Já o parâmetro q = 1 foi escolhido para que o erro de previsão de um período possa ser influenciado por um único período anterior.</w:t>
      </w:r>
    </w:p>
    <w:p w:rsidR="000C1D6F" w:rsidRPr="00606127" w:rsidRDefault="000C1D6F" w:rsidP="00E963D1">
      <w:pPr>
        <w:pStyle w:val="NormalWeb"/>
        <w:ind w:firstLine="708"/>
        <w:jc w:val="both"/>
        <w:rPr>
          <w:rFonts w:ascii="Arial" w:eastAsiaTheme="minorHAnsi" w:hAnsi="Arial" w:cs="Arial"/>
          <w:sz w:val="22"/>
          <w:szCs w:val="22"/>
          <w:lang w:eastAsia="en-US"/>
        </w:rPr>
      </w:pPr>
      <w:r w:rsidRPr="00606127">
        <w:rPr>
          <w:rFonts w:ascii="Arial" w:eastAsiaTheme="minorHAnsi" w:hAnsi="Arial" w:cs="Arial"/>
          <w:sz w:val="22"/>
          <w:szCs w:val="22"/>
          <w:lang w:eastAsia="en-US"/>
        </w:rPr>
        <w:t xml:space="preserve">Nos parâmetros de sazonalidade (P, D, Q, s), optou-se por utilizar (0, 1, 0, 12). O parâmetro P = 0 foi testado em valores de 0 a 4, sendo que o valor </w:t>
      </w:r>
      <w:proofErr w:type="gramStart"/>
      <w:r w:rsidRPr="00606127">
        <w:rPr>
          <w:rFonts w:ascii="Arial" w:eastAsiaTheme="minorHAnsi" w:hAnsi="Arial" w:cs="Arial"/>
          <w:sz w:val="22"/>
          <w:szCs w:val="22"/>
          <w:lang w:eastAsia="en-US"/>
        </w:rPr>
        <w:t>0</w:t>
      </w:r>
      <w:proofErr w:type="gramEnd"/>
      <w:r w:rsidRPr="00606127">
        <w:rPr>
          <w:rFonts w:ascii="Arial" w:eastAsiaTheme="minorHAnsi" w:hAnsi="Arial" w:cs="Arial"/>
          <w:sz w:val="22"/>
          <w:szCs w:val="22"/>
          <w:lang w:eastAsia="en-US"/>
        </w:rPr>
        <w:t xml:space="preserve"> apresentou maior similaridade com os padrões repetidos nos outros anos. O valor de D = 1 é usual quando há padrões sazonais, como uma tendência cíclica que precisa ser removida para estabilizar a série. O parâmetro Q = 0 também foi testado entre </w:t>
      </w:r>
      <w:proofErr w:type="gramStart"/>
      <w:r w:rsidRPr="00606127">
        <w:rPr>
          <w:rFonts w:ascii="Arial" w:eastAsiaTheme="minorHAnsi" w:hAnsi="Arial" w:cs="Arial"/>
          <w:sz w:val="22"/>
          <w:szCs w:val="22"/>
          <w:lang w:eastAsia="en-US"/>
        </w:rPr>
        <w:t>0</w:t>
      </w:r>
      <w:proofErr w:type="gramEnd"/>
      <w:r w:rsidRPr="00606127">
        <w:rPr>
          <w:rFonts w:ascii="Arial" w:eastAsiaTheme="minorHAnsi" w:hAnsi="Arial" w:cs="Arial"/>
          <w:sz w:val="22"/>
          <w:szCs w:val="22"/>
          <w:lang w:eastAsia="en-US"/>
        </w:rPr>
        <w:t xml:space="preserve"> e 4, e, da mesma forma que para P, o valor 0 apresentou maior semelhança com os outros anos. O valor s = 12 foi utilizado para refletir a sazonalidade de 12 meses, ou seja, </w:t>
      </w:r>
      <w:proofErr w:type="gramStart"/>
      <w:r w:rsidRPr="00606127">
        <w:rPr>
          <w:rFonts w:ascii="Arial" w:eastAsiaTheme="minorHAnsi" w:hAnsi="Arial" w:cs="Arial"/>
          <w:sz w:val="22"/>
          <w:szCs w:val="22"/>
          <w:lang w:eastAsia="en-US"/>
        </w:rPr>
        <w:t>1</w:t>
      </w:r>
      <w:proofErr w:type="gramEnd"/>
      <w:r w:rsidRPr="00606127">
        <w:rPr>
          <w:rFonts w:ascii="Arial" w:eastAsiaTheme="minorHAnsi" w:hAnsi="Arial" w:cs="Arial"/>
          <w:sz w:val="22"/>
          <w:szCs w:val="22"/>
          <w:lang w:eastAsia="en-US"/>
        </w:rPr>
        <w:t xml:space="preserve"> ano.</w:t>
      </w:r>
    </w:p>
    <w:p w:rsidR="000C1D6F" w:rsidRPr="00606127" w:rsidRDefault="000C1D6F" w:rsidP="00E963D1">
      <w:pPr>
        <w:pStyle w:val="NormalWeb"/>
        <w:ind w:firstLine="708"/>
        <w:jc w:val="both"/>
        <w:rPr>
          <w:rFonts w:ascii="Arial" w:eastAsiaTheme="minorHAnsi" w:hAnsi="Arial" w:cs="Arial"/>
          <w:sz w:val="22"/>
          <w:szCs w:val="22"/>
          <w:lang w:eastAsia="en-US"/>
        </w:rPr>
      </w:pPr>
      <w:r w:rsidRPr="00606127">
        <w:rPr>
          <w:rFonts w:ascii="Arial" w:eastAsiaTheme="minorHAnsi" w:hAnsi="Arial" w:cs="Arial"/>
          <w:sz w:val="22"/>
          <w:szCs w:val="22"/>
          <w:lang w:eastAsia="en-US"/>
        </w:rPr>
        <w:t>Além disso, foram realizados testes com o parâmetro '</w:t>
      </w:r>
      <w:proofErr w:type="spellStart"/>
      <w:r w:rsidRPr="00606127">
        <w:rPr>
          <w:rFonts w:ascii="Arial" w:eastAsiaTheme="minorHAnsi" w:hAnsi="Arial" w:cs="Arial"/>
          <w:sz w:val="22"/>
          <w:szCs w:val="22"/>
          <w:lang w:eastAsia="en-US"/>
        </w:rPr>
        <w:t>enforce_invertibility</w:t>
      </w:r>
      <w:proofErr w:type="spellEnd"/>
      <w:r w:rsidRPr="00606127">
        <w:rPr>
          <w:rFonts w:ascii="Arial" w:eastAsiaTheme="minorHAnsi" w:hAnsi="Arial" w:cs="Arial"/>
          <w:sz w:val="22"/>
          <w:szCs w:val="22"/>
          <w:lang w:eastAsia="en-US"/>
        </w:rPr>
        <w:t xml:space="preserve">' configurado como False e </w:t>
      </w:r>
      <w:proofErr w:type="spellStart"/>
      <w:r w:rsidRPr="00606127">
        <w:rPr>
          <w:rFonts w:ascii="Arial" w:eastAsiaTheme="minorHAnsi" w:hAnsi="Arial" w:cs="Arial"/>
          <w:sz w:val="22"/>
          <w:szCs w:val="22"/>
          <w:lang w:eastAsia="en-US"/>
        </w:rPr>
        <w:t>True</w:t>
      </w:r>
      <w:proofErr w:type="spellEnd"/>
      <w:r w:rsidRPr="00606127">
        <w:rPr>
          <w:rFonts w:ascii="Arial" w:eastAsiaTheme="minorHAnsi" w:hAnsi="Arial" w:cs="Arial"/>
          <w:sz w:val="22"/>
          <w:szCs w:val="22"/>
          <w:lang w:eastAsia="en-US"/>
        </w:rPr>
        <w:t xml:space="preserve">. Optou-se por utilizar </w:t>
      </w:r>
      <w:proofErr w:type="spellStart"/>
      <w:r w:rsidRPr="00606127">
        <w:rPr>
          <w:rFonts w:ascii="Arial" w:eastAsiaTheme="minorHAnsi" w:hAnsi="Arial" w:cs="Arial"/>
          <w:sz w:val="22"/>
          <w:szCs w:val="22"/>
          <w:lang w:eastAsia="en-US"/>
        </w:rPr>
        <w:t>True</w:t>
      </w:r>
      <w:proofErr w:type="spellEnd"/>
      <w:r w:rsidRPr="00606127">
        <w:rPr>
          <w:rFonts w:ascii="Arial" w:eastAsiaTheme="minorHAnsi" w:hAnsi="Arial" w:cs="Arial"/>
          <w:sz w:val="22"/>
          <w:szCs w:val="22"/>
          <w:lang w:eastAsia="en-US"/>
        </w:rPr>
        <w:t xml:space="preserve"> para garantir que o modelo seja bem comportado e que os erros possam ser bem ajustados.</w:t>
      </w:r>
    </w:p>
    <w:p w:rsidR="000C1D6F" w:rsidRPr="00E963D1" w:rsidRDefault="000C1D6F" w:rsidP="00606127">
      <w:pPr>
        <w:pStyle w:val="NormalWeb"/>
        <w:jc w:val="both"/>
        <w:rPr>
          <w:rFonts w:eastAsiaTheme="minorHAnsi"/>
          <w:bCs/>
          <w:sz w:val="32"/>
          <w:szCs w:val="32"/>
        </w:rPr>
      </w:pPr>
      <w:r w:rsidRPr="00E963D1">
        <w:rPr>
          <w:rFonts w:eastAsiaTheme="minorHAnsi"/>
          <w:bCs/>
          <w:sz w:val="32"/>
          <w:szCs w:val="32"/>
        </w:rPr>
        <w:t>Resultados</w:t>
      </w:r>
    </w:p>
    <w:p w:rsidR="000C1D6F" w:rsidRPr="00606127" w:rsidRDefault="000C1D6F" w:rsidP="00E963D1">
      <w:pPr>
        <w:pStyle w:val="NormalWeb"/>
        <w:ind w:firstLine="708"/>
        <w:jc w:val="both"/>
        <w:rPr>
          <w:rFonts w:ascii="Arial" w:eastAsiaTheme="minorHAnsi" w:hAnsi="Arial" w:cs="Arial"/>
          <w:sz w:val="22"/>
          <w:szCs w:val="22"/>
          <w:lang w:eastAsia="en-US"/>
        </w:rPr>
      </w:pPr>
      <w:r w:rsidRPr="00606127">
        <w:rPr>
          <w:rFonts w:ascii="Arial" w:hAnsi="Arial" w:cs="Arial"/>
          <w:sz w:val="22"/>
          <w:szCs w:val="22"/>
        </w:rPr>
        <w:t xml:space="preserve">Usando o modelo SARIMAX e os parâmetros citados anteriormente, foi gerada a predição para os próximos 10 meses, até o final de 2025. Conforme mostrado no gráfico abaixo, o padrão da série foi mantido, assim como a leve tendência de crescimento observada anteriormente. Além disso, a soma dos dois meses já disponíveis e dos 10 meses preditos resulta em um valor total arrecadado de IPTU para o ano de </w:t>
      </w:r>
      <w:proofErr w:type="gramStart"/>
      <w:r w:rsidRPr="00606127">
        <w:rPr>
          <w:rFonts w:ascii="Arial" w:hAnsi="Arial" w:cs="Arial"/>
          <w:sz w:val="22"/>
          <w:szCs w:val="22"/>
        </w:rPr>
        <w:t>2025 igual</w:t>
      </w:r>
      <w:proofErr w:type="gramEnd"/>
      <w:r w:rsidRPr="00606127">
        <w:rPr>
          <w:rFonts w:ascii="Arial" w:hAnsi="Arial" w:cs="Arial"/>
          <w:sz w:val="22"/>
          <w:szCs w:val="22"/>
        </w:rPr>
        <w:t xml:space="preserve"> a R$ 98.842.826,62. Esse valor reflete a continuidade da tendência de crescimento e a sazonalidade anual que foram identificadas na série temporal.</w:t>
      </w:r>
    </w:p>
    <w:p w:rsidR="001E06AD" w:rsidRPr="00606127" w:rsidRDefault="000C1D6F" w:rsidP="00606127">
      <w:pPr>
        <w:jc w:val="both"/>
        <w:rPr>
          <w:rFonts w:ascii="Arial" w:eastAsia="Times New Roman" w:hAnsi="Arial" w:cs="Arial"/>
          <w:color w:val="000000"/>
          <w:lang w:eastAsia="pt-BR"/>
        </w:rPr>
      </w:pPr>
      <w:r w:rsidRPr="00606127">
        <w:rPr>
          <w:rFonts w:ascii="Arial" w:hAnsi="Arial" w:cs="Arial"/>
          <w:noProof/>
          <w:lang w:eastAsia="pt-BR"/>
        </w:rPr>
        <w:lastRenderedPageBreak/>
        <w:drawing>
          <wp:inline distT="0" distB="0" distL="0" distR="0" wp14:anchorId="51686F01" wp14:editId="2E774BC9">
            <wp:extent cx="5400040" cy="2858881"/>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858881"/>
                    </a:xfrm>
                    <a:prstGeom prst="rect">
                      <a:avLst/>
                    </a:prstGeom>
                  </pic:spPr>
                </pic:pic>
              </a:graphicData>
            </a:graphic>
          </wp:inline>
        </w:drawing>
      </w:r>
      <w:r w:rsidR="00FE4ED4" w:rsidRPr="00606127">
        <w:rPr>
          <w:rFonts w:ascii="Arial" w:hAnsi="Arial" w:cs="Arial"/>
          <w:noProof/>
          <w:lang w:eastAsia="pt-BR"/>
        </w:rPr>
        <w:drawing>
          <wp:inline distT="0" distB="0" distL="0" distR="0" wp14:anchorId="31A3305E" wp14:editId="5C835186">
            <wp:extent cx="5400040" cy="326092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260920"/>
                    </a:xfrm>
                    <a:prstGeom prst="rect">
                      <a:avLst/>
                    </a:prstGeom>
                  </pic:spPr>
                </pic:pic>
              </a:graphicData>
            </a:graphic>
          </wp:inline>
        </w:drawing>
      </w:r>
    </w:p>
    <w:p w:rsidR="00A50214" w:rsidRPr="00606127" w:rsidRDefault="00A50214" w:rsidP="00606127">
      <w:pPr>
        <w:jc w:val="both"/>
        <w:rPr>
          <w:rFonts w:ascii="Arial" w:hAnsi="Arial" w:cs="Arial"/>
        </w:rPr>
      </w:pPr>
      <w:r w:rsidRPr="00606127">
        <w:rPr>
          <w:rFonts w:ascii="Arial" w:hAnsi="Arial" w:cs="Arial"/>
        </w:rPr>
        <w:t>O gráfico de barras</w:t>
      </w:r>
      <w:r w:rsidR="000C1D6F" w:rsidRPr="00606127">
        <w:rPr>
          <w:rFonts w:ascii="Arial" w:hAnsi="Arial" w:cs="Arial"/>
        </w:rPr>
        <w:t xml:space="preserve"> abaixo apresenta os valores previstos para cada um </w:t>
      </w:r>
      <w:r w:rsidRPr="00606127">
        <w:rPr>
          <w:rFonts w:ascii="Arial" w:hAnsi="Arial" w:cs="Arial"/>
        </w:rPr>
        <w:t>dos 10 meses restantes de 2025, fornecendo</w:t>
      </w:r>
      <w:r w:rsidR="000C1D6F" w:rsidRPr="00606127">
        <w:rPr>
          <w:rFonts w:ascii="Arial" w:hAnsi="Arial" w:cs="Arial"/>
        </w:rPr>
        <w:t xml:space="preserve"> uma visão detalhada mês a mês, permitindo uma análise precisa do </w:t>
      </w:r>
      <w:r w:rsidRPr="00606127">
        <w:rPr>
          <w:rFonts w:ascii="Arial" w:hAnsi="Arial" w:cs="Arial"/>
        </w:rPr>
        <w:t>c</w:t>
      </w:r>
      <w:r w:rsidR="000C1D6F" w:rsidRPr="00606127">
        <w:rPr>
          <w:rFonts w:ascii="Arial" w:hAnsi="Arial" w:cs="Arial"/>
        </w:rPr>
        <w:t>omportamento e</w:t>
      </w:r>
      <w:r w:rsidRPr="00606127">
        <w:rPr>
          <w:rFonts w:ascii="Arial" w:hAnsi="Arial" w:cs="Arial"/>
        </w:rPr>
        <w:t>sperado para o restante do ano.</w:t>
      </w:r>
    </w:p>
    <w:p w:rsidR="00D57927" w:rsidRPr="00606127" w:rsidRDefault="00D57927" w:rsidP="00606127">
      <w:pPr>
        <w:jc w:val="both"/>
        <w:rPr>
          <w:rFonts w:ascii="Arial" w:hAnsi="Arial" w:cs="Arial"/>
        </w:rPr>
      </w:pPr>
      <w:r w:rsidRPr="00606127">
        <w:rPr>
          <w:rFonts w:ascii="Arial" w:hAnsi="Arial" w:cs="Arial"/>
          <w:noProof/>
          <w:lang w:eastAsia="pt-BR"/>
        </w:rPr>
        <w:lastRenderedPageBreak/>
        <w:drawing>
          <wp:inline distT="0" distB="0" distL="0" distR="0" wp14:anchorId="34DB778B" wp14:editId="6285DE9E">
            <wp:extent cx="5400675" cy="2476500"/>
            <wp:effectExtent l="0" t="0" r="9525"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E6E8E" w:rsidRPr="00606127" w:rsidRDefault="000C1D6F" w:rsidP="00E963D1">
      <w:pPr>
        <w:ind w:firstLine="708"/>
        <w:jc w:val="both"/>
        <w:rPr>
          <w:rFonts w:ascii="Arial" w:hAnsi="Arial" w:cs="Arial"/>
        </w:rPr>
      </w:pPr>
      <w:r w:rsidRPr="00606127">
        <w:rPr>
          <w:rFonts w:ascii="Arial" w:hAnsi="Arial" w:cs="Arial"/>
        </w:rPr>
        <w:t xml:space="preserve">Para validar estatisticamente a aplicação deste modelo com os parâmetros escolhidos, foi realizada uma análise da correlação dos resíduos. O teste de correlação de </w:t>
      </w:r>
      <w:proofErr w:type="spellStart"/>
      <w:r w:rsidRPr="00606127">
        <w:rPr>
          <w:rFonts w:ascii="Arial" w:hAnsi="Arial" w:cs="Arial"/>
        </w:rPr>
        <w:t>Ljung</w:t>
      </w:r>
      <w:proofErr w:type="spellEnd"/>
      <w:r w:rsidRPr="00606127">
        <w:rPr>
          <w:rFonts w:ascii="Arial" w:hAnsi="Arial" w:cs="Arial"/>
        </w:rPr>
        <w:t xml:space="preserve">-Box foi utilizado para verificar se os resíduos gerados pela aplicação do modelo estão correlacionados. Os resultados indicaram que não há correlação significativa entre os resíduos, pois o p-valor do teste foi superior a 0,05, sendo de 0,6. Isso sugere que os resíduos seguem um comportamento aleatório e que o modelo está capturando de forma adequada a estrutura da série temporal, sem evidências de </w:t>
      </w:r>
      <w:proofErr w:type="spellStart"/>
      <w:r w:rsidRPr="00606127">
        <w:rPr>
          <w:rFonts w:ascii="Arial" w:hAnsi="Arial" w:cs="Arial"/>
        </w:rPr>
        <w:t>autocorrelação</w:t>
      </w:r>
      <w:proofErr w:type="spellEnd"/>
      <w:r w:rsidRPr="00606127">
        <w:rPr>
          <w:rFonts w:ascii="Arial" w:hAnsi="Arial" w:cs="Arial"/>
        </w:rPr>
        <w:t xml:space="preserve"> residual.</w:t>
      </w:r>
    </w:p>
    <w:p w:rsidR="00A50214" w:rsidRPr="00E963D1" w:rsidRDefault="00A50214" w:rsidP="00E963D1">
      <w:pPr>
        <w:rPr>
          <w:rFonts w:ascii="Times New Roman" w:hAnsi="Times New Roman" w:cs="Times New Roman"/>
          <w:b/>
          <w:sz w:val="32"/>
          <w:szCs w:val="32"/>
        </w:rPr>
      </w:pPr>
      <w:r w:rsidRPr="00E963D1">
        <w:rPr>
          <w:rFonts w:ascii="Times New Roman" w:hAnsi="Times New Roman" w:cs="Times New Roman"/>
          <w:b/>
          <w:bCs/>
          <w:sz w:val="32"/>
          <w:szCs w:val="32"/>
          <w:lang w:eastAsia="pt-BR"/>
        </w:rPr>
        <w:t>Conclusão</w:t>
      </w:r>
    </w:p>
    <w:p w:rsidR="00A50214" w:rsidRPr="00E963D1" w:rsidRDefault="00A50214" w:rsidP="00E963D1">
      <w:pPr>
        <w:ind w:firstLine="708"/>
        <w:jc w:val="both"/>
        <w:rPr>
          <w:rFonts w:ascii="Arial" w:hAnsi="Arial" w:cs="Arial"/>
        </w:rPr>
      </w:pPr>
      <w:r w:rsidRPr="00E963D1">
        <w:rPr>
          <w:rFonts w:ascii="Arial" w:hAnsi="Arial" w:cs="Arial"/>
        </w:rPr>
        <w:t xml:space="preserve">Este estudo teve como objetivo prever a arrecadação do IPTU até o final de 2025. Após análise descritiva, verificou-se a não </w:t>
      </w:r>
      <w:proofErr w:type="spellStart"/>
      <w:r w:rsidRPr="00E963D1">
        <w:rPr>
          <w:rFonts w:ascii="Arial" w:hAnsi="Arial" w:cs="Arial"/>
        </w:rPr>
        <w:t>estacionaridade</w:t>
      </w:r>
      <w:proofErr w:type="spellEnd"/>
      <w:r w:rsidRPr="00E963D1">
        <w:rPr>
          <w:rFonts w:ascii="Arial" w:hAnsi="Arial" w:cs="Arial"/>
        </w:rPr>
        <w:t xml:space="preserve"> da série temporal, bem como a sua sazonalidade. Diante disso, optou-se pela utilização do modelo SARIMAX, que tem se mostrado eficaz em cenários como o apresentado. Além disso, os parâmetros do modelo foram cuidadosamente selecionados com base em testes e validações estatísticas, como a análise de resíduos e o teste de correlação de </w:t>
      </w:r>
      <w:proofErr w:type="spellStart"/>
      <w:r w:rsidRPr="00E963D1">
        <w:rPr>
          <w:rFonts w:ascii="Arial" w:hAnsi="Arial" w:cs="Arial"/>
        </w:rPr>
        <w:t>Ljung</w:t>
      </w:r>
      <w:proofErr w:type="spellEnd"/>
      <w:r w:rsidRPr="00E963D1">
        <w:rPr>
          <w:rFonts w:ascii="Arial" w:hAnsi="Arial" w:cs="Arial"/>
        </w:rPr>
        <w:t>-Box, que indicaram que o modelo consegue capturar adequadamente os padrões da série.</w:t>
      </w:r>
    </w:p>
    <w:p w:rsidR="00A50214" w:rsidRPr="00E963D1" w:rsidRDefault="00A50214" w:rsidP="00E963D1">
      <w:pPr>
        <w:ind w:firstLine="708"/>
        <w:jc w:val="both"/>
        <w:rPr>
          <w:rFonts w:ascii="Arial" w:hAnsi="Arial" w:cs="Arial"/>
        </w:rPr>
      </w:pPr>
      <w:r w:rsidRPr="00E963D1">
        <w:rPr>
          <w:rFonts w:ascii="Arial" w:hAnsi="Arial" w:cs="Arial"/>
        </w:rPr>
        <w:t>Após a aplicação do modelo, a previsão para o ano de 2025 indicou os valores para os dez meses restantes, totalizando uma arrecadação de R$ 98.842.826,62, com a continuidade do padrão observado nos anos anteriores. A validação do modelo, por meio da análise dos resíduos, revelou que não há correlação significativa, sugerindo que os erros de previsão são aleatórios e que o modelo está bem ajustado.</w:t>
      </w:r>
    </w:p>
    <w:p w:rsidR="005E6E8E" w:rsidRPr="00606127" w:rsidRDefault="00A50214" w:rsidP="00E963D1">
      <w:pPr>
        <w:ind w:firstLine="708"/>
        <w:jc w:val="both"/>
        <w:rPr>
          <w:rFonts w:ascii="Arial" w:hAnsi="Arial" w:cs="Arial"/>
        </w:rPr>
      </w:pPr>
      <w:r w:rsidRPr="00E963D1">
        <w:rPr>
          <w:rFonts w:ascii="Arial" w:hAnsi="Arial" w:cs="Arial"/>
        </w:rPr>
        <w:t>Em conclusão, o modelo SARIMAX mostrou-se eficaz na previsão da arrecadação do IPTU, oferecendo uma ferramenta valiosa para a tomada de decisões em planejamento financeiro e tributário. A validação estatística dos resultados assegura a robustez do modelo, e os próximos passos podem envolver a expansão da análise para outros períodos, além da integração de mais variáveis para aprimorar a precisão das previsões.</w:t>
      </w:r>
    </w:p>
    <w:p w:rsidR="005F2B17" w:rsidRPr="00606127" w:rsidRDefault="005F2B17" w:rsidP="00606127">
      <w:pPr>
        <w:jc w:val="both"/>
        <w:rPr>
          <w:rFonts w:ascii="Arial" w:hAnsi="Arial" w:cs="Arial"/>
        </w:rPr>
      </w:pPr>
    </w:p>
    <w:sectPr w:rsidR="005F2B17" w:rsidRPr="006061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3D2"/>
    <w:rsid w:val="000C1D6F"/>
    <w:rsid w:val="00172756"/>
    <w:rsid w:val="001E06AD"/>
    <w:rsid w:val="004104BF"/>
    <w:rsid w:val="004678F8"/>
    <w:rsid w:val="005E6E8E"/>
    <w:rsid w:val="005F2B17"/>
    <w:rsid w:val="00606127"/>
    <w:rsid w:val="007F2C7E"/>
    <w:rsid w:val="00880601"/>
    <w:rsid w:val="008F03D2"/>
    <w:rsid w:val="00964676"/>
    <w:rsid w:val="00A50214"/>
    <w:rsid w:val="00D57927"/>
    <w:rsid w:val="00D60BD9"/>
    <w:rsid w:val="00E963D1"/>
    <w:rsid w:val="00FA59A8"/>
    <w:rsid w:val="00FE4E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4104B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A502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8F03D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F03D2"/>
    <w:rPr>
      <w:rFonts w:ascii="Tahoma" w:hAnsi="Tahoma" w:cs="Tahoma"/>
      <w:sz w:val="16"/>
      <w:szCs w:val="16"/>
    </w:rPr>
  </w:style>
  <w:style w:type="character" w:customStyle="1" w:styleId="Ttulo2Char">
    <w:name w:val="Título 2 Char"/>
    <w:basedOn w:val="Fontepargpadro"/>
    <w:link w:val="Ttulo2"/>
    <w:uiPriority w:val="9"/>
    <w:rsid w:val="004104BF"/>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4104BF"/>
    <w:rPr>
      <w:b/>
      <w:bCs/>
    </w:rPr>
  </w:style>
  <w:style w:type="paragraph" w:styleId="NormalWeb">
    <w:name w:val="Normal (Web)"/>
    <w:basedOn w:val="Normal"/>
    <w:uiPriority w:val="99"/>
    <w:unhideWhenUsed/>
    <w:rsid w:val="004104B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A5021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4104B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A502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8F03D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F03D2"/>
    <w:rPr>
      <w:rFonts w:ascii="Tahoma" w:hAnsi="Tahoma" w:cs="Tahoma"/>
      <w:sz w:val="16"/>
      <w:szCs w:val="16"/>
    </w:rPr>
  </w:style>
  <w:style w:type="character" w:customStyle="1" w:styleId="Ttulo2Char">
    <w:name w:val="Título 2 Char"/>
    <w:basedOn w:val="Fontepargpadro"/>
    <w:link w:val="Ttulo2"/>
    <w:uiPriority w:val="9"/>
    <w:rsid w:val="004104BF"/>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4104BF"/>
    <w:rPr>
      <w:b/>
      <w:bCs/>
    </w:rPr>
  </w:style>
  <w:style w:type="paragraph" w:styleId="NormalWeb">
    <w:name w:val="Normal (Web)"/>
    <w:basedOn w:val="Normal"/>
    <w:uiPriority w:val="99"/>
    <w:unhideWhenUsed/>
    <w:rsid w:val="004104B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A5021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75915">
      <w:bodyDiv w:val="1"/>
      <w:marLeft w:val="0"/>
      <w:marRight w:val="0"/>
      <w:marTop w:val="0"/>
      <w:marBottom w:val="0"/>
      <w:divBdr>
        <w:top w:val="none" w:sz="0" w:space="0" w:color="auto"/>
        <w:left w:val="none" w:sz="0" w:space="0" w:color="auto"/>
        <w:bottom w:val="none" w:sz="0" w:space="0" w:color="auto"/>
        <w:right w:val="none" w:sz="0" w:space="0" w:color="auto"/>
      </w:divBdr>
    </w:div>
    <w:div w:id="300430416">
      <w:bodyDiv w:val="1"/>
      <w:marLeft w:val="0"/>
      <w:marRight w:val="0"/>
      <w:marTop w:val="0"/>
      <w:marBottom w:val="0"/>
      <w:divBdr>
        <w:top w:val="none" w:sz="0" w:space="0" w:color="auto"/>
        <w:left w:val="none" w:sz="0" w:space="0" w:color="auto"/>
        <w:bottom w:val="none" w:sz="0" w:space="0" w:color="auto"/>
        <w:right w:val="none" w:sz="0" w:space="0" w:color="auto"/>
      </w:divBdr>
    </w:div>
    <w:div w:id="481846340">
      <w:bodyDiv w:val="1"/>
      <w:marLeft w:val="0"/>
      <w:marRight w:val="0"/>
      <w:marTop w:val="0"/>
      <w:marBottom w:val="0"/>
      <w:divBdr>
        <w:top w:val="none" w:sz="0" w:space="0" w:color="auto"/>
        <w:left w:val="none" w:sz="0" w:space="0" w:color="auto"/>
        <w:bottom w:val="none" w:sz="0" w:space="0" w:color="auto"/>
        <w:right w:val="none" w:sz="0" w:space="0" w:color="auto"/>
      </w:divBdr>
    </w:div>
    <w:div w:id="1293514732">
      <w:bodyDiv w:val="1"/>
      <w:marLeft w:val="0"/>
      <w:marRight w:val="0"/>
      <w:marTop w:val="0"/>
      <w:marBottom w:val="0"/>
      <w:divBdr>
        <w:top w:val="none" w:sz="0" w:space="0" w:color="auto"/>
        <w:left w:val="none" w:sz="0" w:space="0" w:color="auto"/>
        <w:bottom w:val="none" w:sz="0" w:space="0" w:color="auto"/>
        <w:right w:val="none" w:sz="0" w:space="0" w:color="auto"/>
      </w:divBdr>
    </w:div>
    <w:div w:id="1443955512">
      <w:bodyDiv w:val="1"/>
      <w:marLeft w:val="0"/>
      <w:marRight w:val="0"/>
      <w:marTop w:val="0"/>
      <w:marBottom w:val="0"/>
      <w:divBdr>
        <w:top w:val="none" w:sz="0" w:space="0" w:color="auto"/>
        <w:left w:val="none" w:sz="0" w:space="0" w:color="auto"/>
        <w:bottom w:val="none" w:sz="0" w:space="0" w:color="auto"/>
        <w:right w:val="none" w:sz="0" w:space="0" w:color="auto"/>
      </w:divBdr>
    </w:div>
    <w:div w:id="1492017746">
      <w:bodyDiv w:val="1"/>
      <w:marLeft w:val="0"/>
      <w:marRight w:val="0"/>
      <w:marTop w:val="0"/>
      <w:marBottom w:val="0"/>
      <w:divBdr>
        <w:top w:val="none" w:sz="0" w:space="0" w:color="auto"/>
        <w:left w:val="none" w:sz="0" w:space="0" w:color="auto"/>
        <w:bottom w:val="none" w:sz="0" w:space="0" w:color="auto"/>
        <w:right w:val="none" w:sz="0" w:space="0" w:color="auto"/>
      </w:divBdr>
    </w:div>
    <w:div w:id="158691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PMweverton\Desktop\_select_sum_receita_arrecadada_categoria_competencia_from_SELECT_20250307145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874450878825331"/>
          <c:y val="5.6410256410256411E-2"/>
          <c:w val="0.76013850120586779"/>
          <c:h val="0.88717948717948714"/>
        </c:manualLayout>
      </c:layout>
      <c:barChart>
        <c:barDir val="bar"/>
        <c:grouping val="clustered"/>
        <c:varyColors val="0"/>
        <c:ser>
          <c:idx val="0"/>
          <c:order val="0"/>
          <c:invertIfNegative val="0"/>
          <c:dLbls>
            <c:showLegendKey val="0"/>
            <c:showVal val="1"/>
            <c:showCatName val="0"/>
            <c:showSerName val="0"/>
            <c:showPercent val="0"/>
            <c:showBubbleSize val="0"/>
            <c:showLeaderLines val="0"/>
          </c:dLbls>
          <c:cat>
            <c:strRef>
              <c:f>IPTU!$BO$29:$BZ$29</c:f>
              <c:strCache>
                <c:ptCount val="12"/>
                <c:pt idx="0">
                  <c:v>Janeiro</c:v>
                </c:pt>
                <c:pt idx="1">
                  <c:v>Fevereiro</c:v>
                </c:pt>
                <c:pt idx="2">
                  <c:v>Março</c:v>
                </c:pt>
                <c:pt idx="3">
                  <c:v>Abril</c:v>
                </c:pt>
                <c:pt idx="4">
                  <c:v>Maio</c:v>
                </c:pt>
                <c:pt idx="5">
                  <c:v>Junho</c:v>
                </c:pt>
                <c:pt idx="6">
                  <c:v>Julho</c:v>
                </c:pt>
                <c:pt idx="7">
                  <c:v>Agosto</c:v>
                </c:pt>
                <c:pt idx="8">
                  <c:v>Setembro</c:v>
                </c:pt>
                <c:pt idx="9">
                  <c:v>Outubro</c:v>
                </c:pt>
                <c:pt idx="10">
                  <c:v>Novembro</c:v>
                </c:pt>
                <c:pt idx="11">
                  <c:v>Dezembro</c:v>
                </c:pt>
              </c:strCache>
            </c:strRef>
          </c:cat>
          <c:val>
            <c:numRef>
              <c:f>IPTU!$BO$30:$BZ$30</c:f>
              <c:numCache>
                <c:formatCode>"R$"\ #,##0.00</c:formatCode>
                <c:ptCount val="12"/>
                <c:pt idx="0">
                  <c:v>1587212.84857143</c:v>
                </c:pt>
                <c:pt idx="1">
                  <c:v>5015956.7699999996</c:v>
                </c:pt>
                <c:pt idx="2">
                  <c:v>9011611.9000000004</c:v>
                </c:pt>
                <c:pt idx="3">
                  <c:v>54034144.619999997</c:v>
                </c:pt>
                <c:pt idx="4">
                  <c:v>4597131.04</c:v>
                </c:pt>
                <c:pt idx="5">
                  <c:v>4213358.59</c:v>
                </c:pt>
                <c:pt idx="6">
                  <c:v>3965122.83</c:v>
                </c:pt>
                <c:pt idx="7">
                  <c:v>3766369.9</c:v>
                </c:pt>
                <c:pt idx="8">
                  <c:v>3265039.49</c:v>
                </c:pt>
                <c:pt idx="9">
                  <c:v>3274979.3</c:v>
                </c:pt>
                <c:pt idx="10">
                  <c:v>3049859.28</c:v>
                </c:pt>
                <c:pt idx="11">
                  <c:v>3062040.05</c:v>
                </c:pt>
              </c:numCache>
            </c:numRef>
          </c:val>
        </c:ser>
        <c:dLbls>
          <c:showLegendKey val="0"/>
          <c:showVal val="0"/>
          <c:showCatName val="0"/>
          <c:showSerName val="0"/>
          <c:showPercent val="0"/>
          <c:showBubbleSize val="0"/>
        </c:dLbls>
        <c:gapWidth val="150"/>
        <c:axId val="223681536"/>
        <c:axId val="199417856"/>
      </c:barChart>
      <c:catAx>
        <c:axId val="223681536"/>
        <c:scaling>
          <c:orientation val="minMax"/>
        </c:scaling>
        <c:delete val="0"/>
        <c:axPos val="l"/>
        <c:majorTickMark val="out"/>
        <c:minorTickMark val="none"/>
        <c:tickLblPos val="nextTo"/>
        <c:crossAx val="199417856"/>
        <c:crosses val="autoZero"/>
        <c:auto val="1"/>
        <c:lblAlgn val="ctr"/>
        <c:lblOffset val="100"/>
        <c:noMultiLvlLbl val="0"/>
      </c:catAx>
      <c:valAx>
        <c:axId val="199417856"/>
        <c:scaling>
          <c:orientation val="minMax"/>
        </c:scaling>
        <c:delete val="1"/>
        <c:axPos val="b"/>
        <c:numFmt formatCode="&quot;R$&quot;\ #,##0.00" sourceLinked="1"/>
        <c:majorTickMark val="out"/>
        <c:minorTickMark val="none"/>
        <c:tickLblPos val="nextTo"/>
        <c:crossAx val="22368153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7</Pages>
  <Words>1457</Words>
  <Characters>7869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IPM Weverton Rodrigo Verica</dc:creator>
  <cp:lastModifiedBy>IPM Weverton Rodrigo Verica</cp:lastModifiedBy>
  <cp:revision>3</cp:revision>
  <dcterms:created xsi:type="dcterms:W3CDTF">2025-03-11T11:21:00Z</dcterms:created>
  <dcterms:modified xsi:type="dcterms:W3CDTF">2025-03-11T18:22:00Z</dcterms:modified>
</cp:coreProperties>
</file>