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November 17, 2023</w:t>
      </w:r>
    </w:p>
    <w:p w:rsidR="00000000" w:rsidDel="00000000" w:rsidP="00000000" w:rsidRDefault="00000000" w:rsidRPr="00000000" w14:paraId="00000002">
      <w:pPr>
        <w:jc w:val="center"/>
        <w:rPr>
          <w:rFonts w:ascii="Poppins" w:cs="Poppins" w:eastAsia="Poppins" w:hAnsi="Poppins"/>
          <w:b w:val="1"/>
          <w:sz w:val="16"/>
          <w:szCs w:val="16"/>
        </w:rPr>
      </w:pPr>
      <w:r w:rsidDel="00000000" w:rsidR="00000000" w:rsidRPr="00000000">
        <w:rPr>
          <w:rFonts w:ascii="Poppins" w:cs="Poppins" w:eastAsia="Poppins" w:hAnsi="Poppins"/>
          <w:b w:val="1"/>
          <w:sz w:val="16"/>
          <w:szCs w:val="16"/>
          <w:rtl w:val="0"/>
        </w:rPr>
        <w:t xml:space="preserve">"Inflation's Ripple Effect: Unraveling the Socioeconomic Threads of Income Inequality"</w:t>
      </w:r>
    </w:p>
    <w:p w:rsidR="00000000" w:rsidDel="00000000" w:rsidP="00000000" w:rsidRDefault="00000000" w:rsidRPr="00000000" w14:paraId="00000003">
      <w:pPr>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By Adriel Willis</w:t>
      </w:r>
    </w:p>
    <w:p w:rsidR="00000000" w:rsidDel="00000000" w:rsidP="00000000" w:rsidRDefault="00000000" w:rsidRPr="00000000" w14:paraId="00000004">
      <w:pPr>
        <w:rPr>
          <w:rFonts w:ascii="Poppins" w:cs="Poppins" w:eastAsia="Poppins" w:hAnsi="Poppins"/>
          <w:sz w:val="16"/>
          <w:szCs w:val="16"/>
        </w:rPr>
      </w:pPr>
      <w:r w:rsidDel="00000000" w:rsidR="00000000" w:rsidRPr="00000000">
        <w:rPr>
          <w:rFonts w:ascii="Poppins" w:cs="Poppins" w:eastAsia="Poppins" w:hAnsi="Poppins"/>
          <w:b w:val="1"/>
          <w:sz w:val="16"/>
          <w:szCs w:val="16"/>
          <w:rtl w:val="0"/>
        </w:rPr>
        <w:t xml:space="preserve">Research Question</w:t>
      </w:r>
      <w:r w:rsidDel="00000000" w:rsidR="00000000" w:rsidRPr="00000000">
        <w:rPr>
          <w:rFonts w:ascii="Poppins" w:cs="Poppins" w:eastAsia="Poppins" w:hAnsi="Poppins"/>
          <w:sz w:val="16"/>
          <w:szCs w:val="16"/>
          <w:rtl w:val="0"/>
        </w:rPr>
        <w:t xml:space="preserve">:</w:t>
      </w:r>
    </w:p>
    <w:p w:rsidR="00000000" w:rsidDel="00000000" w:rsidP="00000000" w:rsidRDefault="00000000" w:rsidRPr="00000000" w14:paraId="00000005">
      <w:pP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"How does inflation impact income inequality, and what are the social consequences of a widening wealth gap in diverse economic environments?"</w:t>
      </w:r>
    </w:p>
    <w:p w:rsidR="00000000" w:rsidDel="00000000" w:rsidP="00000000" w:rsidRDefault="00000000" w:rsidRPr="00000000" w14:paraId="00000006">
      <w:pPr>
        <w:rPr>
          <w:rFonts w:ascii="Poppins" w:cs="Poppins" w:eastAsia="Poppins" w:hAnsi="Poppins"/>
          <w:sz w:val="16"/>
          <w:szCs w:val="16"/>
        </w:rPr>
      </w:pPr>
      <w:r w:rsidDel="00000000" w:rsidR="00000000" w:rsidRPr="00000000">
        <w:rPr>
          <w:rFonts w:ascii="Poppins" w:cs="Poppins" w:eastAsia="Poppins" w:hAnsi="Poppins"/>
          <w:b w:val="1"/>
          <w:sz w:val="16"/>
          <w:szCs w:val="16"/>
          <w:rtl w:val="0"/>
        </w:rPr>
        <w:t xml:space="preserve">Thesis Statement</w:t>
      </w:r>
      <w:r w:rsidDel="00000000" w:rsidR="00000000" w:rsidRPr="00000000">
        <w:rPr>
          <w:rFonts w:ascii="Poppins" w:cs="Poppins" w:eastAsia="Poppins" w:hAnsi="Poppins"/>
          <w:sz w:val="16"/>
          <w:szCs w:val="16"/>
          <w:rtl w:val="0"/>
        </w:rPr>
        <w:t xml:space="preserve">:</w:t>
      </w:r>
    </w:p>
    <w:p w:rsidR="00000000" w:rsidDel="00000000" w:rsidP="00000000" w:rsidRDefault="00000000" w:rsidRPr="00000000" w14:paraId="00000007">
      <w:pP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"This paper asserts that inflation, when left unaddressed, exacerbates income inequality, leading to social disparities and diminished opportunities for vulnerable populations."</w:t>
      </w:r>
    </w:p>
    <w:p w:rsidR="00000000" w:rsidDel="00000000" w:rsidP="00000000" w:rsidRDefault="00000000" w:rsidRPr="00000000" w14:paraId="00000008">
      <w:pP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09">
      <w:pPr>
        <w:rPr>
          <w:rFonts w:ascii="Poppins" w:cs="Poppins" w:eastAsia="Poppins" w:hAnsi="Poppins"/>
          <w:sz w:val="16"/>
          <w:szCs w:val="16"/>
        </w:rPr>
      </w:pPr>
      <w:r w:rsidDel="00000000" w:rsidR="00000000" w:rsidRPr="00000000">
        <w:rPr>
          <w:rFonts w:ascii="Poppins" w:cs="Poppins" w:eastAsia="Poppins" w:hAnsi="Poppins"/>
          <w:b w:val="1"/>
          <w:sz w:val="16"/>
          <w:szCs w:val="16"/>
          <w:rtl w:val="0"/>
        </w:rPr>
        <w:t xml:space="preserve">I. Introduction</w:t>
      </w:r>
      <w:r w:rsidDel="00000000" w:rsidR="00000000" w:rsidRPr="00000000">
        <w:rPr>
          <w:rtl w:val="0"/>
        </w:rPr>
      </w:r>
    </w:p>
    <w:p w:rsidR="00000000" w:rsidDel="00000000" w:rsidP="00000000" w:rsidRDefault="00000000" w:rsidRPr="00000000" w14:paraId="0000000A">
      <w:pPr>
        <w:ind w:left="0" w:firstLine="0"/>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The issue of income inequality has been a persistent concern in the United States, with a notable increase over the past three decades. Income redistribution, a key aspect of political economy discussions, is often achieved through fiscal policy. However, both fiscal and monetary policies play roles in shaping economic activity, and both can impact income distribution. Fiscal policy, encompassing taxes, public sector employment, government spending, and other instruments, is recognized for its influence on income inequality. On the other hand, monetary policy affects income inequality through its impact on inflation, which, in turn, has heterogeneous effects on various sources of income.</w:t>
      </w:r>
    </w:p>
    <w:p w:rsidR="00000000" w:rsidDel="00000000" w:rsidP="00000000" w:rsidRDefault="00000000" w:rsidRPr="00000000" w14:paraId="0000000B">
      <w:pPr>
        <w:rPr>
          <w:rFonts w:ascii="Poppins" w:cs="Poppins" w:eastAsia="Poppins" w:hAnsi="Poppins"/>
          <w:b w:val="1"/>
          <w:sz w:val="16"/>
          <w:szCs w:val="16"/>
        </w:rPr>
      </w:pPr>
      <w:r w:rsidDel="00000000" w:rsidR="00000000" w:rsidRPr="00000000">
        <w:rPr>
          <w:rtl w:val="0"/>
        </w:rPr>
      </w:r>
    </w:p>
    <w:p w:rsidR="00000000" w:rsidDel="00000000" w:rsidP="00000000" w:rsidRDefault="00000000" w:rsidRPr="00000000" w14:paraId="0000000C">
      <w:pPr>
        <w:rPr>
          <w:rFonts w:ascii="Poppins" w:cs="Poppins" w:eastAsia="Poppins" w:hAnsi="Poppins"/>
          <w:b w:val="1"/>
          <w:sz w:val="16"/>
          <w:szCs w:val="16"/>
        </w:rPr>
      </w:pPr>
      <w:r w:rsidDel="00000000" w:rsidR="00000000" w:rsidRPr="00000000">
        <w:rPr>
          <w:rFonts w:ascii="Poppins" w:cs="Poppins" w:eastAsia="Poppins" w:hAnsi="Poppins"/>
          <w:b w:val="1"/>
          <w:sz w:val="16"/>
          <w:szCs w:val="16"/>
          <w:rtl w:val="0"/>
        </w:rPr>
        <w:t xml:space="preserve">II. Background and Research on Inflation and Income Inequality</w:t>
      </w:r>
    </w:p>
    <w:p w:rsidR="00000000" w:rsidDel="00000000" w:rsidP="00000000" w:rsidRDefault="00000000" w:rsidRPr="00000000" w14:paraId="0000000D">
      <w:pP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In the world of economic studies, researchers have long been intrigued by the intricate relationship between inflation and income inequality. Deciphering this complex connection is like solving a puzzle, where each piece of information adds a new layer of understanding. Before diving into the details of specific studies, it's crucial to outline the main themes and findings that guide our exploration of the nuanced dynamics between inflation and income inequality.</w:t>
      </w:r>
    </w:p>
    <w:p w:rsidR="00000000" w:rsidDel="00000000" w:rsidP="00000000" w:rsidRDefault="00000000" w:rsidRPr="00000000" w14:paraId="0000000E">
      <w:pP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0F">
      <w:pP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In the realm of economic studies, the intricate dance between inflation and income inequality has long captivated researchers. Unveiling the complexities of this relationship is akin to deciphering a code, with each piece of information revealing a new layer of understanding. In this section, this paper embarks on a journey to unravel the nuanced dynamics between inflation and income inequality, guided by empirical analyses and insights from renowned economists.</w:t>
      </w:r>
    </w:p>
    <w:p w:rsidR="00000000" w:rsidDel="00000000" w:rsidP="00000000" w:rsidRDefault="00000000" w:rsidRPr="00000000" w14:paraId="00000010">
      <w:pP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11">
      <w:pP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Our exploration begins with the findings of a comprehensive study conducted by Balcilar, Chang, Gupta, and Miller. Their investigation into the non-linear relationship across the 50 U.S. states from 1976 to 2007 serves as a crucial starting point. Building upon the foundations laid by previous researchers like Bulir and Gulde (1995) and Easterly and Fischer (2001), who illuminated the non-monotonic impact of inflation on inequality, we delve into the persistent challenges faced by policymakers despite concerted efforts by the Federal Reserve.</w:t>
      </w:r>
    </w:p>
    <w:p w:rsidR="00000000" w:rsidDel="00000000" w:rsidP="00000000" w:rsidRDefault="00000000" w:rsidRPr="00000000" w14:paraId="00000012">
      <w:pP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13">
      <w:pP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As we navigate through the maze of inflation and income inequality, it becomes evident that the impact extends beyond national borders. Yet, the insights derived from studies like Bulir and Gulde (1995) caution us against assuming universal applicability. Hence, our journey not only seeks to comprehend the intricacies of this relationship within the United States but also underscores the importance of recognizing potential variations on the global stage.</w:t>
      </w:r>
    </w:p>
    <w:p w:rsidR="00000000" w:rsidDel="00000000" w:rsidP="00000000" w:rsidRDefault="00000000" w:rsidRPr="00000000" w14:paraId="00000014">
      <w:pP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15">
      <w:pP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The recent resurgence of inflation has brought these concerns to the forefront of economic discussions. Policymakers, including the Chairman of the Federal Reserve, Mr. Powell, expresses concerns about the potential repercussions, especially for those with lower incomes. This paper, fueled by these concerns and the existing gap in understanding, aims to shed light on how income inequality responds to changes in the inflation rate.</w:t>
      </w:r>
    </w:p>
    <w:p w:rsidR="00000000" w:rsidDel="00000000" w:rsidP="00000000" w:rsidRDefault="00000000" w:rsidRPr="00000000" w14:paraId="00000016">
      <w:pP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17">
      <w:pPr>
        <w:rPr>
          <w:rFonts w:ascii="Poppins" w:cs="Poppins" w:eastAsia="Poppins" w:hAnsi="Poppins"/>
          <w:b w:val="1"/>
          <w:sz w:val="16"/>
          <w:szCs w:val="16"/>
        </w:rPr>
      </w:pPr>
      <w:r w:rsidDel="00000000" w:rsidR="00000000" w:rsidRPr="00000000">
        <w:rPr>
          <w:rFonts w:ascii="Poppins" w:cs="Poppins" w:eastAsia="Poppins" w:hAnsi="Poppins"/>
          <w:b w:val="1"/>
          <w:sz w:val="16"/>
          <w:szCs w:val="16"/>
          <w:rtl w:val="0"/>
        </w:rPr>
        <w:t xml:space="preserve">III. Policy and Strategy Analysis</w:t>
      </w:r>
    </w:p>
    <w:p w:rsidR="00000000" w:rsidDel="00000000" w:rsidP="00000000" w:rsidRDefault="00000000" w:rsidRPr="00000000" w14:paraId="00000018">
      <w:pP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1. Detailed explanation of how inflation influences income inequality:</w:t>
      </w:r>
    </w:p>
    <w:p w:rsidR="00000000" w:rsidDel="00000000" w:rsidP="00000000" w:rsidRDefault="00000000" w:rsidRPr="00000000" w14:paraId="00000019">
      <w:pPr>
        <w:ind w:left="0" w:firstLine="0"/>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1A">
      <w:pPr>
        <w:ind w:left="0" w:firstLine="0"/>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Inflation, the general increase in the price level of goods and services, can have intricate effects on income distribution. Understanding these dynamics is crucial for crafting effective policies. One key mechanism is the impact of inflation on real wages. In periods of inflation, nominal wages may not rise at the same pace as prices, leading to a reduction in real purchasing power, particularly for lower-income individuals who rely heavily on wage income. Additionally, inflation can affect the returns on various assets differently, potentially exacerbating wealth disparities. Analyzing these factors provides insight into the nuanced relationship between inflation and income inequality.</w:t>
      </w:r>
    </w:p>
    <w:p w:rsidR="00000000" w:rsidDel="00000000" w:rsidP="00000000" w:rsidRDefault="00000000" w:rsidRPr="00000000" w14:paraId="0000001B">
      <w:pP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1C">
      <w:pP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2. Comparison of various policy options to address inflation and income inequality:</w:t>
      </w:r>
    </w:p>
    <w:p w:rsidR="00000000" w:rsidDel="00000000" w:rsidP="00000000" w:rsidRDefault="00000000" w:rsidRPr="00000000" w14:paraId="0000001D">
      <w:pP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1E">
      <w:pP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Several policy options exist to address the complex interplay between inflation and income inequality:</w:t>
      </w:r>
    </w:p>
    <w:p w:rsidR="00000000" w:rsidDel="00000000" w:rsidP="00000000" w:rsidRDefault="00000000" w:rsidRPr="00000000" w14:paraId="0000001F">
      <w:pP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20">
      <w:pP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Monetary Policy Adjustments: Central banks can use monetary policy tools to manage inflation. However, the effectiveness of this approach in mitigating income inequality depends on how these policies influence various income sources, especially those of lower-income individuals.</w:t>
      </w:r>
    </w:p>
    <w:p w:rsidR="00000000" w:rsidDel="00000000" w:rsidP="00000000" w:rsidRDefault="00000000" w:rsidRPr="00000000" w14:paraId="00000021">
      <w:pP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22">
      <w:pP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Fiscal Policy Measures: Tax policies, public sector employment, and government spending are powerful tools to directly impact income distribution. Crafting fiscal policies that consider the redistributive effects can be a targeted strategy.</w:t>
      </w:r>
    </w:p>
    <w:p w:rsidR="00000000" w:rsidDel="00000000" w:rsidP="00000000" w:rsidRDefault="00000000" w:rsidRPr="00000000" w14:paraId="00000023">
      <w:pP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24">
      <w:pP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Social Safety Nets: Strengthening social safety nets, such as welfare programs and unemployment benefits, can provide a buffer for vulnerable populations during inflationary periods.</w:t>
      </w:r>
    </w:p>
    <w:p w:rsidR="00000000" w:rsidDel="00000000" w:rsidP="00000000" w:rsidRDefault="00000000" w:rsidRPr="00000000" w14:paraId="00000025">
      <w:pP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26">
      <w:pPr>
        <w:rPr>
          <w:rFonts w:ascii="Poppins" w:cs="Poppins" w:eastAsia="Poppins" w:hAnsi="Poppins"/>
          <w:b w:val="1"/>
          <w:sz w:val="16"/>
          <w:szCs w:val="16"/>
        </w:rPr>
      </w:pPr>
      <w:r w:rsidDel="00000000" w:rsidR="00000000" w:rsidRPr="00000000">
        <w:rPr>
          <w:rFonts w:ascii="Poppins" w:cs="Poppins" w:eastAsia="Poppins" w:hAnsi="Poppins"/>
          <w:b w:val="1"/>
          <w:sz w:val="16"/>
          <w:szCs w:val="16"/>
          <w:rtl w:val="0"/>
        </w:rPr>
        <w:t xml:space="preserve">3. Recommendation of a specific policy with a focus on effective strategies</w:t>
      </w:r>
    </w:p>
    <w:p w:rsidR="00000000" w:rsidDel="00000000" w:rsidP="00000000" w:rsidRDefault="00000000" w:rsidRPr="00000000" w14:paraId="00000027">
      <w:pP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28">
      <w:pP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In the realm of economic policy, the search for effective strategies to counter the exacerbation of income inequality due to inflation often leads us to global case studies. One particularly insightful example is Brazil's successful implementation of the Unidade Real de Valor (URV), a transitional currency that played a pivotal role in stabilizing its economy during a period of hyperinflation. Drawing inspiration from Brazil's triumph over economic turmoil, this section recommends a Comprehensive Economic Policy that combines proven economic measures with an Innovative Psychological Intervention. The URV-inspired Transition, informed by Brazil's experience, serves as a guide for policymakers grappling with the complex interplay of inflation and income inequality.</w:t>
      </w:r>
    </w:p>
    <w:p w:rsidR="00000000" w:rsidDel="00000000" w:rsidP="00000000" w:rsidRDefault="00000000" w:rsidRPr="00000000" w14:paraId="00000029">
      <w:pPr>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02A">
      <w:pPr>
        <w:rPr>
          <w:rFonts w:ascii="Poppins" w:cs="Poppins" w:eastAsia="Poppins" w:hAnsi="Poppins"/>
          <w:sz w:val="14"/>
          <w:szCs w:val="14"/>
        </w:rPr>
      </w:pPr>
      <w:r w:rsidDel="00000000" w:rsidR="00000000" w:rsidRPr="00000000">
        <w:rPr>
          <w:rFonts w:ascii="Poppins" w:cs="Poppins" w:eastAsia="Poppins" w:hAnsi="Poppins"/>
          <w:b w:val="1"/>
          <w:sz w:val="14"/>
          <w:szCs w:val="14"/>
          <w:rtl w:val="0"/>
        </w:rPr>
        <w:t xml:space="preserve">A. Comprehensive Economic Policy Measures</w:t>
      </w:r>
      <w:r w:rsidDel="00000000" w:rsidR="00000000" w:rsidRPr="00000000">
        <w:rPr>
          <w:rFonts w:ascii="Poppins" w:cs="Poppins" w:eastAsia="Poppins" w:hAnsi="Poppins"/>
          <w:sz w:val="14"/>
          <w:szCs w:val="14"/>
          <w:rtl w:val="0"/>
        </w:rPr>
        <w:t xml:space="preserve">:</w:t>
      </w:r>
    </w:p>
    <w:p w:rsidR="00000000" w:rsidDel="00000000" w:rsidP="00000000" w:rsidRDefault="00000000" w:rsidRPr="00000000" w14:paraId="0000002B">
      <w:pPr>
        <w:rPr>
          <w:rFonts w:ascii="Poppins" w:cs="Poppins" w:eastAsia="Poppins" w:hAnsi="Poppins"/>
          <w:sz w:val="14"/>
          <w:szCs w:val="14"/>
        </w:rPr>
      </w:pPr>
      <w:r w:rsidDel="00000000" w:rsidR="00000000" w:rsidRPr="00000000">
        <w:rPr>
          <w:rFonts w:ascii="Poppins" w:cs="Poppins" w:eastAsia="Poppins" w:hAnsi="Poppins"/>
          <w:sz w:val="14"/>
          <w:szCs w:val="14"/>
          <w:rtl w:val="0"/>
        </w:rPr>
        <w:t xml:space="preserve">Government Spending Reform:</w:t>
      </w:r>
    </w:p>
    <w:p w:rsidR="00000000" w:rsidDel="00000000" w:rsidP="00000000" w:rsidRDefault="00000000" w:rsidRPr="00000000" w14:paraId="0000002C">
      <w:pPr>
        <w:rPr>
          <w:rFonts w:ascii="Poppins" w:cs="Poppins" w:eastAsia="Poppins" w:hAnsi="Poppins"/>
          <w:sz w:val="14"/>
          <w:szCs w:val="14"/>
        </w:rPr>
      </w:pPr>
      <w:r w:rsidDel="00000000" w:rsidR="00000000" w:rsidRPr="00000000">
        <w:rPr>
          <w:rtl w:val="0"/>
        </w:rPr>
      </w:r>
    </w:p>
    <w:p w:rsidR="00000000" w:rsidDel="00000000" w:rsidP="00000000" w:rsidRDefault="00000000" w:rsidRPr="00000000" w14:paraId="0000002D">
      <w:pPr>
        <w:rPr>
          <w:rFonts w:ascii="Poppins" w:cs="Poppins" w:eastAsia="Poppins" w:hAnsi="Poppins"/>
          <w:sz w:val="14"/>
          <w:szCs w:val="14"/>
        </w:rPr>
      </w:pPr>
      <w:r w:rsidDel="00000000" w:rsidR="00000000" w:rsidRPr="00000000">
        <w:rPr>
          <w:rFonts w:ascii="Poppins" w:cs="Poppins" w:eastAsia="Poppins" w:hAnsi="Poppins"/>
          <w:sz w:val="14"/>
          <w:szCs w:val="14"/>
          <w:rtl w:val="0"/>
        </w:rPr>
        <w:t xml:space="preserve">Implement disciplined and targeted cuts in government spending, ensuring a more efficient allocation of resources and reducing fiscal pressures.</w:t>
      </w:r>
    </w:p>
    <w:p w:rsidR="00000000" w:rsidDel="00000000" w:rsidP="00000000" w:rsidRDefault="00000000" w:rsidRPr="00000000" w14:paraId="0000002E">
      <w:pPr>
        <w:rPr>
          <w:rFonts w:ascii="Poppins" w:cs="Poppins" w:eastAsia="Poppins" w:hAnsi="Poppins"/>
          <w:sz w:val="14"/>
          <w:szCs w:val="14"/>
        </w:rPr>
      </w:pPr>
      <w:r w:rsidDel="00000000" w:rsidR="00000000" w:rsidRPr="00000000">
        <w:rPr>
          <w:rFonts w:ascii="Poppins" w:cs="Poppins" w:eastAsia="Poppins" w:hAnsi="Poppins"/>
          <w:sz w:val="14"/>
          <w:szCs w:val="14"/>
          <w:rtl w:val="0"/>
        </w:rPr>
        <w:t xml:space="preserve">Monetary Policy Adjustments:</w:t>
      </w:r>
    </w:p>
    <w:p w:rsidR="00000000" w:rsidDel="00000000" w:rsidP="00000000" w:rsidRDefault="00000000" w:rsidRPr="00000000" w14:paraId="0000002F">
      <w:pPr>
        <w:rPr>
          <w:rFonts w:ascii="Poppins" w:cs="Poppins" w:eastAsia="Poppins" w:hAnsi="Poppins"/>
          <w:sz w:val="14"/>
          <w:szCs w:val="14"/>
        </w:rPr>
      </w:pPr>
      <w:r w:rsidDel="00000000" w:rsidR="00000000" w:rsidRPr="00000000">
        <w:rPr>
          <w:rtl w:val="0"/>
        </w:rPr>
      </w:r>
    </w:p>
    <w:p w:rsidR="00000000" w:rsidDel="00000000" w:rsidP="00000000" w:rsidRDefault="00000000" w:rsidRPr="00000000" w14:paraId="00000030">
      <w:pPr>
        <w:rPr>
          <w:rFonts w:ascii="Poppins" w:cs="Poppins" w:eastAsia="Poppins" w:hAnsi="Poppins"/>
          <w:sz w:val="14"/>
          <w:szCs w:val="14"/>
        </w:rPr>
      </w:pPr>
      <w:r w:rsidDel="00000000" w:rsidR="00000000" w:rsidRPr="00000000">
        <w:rPr>
          <w:rFonts w:ascii="Poppins" w:cs="Poppins" w:eastAsia="Poppins" w:hAnsi="Poppins"/>
          <w:sz w:val="14"/>
          <w:szCs w:val="14"/>
          <w:rtl w:val="0"/>
        </w:rPr>
        <w:t xml:space="preserve">Strategically employ monetary policy tools, including interest rate adjustments, to manage inflation while considering their impact on various income sources.</w:t>
      </w:r>
    </w:p>
    <w:p w:rsidR="00000000" w:rsidDel="00000000" w:rsidP="00000000" w:rsidRDefault="00000000" w:rsidRPr="00000000" w14:paraId="00000031">
      <w:pPr>
        <w:rPr>
          <w:rFonts w:ascii="Poppins" w:cs="Poppins" w:eastAsia="Poppins" w:hAnsi="Poppins"/>
          <w:sz w:val="14"/>
          <w:szCs w:val="14"/>
        </w:rPr>
      </w:pPr>
      <w:r w:rsidDel="00000000" w:rsidR="00000000" w:rsidRPr="00000000">
        <w:rPr>
          <w:rFonts w:ascii="Poppins" w:cs="Poppins" w:eastAsia="Poppins" w:hAnsi="Poppins"/>
          <w:b w:val="1"/>
          <w:sz w:val="14"/>
          <w:szCs w:val="14"/>
          <w:rtl w:val="0"/>
        </w:rPr>
        <w:t xml:space="preserve">B. Innovative Psychological Intervention</w:t>
      </w:r>
      <w:r w:rsidDel="00000000" w:rsidR="00000000" w:rsidRPr="00000000">
        <w:rPr>
          <w:rFonts w:ascii="Poppins" w:cs="Poppins" w:eastAsia="Poppins" w:hAnsi="Poppins"/>
          <w:sz w:val="14"/>
          <w:szCs w:val="14"/>
          <w:rtl w:val="0"/>
        </w:rPr>
        <w:t xml:space="preserve">: URV-inspired Transition</w:t>
      </w:r>
    </w:p>
    <w:p w:rsidR="00000000" w:rsidDel="00000000" w:rsidP="00000000" w:rsidRDefault="00000000" w:rsidRPr="00000000" w14:paraId="00000032">
      <w:pPr>
        <w:rPr>
          <w:rFonts w:ascii="Poppins" w:cs="Poppins" w:eastAsia="Poppins" w:hAnsi="Poppins"/>
          <w:sz w:val="14"/>
          <w:szCs w:val="14"/>
        </w:rPr>
      </w:pPr>
      <w:r w:rsidDel="00000000" w:rsidR="00000000" w:rsidRPr="00000000">
        <w:rPr>
          <w:rFonts w:ascii="Poppins" w:cs="Poppins" w:eastAsia="Poppins" w:hAnsi="Poppins"/>
          <w:sz w:val="14"/>
          <w:szCs w:val="14"/>
          <w:rtl w:val="0"/>
        </w:rPr>
        <w:t xml:space="preserve">Introduction of Stability Units (SU):</w:t>
      </w:r>
    </w:p>
    <w:p w:rsidR="00000000" w:rsidDel="00000000" w:rsidP="00000000" w:rsidRDefault="00000000" w:rsidRPr="00000000" w14:paraId="00000033">
      <w:pPr>
        <w:rPr>
          <w:rFonts w:ascii="Poppins" w:cs="Poppins" w:eastAsia="Poppins" w:hAnsi="Poppins"/>
          <w:sz w:val="14"/>
          <w:szCs w:val="14"/>
        </w:rPr>
      </w:pPr>
      <w:r w:rsidDel="00000000" w:rsidR="00000000" w:rsidRPr="00000000">
        <w:rPr>
          <w:rtl w:val="0"/>
        </w:rPr>
      </w:r>
    </w:p>
    <w:p w:rsidR="00000000" w:rsidDel="00000000" w:rsidP="00000000" w:rsidRDefault="00000000" w:rsidRPr="00000000" w14:paraId="00000034">
      <w:pPr>
        <w:rPr>
          <w:rFonts w:ascii="Poppins" w:cs="Poppins" w:eastAsia="Poppins" w:hAnsi="Poppins"/>
          <w:sz w:val="14"/>
          <w:szCs w:val="14"/>
        </w:rPr>
      </w:pPr>
      <w:r w:rsidDel="00000000" w:rsidR="00000000" w:rsidRPr="00000000">
        <w:rPr>
          <w:rFonts w:ascii="Poppins" w:cs="Poppins" w:eastAsia="Poppins" w:hAnsi="Poppins"/>
          <w:sz w:val="14"/>
          <w:szCs w:val="14"/>
          <w:rtl w:val="0"/>
        </w:rPr>
        <w:t xml:space="preserve">Implement a symbolic currency, Stability Units (SU), for public transactions. Prices will be displayed in SU, and conversions to the existing currency will occur at the point of purchase.</w:t>
      </w:r>
    </w:p>
    <w:p w:rsidR="00000000" w:rsidDel="00000000" w:rsidP="00000000" w:rsidRDefault="00000000" w:rsidRPr="00000000" w14:paraId="00000035">
      <w:pPr>
        <w:rPr>
          <w:rFonts w:ascii="Poppins" w:cs="Poppins" w:eastAsia="Poppins" w:hAnsi="Poppins"/>
          <w:sz w:val="14"/>
          <w:szCs w:val="14"/>
        </w:rPr>
      </w:pPr>
      <w:r w:rsidDel="00000000" w:rsidR="00000000" w:rsidRPr="00000000">
        <w:rPr>
          <w:rFonts w:ascii="Poppins" w:cs="Poppins" w:eastAsia="Poppins" w:hAnsi="Poppins"/>
          <w:sz w:val="14"/>
          <w:szCs w:val="14"/>
          <w:rtl w:val="0"/>
        </w:rPr>
        <w:t xml:space="preserve">Normalization of Pricing in SU:</w:t>
      </w:r>
    </w:p>
    <w:p w:rsidR="00000000" w:rsidDel="00000000" w:rsidP="00000000" w:rsidRDefault="00000000" w:rsidRPr="00000000" w14:paraId="00000036">
      <w:pPr>
        <w:rPr>
          <w:rFonts w:ascii="Poppins" w:cs="Poppins" w:eastAsia="Poppins" w:hAnsi="Poppins"/>
          <w:sz w:val="14"/>
          <w:szCs w:val="14"/>
        </w:rPr>
      </w:pPr>
      <w:r w:rsidDel="00000000" w:rsidR="00000000" w:rsidRPr="00000000">
        <w:rPr>
          <w:rtl w:val="0"/>
        </w:rPr>
      </w:r>
    </w:p>
    <w:p w:rsidR="00000000" w:rsidDel="00000000" w:rsidP="00000000" w:rsidRDefault="00000000" w:rsidRPr="00000000" w14:paraId="00000037">
      <w:pPr>
        <w:rPr>
          <w:rFonts w:ascii="Poppins" w:cs="Poppins" w:eastAsia="Poppins" w:hAnsi="Poppins"/>
          <w:sz w:val="14"/>
          <w:szCs w:val="14"/>
        </w:rPr>
      </w:pPr>
      <w:r w:rsidDel="00000000" w:rsidR="00000000" w:rsidRPr="00000000">
        <w:rPr>
          <w:rFonts w:ascii="Poppins" w:cs="Poppins" w:eastAsia="Poppins" w:hAnsi="Poppins"/>
          <w:sz w:val="14"/>
          <w:szCs w:val="14"/>
          <w:rtl w:val="0"/>
        </w:rPr>
        <w:t xml:space="preserve">Stabilize prices in SU during a predetermined transition period, allowing individuals to become accustomed to stable reference points regardless of inflationary pressures.</w:t>
      </w:r>
    </w:p>
    <w:p w:rsidR="00000000" w:rsidDel="00000000" w:rsidP="00000000" w:rsidRDefault="00000000" w:rsidRPr="00000000" w14:paraId="00000038">
      <w:pPr>
        <w:rPr>
          <w:rFonts w:ascii="Poppins" w:cs="Poppins" w:eastAsia="Poppins" w:hAnsi="Poppins"/>
          <w:sz w:val="14"/>
          <w:szCs w:val="14"/>
        </w:rPr>
      </w:pPr>
      <w:r w:rsidDel="00000000" w:rsidR="00000000" w:rsidRPr="00000000">
        <w:rPr>
          <w:rFonts w:ascii="Poppins" w:cs="Poppins" w:eastAsia="Poppins" w:hAnsi="Poppins"/>
          <w:sz w:val="14"/>
          <w:szCs w:val="14"/>
          <w:rtl w:val="0"/>
        </w:rPr>
        <w:t xml:space="preserve">Psychological Adjustment Period:</w:t>
      </w:r>
    </w:p>
    <w:p w:rsidR="00000000" w:rsidDel="00000000" w:rsidP="00000000" w:rsidRDefault="00000000" w:rsidRPr="00000000" w14:paraId="00000039">
      <w:pPr>
        <w:rPr>
          <w:rFonts w:ascii="Poppins" w:cs="Poppins" w:eastAsia="Poppins" w:hAnsi="Poppins"/>
          <w:sz w:val="14"/>
          <w:szCs w:val="14"/>
        </w:rPr>
      </w:pPr>
      <w:r w:rsidDel="00000000" w:rsidR="00000000" w:rsidRPr="00000000">
        <w:rPr>
          <w:rtl w:val="0"/>
        </w:rPr>
      </w:r>
    </w:p>
    <w:p w:rsidR="00000000" w:rsidDel="00000000" w:rsidP="00000000" w:rsidRDefault="00000000" w:rsidRPr="00000000" w14:paraId="0000003A">
      <w:pPr>
        <w:rPr>
          <w:rFonts w:ascii="Poppins" w:cs="Poppins" w:eastAsia="Poppins" w:hAnsi="Poppins"/>
          <w:sz w:val="14"/>
          <w:szCs w:val="14"/>
        </w:rPr>
      </w:pPr>
      <w:r w:rsidDel="00000000" w:rsidR="00000000" w:rsidRPr="00000000">
        <w:rPr>
          <w:rFonts w:ascii="Poppins" w:cs="Poppins" w:eastAsia="Poppins" w:hAnsi="Poppins"/>
          <w:sz w:val="14"/>
          <w:szCs w:val="14"/>
          <w:rtl w:val="0"/>
        </w:rPr>
        <w:t xml:space="preserve">Provide citizens with an extended period to familiarize themselves with the actual cost of goods and services in SU, mitigating the psychological impact of inflation.</w:t>
      </w:r>
    </w:p>
    <w:p w:rsidR="00000000" w:rsidDel="00000000" w:rsidP="00000000" w:rsidRDefault="00000000" w:rsidRPr="00000000" w14:paraId="0000003B">
      <w:pPr>
        <w:rPr>
          <w:rFonts w:ascii="Poppins" w:cs="Poppins" w:eastAsia="Poppins" w:hAnsi="Poppins"/>
          <w:sz w:val="14"/>
          <w:szCs w:val="14"/>
        </w:rPr>
      </w:pPr>
      <w:r w:rsidDel="00000000" w:rsidR="00000000" w:rsidRPr="00000000">
        <w:rPr>
          <w:rFonts w:ascii="Poppins" w:cs="Poppins" w:eastAsia="Poppins" w:hAnsi="Poppins"/>
          <w:sz w:val="14"/>
          <w:szCs w:val="14"/>
          <w:rtl w:val="0"/>
        </w:rPr>
        <w:t xml:space="preserve">Inflation Reflecting in Conversion, Not SU:</w:t>
      </w:r>
    </w:p>
    <w:p w:rsidR="00000000" w:rsidDel="00000000" w:rsidP="00000000" w:rsidRDefault="00000000" w:rsidRPr="00000000" w14:paraId="0000003C">
      <w:pPr>
        <w:rPr>
          <w:rFonts w:ascii="Poppins" w:cs="Poppins" w:eastAsia="Poppins" w:hAnsi="Poppins"/>
          <w:sz w:val="14"/>
          <w:szCs w:val="14"/>
        </w:rPr>
      </w:pPr>
      <w:r w:rsidDel="00000000" w:rsidR="00000000" w:rsidRPr="00000000">
        <w:rPr>
          <w:rtl w:val="0"/>
        </w:rPr>
      </w:r>
    </w:p>
    <w:p w:rsidR="00000000" w:rsidDel="00000000" w:rsidP="00000000" w:rsidRDefault="00000000" w:rsidRPr="00000000" w14:paraId="0000003D">
      <w:pPr>
        <w:rPr>
          <w:rFonts w:ascii="Poppins" w:cs="Poppins" w:eastAsia="Poppins" w:hAnsi="Poppins"/>
          <w:sz w:val="14"/>
          <w:szCs w:val="14"/>
        </w:rPr>
      </w:pPr>
      <w:r w:rsidDel="00000000" w:rsidR="00000000" w:rsidRPr="00000000">
        <w:rPr>
          <w:rFonts w:ascii="Poppins" w:cs="Poppins" w:eastAsia="Poppins" w:hAnsi="Poppins"/>
          <w:sz w:val="14"/>
          <w:szCs w:val="14"/>
          <w:rtl w:val="0"/>
        </w:rPr>
        <w:t xml:space="preserve">Ensure that inflation is reflected in the conversion to the existing currency, not in the SU. For example, an item priced at 5 SU remains consistent during the transition, promoting stability in consumer expectations.</w:t>
      </w:r>
    </w:p>
    <w:p w:rsidR="00000000" w:rsidDel="00000000" w:rsidP="00000000" w:rsidRDefault="00000000" w:rsidRPr="00000000" w14:paraId="0000003E">
      <w:pPr>
        <w:rPr>
          <w:rFonts w:ascii="Poppins" w:cs="Poppins" w:eastAsia="Poppins" w:hAnsi="Poppins"/>
          <w:sz w:val="14"/>
          <w:szCs w:val="14"/>
        </w:rPr>
      </w:pPr>
      <w:r w:rsidDel="00000000" w:rsidR="00000000" w:rsidRPr="00000000">
        <w:rPr>
          <w:rFonts w:ascii="Poppins" w:cs="Poppins" w:eastAsia="Poppins" w:hAnsi="Poppins"/>
          <w:b w:val="1"/>
          <w:sz w:val="14"/>
          <w:szCs w:val="14"/>
          <w:rtl w:val="0"/>
        </w:rPr>
        <w:t xml:space="preserve">C. Seamless Transition to a New Currency</w:t>
      </w:r>
      <w:r w:rsidDel="00000000" w:rsidR="00000000" w:rsidRPr="00000000">
        <w:rPr>
          <w:rFonts w:ascii="Poppins" w:cs="Poppins" w:eastAsia="Poppins" w:hAnsi="Poppins"/>
          <w:sz w:val="14"/>
          <w:szCs w:val="14"/>
          <w:rtl w:val="0"/>
        </w:rPr>
        <w:t xml:space="preserve">: "United Dollar (UD)"</w:t>
      </w:r>
    </w:p>
    <w:p w:rsidR="00000000" w:rsidDel="00000000" w:rsidP="00000000" w:rsidRDefault="00000000" w:rsidRPr="00000000" w14:paraId="0000003F">
      <w:pPr>
        <w:rPr>
          <w:rFonts w:ascii="Poppins" w:cs="Poppins" w:eastAsia="Poppins" w:hAnsi="Poppins"/>
          <w:sz w:val="14"/>
          <w:szCs w:val="14"/>
        </w:rPr>
      </w:pPr>
      <w:r w:rsidDel="00000000" w:rsidR="00000000" w:rsidRPr="00000000">
        <w:rPr>
          <w:rFonts w:ascii="Poppins" w:cs="Poppins" w:eastAsia="Poppins" w:hAnsi="Poppins"/>
          <w:sz w:val="14"/>
          <w:szCs w:val="14"/>
          <w:rtl w:val="0"/>
        </w:rPr>
        <w:t xml:space="preserve">Sunday Switch Event:</w:t>
      </w:r>
    </w:p>
    <w:p w:rsidR="00000000" w:rsidDel="00000000" w:rsidP="00000000" w:rsidRDefault="00000000" w:rsidRPr="00000000" w14:paraId="00000040">
      <w:pPr>
        <w:rPr>
          <w:rFonts w:ascii="Poppins" w:cs="Poppins" w:eastAsia="Poppins" w:hAnsi="Poppins"/>
          <w:sz w:val="14"/>
          <w:szCs w:val="14"/>
        </w:rPr>
      </w:pPr>
      <w:r w:rsidDel="00000000" w:rsidR="00000000" w:rsidRPr="00000000">
        <w:rPr>
          <w:rtl w:val="0"/>
        </w:rPr>
      </w:r>
    </w:p>
    <w:p w:rsidR="00000000" w:rsidDel="00000000" w:rsidP="00000000" w:rsidRDefault="00000000" w:rsidRPr="00000000" w14:paraId="00000041">
      <w:pPr>
        <w:rPr>
          <w:rFonts w:ascii="Poppins" w:cs="Poppins" w:eastAsia="Poppins" w:hAnsi="Poppins"/>
          <w:sz w:val="14"/>
          <w:szCs w:val="14"/>
        </w:rPr>
      </w:pPr>
      <w:r w:rsidDel="00000000" w:rsidR="00000000" w:rsidRPr="00000000">
        <w:rPr>
          <w:rFonts w:ascii="Poppins" w:cs="Poppins" w:eastAsia="Poppins" w:hAnsi="Poppins"/>
          <w:sz w:val="14"/>
          <w:szCs w:val="14"/>
          <w:rtl w:val="0"/>
        </w:rPr>
        <w:t xml:space="preserve">Execute the transition to the new currency, the United Dollar (UD), on a designated day, providing citizens with a clear understanding of the new currency's value.</w:t>
      </w:r>
    </w:p>
    <w:p w:rsidR="00000000" w:rsidDel="00000000" w:rsidP="00000000" w:rsidRDefault="00000000" w:rsidRPr="00000000" w14:paraId="00000042">
      <w:pPr>
        <w:rPr>
          <w:rFonts w:ascii="Poppins" w:cs="Poppins" w:eastAsia="Poppins" w:hAnsi="Poppins"/>
          <w:sz w:val="14"/>
          <w:szCs w:val="14"/>
        </w:rPr>
      </w:pPr>
      <w:r w:rsidDel="00000000" w:rsidR="00000000" w:rsidRPr="00000000">
        <w:rPr>
          <w:rFonts w:ascii="Poppins" w:cs="Poppins" w:eastAsia="Poppins" w:hAnsi="Poppins"/>
          <w:sz w:val="14"/>
          <w:szCs w:val="14"/>
          <w:rtl w:val="0"/>
        </w:rPr>
        <w:t xml:space="preserve">Predictable Pricing:</w:t>
      </w:r>
    </w:p>
    <w:p w:rsidR="00000000" w:rsidDel="00000000" w:rsidP="00000000" w:rsidRDefault="00000000" w:rsidRPr="00000000" w14:paraId="00000043">
      <w:pPr>
        <w:rPr>
          <w:rFonts w:ascii="Poppins" w:cs="Poppins" w:eastAsia="Poppins" w:hAnsi="Poppins"/>
          <w:sz w:val="14"/>
          <w:szCs w:val="14"/>
        </w:rPr>
      </w:pPr>
      <w:r w:rsidDel="00000000" w:rsidR="00000000" w:rsidRPr="00000000">
        <w:rPr>
          <w:rtl w:val="0"/>
        </w:rPr>
      </w:r>
    </w:p>
    <w:p w:rsidR="00000000" w:rsidDel="00000000" w:rsidP="00000000" w:rsidRDefault="00000000" w:rsidRPr="00000000" w14:paraId="00000044">
      <w:pPr>
        <w:rPr>
          <w:rFonts w:ascii="Poppins" w:cs="Poppins" w:eastAsia="Poppins" w:hAnsi="Poppins"/>
          <w:sz w:val="14"/>
          <w:szCs w:val="14"/>
        </w:rPr>
      </w:pPr>
      <w:r w:rsidDel="00000000" w:rsidR="00000000" w:rsidRPr="00000000">
        <w:rPr>
          <w:rFonts w:ascii="Poppins" w:cs="Poppins" w:eastAsia="Poppins" w:hAnsi="Poppins"/>
          <w:sz w:val="14"/>
          <w:szCs w:val="14"/>
          <w:rtl w:val="0"/>
        </w:rPr>
        <w:t xml:space="preserve">Facilitate a smooth transition by ensuring that individuals are already familiar with the prices in SU, promoting stability and predictability in everyday transactions.</w:t>
      </w:r>
    </w:p>
    <w:p w:rsidR="00000000" w:rsidDel="00000000" w:rsidP="00000000" w:rsidRDefault="00000000" w:rsidRPr="00000000" w14:paraId="00000045">
      <w:pPr>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046">
      <w:pPr>
        <w:rPr>
          <w:rFonts w:ascii="Poppins" w:cs="Poppins" w:eastAsia="Poppins" w:hAnsi="Poppins"/>
          <w:b w:val="1"/>
          <w:sz w:val="16"/>
          <w:szCs w:val="16"/>
        </w:rPr>
      </w:pPr>
      <w:r w:rsidDel="00000000" w:rsidR="00000000" w:rsidRPr="00000000">
        <w:rPr>
          <w:rFonts w:ascii="Poppins" w:cs="Poppins" w:eastAsia="Poppins" w:hAnsi="Poppins"/>
          <w:b w:val="1"/>
          <w:sz w:val="16"/>
          <w:szCs w:val="16"/>
          <w:rtl w:val="0"/>
        </w:rPr>
        <w:t xml:space="preserve">IV. Examples and Evidence from other countries on how to curb Inflation</w:t>
      </w:r>
    </w:p>
    <w:p w:rsidR="00000000" w:rsidDel="00000000" w:rsidP="00000000" w:rsidRDefault="00000000" w:rsidRPr="00000000" w14:paraId="00000047">
      <w:pP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48">
      <w:pP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Brazil beat inflation by introducing a unique currency called the Unidade Real de Valor (URV). This transitional currency acted as a stabilizing force during a period of hyperinflation. Prices were displayed in URV, providing a stable reference point for consumers. This allowed people to become accustomed to stable prices, mitigating the psychological impact of inflation. After a transition period, Brazil smoothly introduced a new currency, the United Dollar (UD). This strategic approach, inspired by Brazil's success, helped create an environment of stability, predictability, and equality in the face of rampant inflation (Joffe-Walt, 2010).Transitioning from the case of Brazil to Switzerland, we find another noteworthy example of a country effectively managing inflationary challenges. Let's delve into Switzerland's experience to glean valuable insights into how its unique economic landscape provides lessons for other nations.</w:t>
      </w:r>
    </w:p>
    <w:p w:rsidR="00000000" w:rsidDel="00000000" w:rsidP="00000000" w:rsidRDefault="00000000" w:rsidRPr="00000000" w14:paraId="00000049">
      <w:pP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4A">
      <w:pP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Switzerland was another country that should be used as an example of how a country beats inflation: In the face of global inflation challenges, Switzerland has emerged as a success story, experiencing a relatively modest increase in prices compared to other advanced economies1. Notably, inflation in Switzerland reached a 29-year high of 3.5% in 2022, considerably lower than the double-digit rates witnessed in the U.S. (9.1%), the U.K. (11.1%), and the euro zone (10.6%) (Gilchrist, 2023).</w:t>
      </w:r>
    </w:p>
    <w:p w:rsidR="00000000" w:rsidDel="00000000" w:rsidP="00000000" w:rsidRDefault="00000000" w:rsidRPr="00000000" w14:paraId="0000004B">
      <w:pP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4C">
      <w:pP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Several factors contribute to Switzerland's resilience against rampant inflation. Firstly, Switzerland boasts one of the world's highest GDP per capita, accompanied by a substantial mean wealth of $696,604 per adult1. This economic affluence allows citizens to be less affected by price rises, given their proportionally lower spending on essentials compared to discretionary items (Gilchrist, 2023).</w:t>
      </w:r>
    </w:p>
    <w:p w:rsidR="00000000" w:rsidDel="00000000" w:rsidP="00000000" w:rsidRDefault="00000000" w:rsidRPr="00000000" w14:paraId="0000004D">
      <w:pP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4E">
      <w:pP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The strength of the Swiss franc serves as another pillar of stability, acting as a "safe haven" currency with robust backing from gold, bonds, and financial assets1. This stability not only shields the economy but also provides effective discounts on imports, benefiting both consumers and businesses (Gilchrist, 2023).</w:t>
      </w:r>
    </w:p>
    <w:p w:rsidR="00000000" w:rsidDel="00000000" w:rsidP="00000000" w:rsidRDefault="00000000" w:rsidRPr="00000000" w14:paraId="0000004F">
      <w:pP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50">
      <w:pP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Additionally, Switzerland's energy supply resilience, less dependence on oil and gas imports, and publicly-owned energy suppliers contribute to mitigating the impact of external factors that led to price increases elsewhere1. Price controls on goods and services, stringent regulations on inflation-sensitive core products, and high tariffs on certain agricultural imports further insulate the country from inflation-led fluctuations</w:t>
      </w:r>
    </w:p>
    <w:p w:rsidR="00000000" w:rsidDel="00000000" w:rsidP="00000000" w:rsidRDefault="00000000" w:rsidRPr="00000000" w14:paraId="00000051">
      <w:pP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52">
      <w:pPr>
        <w:rPr>
          <w:rFonts w:ascii="Poppins" w:cs="Poppins" w:eastAsia="Poppins" w:hAnsi="Poppins"/>
          <w:b w:val="1"/>
          <w:sz w:val="16"/>
          <w:szCs w:val="16"/>
        </w:rPr>
      </w:pPr>
      <w:r w:rsidDel="00000000" w:rsidR="00000000" w:rsidRPr="00000000">
        <w:rPr>
          <w:rFonts w:ascii="Poppins" w:cs="Poppins" w:eastAsia="Poppins" w:hAnsi="Poppins"/>
          <w:b w:val="1"/>
          <w:sz w:val="16"/>
          <w:szCs w:val="16"/>
          <w:rtl w:val="0"/>
        </w:rPr>
        <w:t xml:space="preserve">V.Presentation of real-world examples demonstrating the impact of inflation on income inequality</w:t>
      </w:r>
    </w:p>
    <w:p w:rsidR="00000000" w:rsidDel="00000000" w:rsidP="00000000" w:rsidRDefault="00000000" w:rsidRPr="00000000" w14:paraId="00000053">
      <w:pP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54">
      <w:pP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In presenting real-world examples demonstrating the impact of inflation on income inequality, it's essential to explicitly connect these findings to the broader theme of income inequality and inflation. This ensures that the specific examples provided contribute to the overall understanding of the complex relationship between inflation and income distribution.</w:t>
      </w:r>
      <w:r w:rsidDel="00000000" w:rsidR="00000000" w:rsidRPr="00000000">
        <w:rPr>
          <w:rtl w:val="0"/>
        </w:rPr>
      </w:r>
    </w:p>
    <w:p w:rsidR="00000000" w:rsidDel="00000000" w:rsidP="00000000" w:rsidRDefault="00000000" w:rsidRPr="00000000" w14:paraId="00000055">
      <w:pP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In the insightful article "Inflation could wreak vengeance on the world’s poor" by Indermit Gill and Peter Nagle (March 18, 2022), the analysis delves into the varying impacts of inflation on different demographic groups and socioeconomic strata. Examining spending patterns among racial and ethnic groups, the study reveals distinctive allocations within household budgets. Notably, Hispanic and Black households prioritize transportation expenses, while Asian American/Pacific Islander (AAPI) households allocate a higher share to housing. Throughout the 2021-22 inflationary period, Hispanic households faced inflation rates surpassing the national average, primarily due to substantial increases in transportation costs, echoing the experiences of Black households. An intriguing shift occurs post-June 2022, witnessing a reduction in inflation disparities across these groups as transportation inflation decreases.</w:t>
      </w:r>
    </w:p>
    <w:p w:rsidR="00000000" w:rsidDel="00000000" w:rsidP="00000000" w:rsidRDefault="00000000" w:rsidRPr="00000000" w14:paraId="00000056">
      <w:pP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57">
      <w:pP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Furthermore, the study explores the nuanced relationship between inflation and household income. During the 2021 inflationary period, middle-income households consistently experienced inflation rates exceeding the national average, largely propelled by heightened transportation costs. Interestingly, the top 20 percent initially faced higher inflation but later experienced the lowest inflation rates as used car inflation subsided. In contrast, the bottom 40 percent, initially witnessing below-average inflation, encountered higher-than-national-average inflation rates by December 2022.</w:t>
      </w:r>
    </w:p>
    <w:p w:rsidR="00000000" w:rsidDel="00000000" w:rsidP="00000000" w:rsidRDefault="00000000" w:rsidRPr="00000000" w14:paraId="00000058">
      <w:pP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59">
      <w:pP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In summary, the study highlights the narrowing of inflation disparities driven by diverse exposures to transportation costs. However, it underscores the emergence of new patterns, particularly affecting groups like AAPI households and those with lower incomes, who experience higher inflation due to rapid price increases in specific categories. The study advocates for further exploration of inflation inequality across various economic and demographic categories in subsequent posts of the series.</w:t>
      </w:r>
    </w:p>
    <w:p w:rsidR="00000000" w:rsidDel="00000000" w:rsidP="00000000" w:rsidRDefault="00000000" w:rsidRPr="00000000" w14:paraId="0000005A">
      <w:pP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5B">
      <w:pP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Moving beyond the analysis of inflation disparities, the article sheds light on the challenges faced by poorer households in mitigating the impact of inflation. A central observation is that these households often lack access to financial products that could shield them from inflation due to associated upfront or ongoing costs. While nearly all U.S. households possess transaction or checking accounts, the ownership of savings or investment products is considerably lower. Notably, the wealthiest quartile is significantly more likely to hold financial assets such as certificates of deposit, savings bonds, and investment funds. The article underscores that high inflation exacerbates inequality by disproportionately affecting the income and savings of poorer and middle-income households compared to wealthier counterparts, potentially leading recently escaped households back into poverty.</w:t>
      </w:r>
    </w:p>
    <w:p w:rsidR="00000000" w:rsidDel="00000000" w:rsidP="00000000" w:rsidRDefault="00000000" w:rsidRPr="00000000" w14:paraId="0000005C">
      <w:pP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5D">
      <w:pP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Moreover, the article contends that poorer households may experience higher inflation rates than wealthier ones, emphasizing the discrepancy in spending composition. Consumer-price inflation measures utilize a basket of goods representative of the average consumer, yet spending patterns vary significantly by income group. Lower-income households in developing economies, for instance, allocate roughly 50% of their income to food, while higher-income households allocate just 20%. The recent surge in food and energy prices poses a disproportionate impact on the poorest households. Wealthier households, in times of economic crises, can pivot to lower-quality goods and take advantage of bulk purchase discounts, options often unavailable to poorer households. Despite potential benefits for some poor households in developing economies who are net food sellers, the majority, as net buyers, experience increased overall poverty during food-price spikes.</w:t>
      </w:r>
    </w:p>
    <w:p w:rsidR="00000000" w:rsidDel="00000000" w:rsidP="00000000" w:rsidRDefault="00000000" w:rsidRPr="00000000" w14:paraId="0000005E">
      <w:pP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5F">
      <w:pP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The article explores governmental responses to mitigate the impact of inflation, with subsidies emerging as a transitional tool not one that should be permanent. While subsidies demonstrate short-term effectiveness, the article warns against their prolonged maintenance, citing potential adverse effects. Prolonged subsidies, particularly in energy, can divert funds from crucial areas like infrastructure, health, and education. The regressive nature of energy subsidies, which tend to benefit wealthier households more than poorer ones, raises concerns about encouraging excess consumption.</w:t>
      </w:r>
    </w:p>
    <w:p w:rsidR="00000000" w:rsidDel="00000000" w:rsidP="00000000" w:rsidRDefault="00000000" w:rsidRPr="00000000" w14:paraId="00000060">
      <w:pP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61">
      <w:pP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In response to these challenges, the article recommends policymakers prioritize social welfare policies over prolonged subsidies. These policies encompass targeted safety nets such as cash transfers, food assistance, in-kind transfers, school feeding programs, and public works initiatives. An emphasis on calculating inflation indexes for different income groups is advocated to better inform the design of these social safety nets. The article emphasizes the need for global cooperation to steer clear of futile measures and encourages governments to enhance access to financial products for poor families. Achieving this, the article suggests, involves promoting greater competition in the financial sector.</w:t>
      </w:r>
    </w:p>
    <w:p w:rsidR="00000000" w:rsidDel="00000000" w:rsidP="00000000" w:rsidRDefault="00000000" w:rsidRPr="00000000" w14:paraId="00000062">
      <w:pP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63">
      <w:pP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In essence, the article provides a comprehensive exploration of the multifaceted implications of inflation, urging policymakers to adopt proactive measures that consider the diverse impacts on vulnerable populations.</w:t>
      </w:r>
    </w:p>
    <w:p w:rsidR="00000000" w:rsidDel="00000000" w:rsidP="00000000" w:rsidRDefault="00000000" w:rsidRPr="00000000" w14:paraId="00000064">
      <w:pP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65">
      <w:pPr>
        <w:rPr>
          <w:rFonts w:ascii="Poppins" w:cs="Poppins" w:eastAsia="Poppins" w:hAnsi="Poppins"/>
          <w:sz w:val="16"/>
          <w:szCs w:val="16"/>
        </w:rPr>
      </w:pPr>
      <w:r w:rsidDel="00000000" w:rsidR="00000000" w:rsidRPr="00000000">
        <w:rPr>
          <w:rFonts w:ascii="Poppins" w:cs="Poppins" w:eastAsia="Poppins" w:hAnsi="Poppins"/>
          <w:b w:val="1"/>
          <w:sz w:val="16"/>
          <w:szCs w:val="16"/>
          <w:rtl w:val="0"/>
        </w:rPr>
        <w:t xml:space="preserve">VI. Social Consequences of a Widening Wealth Gap</w:t>
      </w:r>
      <w:r w:rsidDel="00000000" w:rsidR="00000000" w:rsidRPr="00000000">
        <w:rPr>
          <w:rtl w:val="0"/>
        </w:rPr>
      </w:r>
    </w:p>
    <w:p w:rsidR="00000000" w:rsidDel="00000000" w:rsidP="00000000" w:rsidRDefault="00000000" w:rsidRPr="00000000" w14:paraId="00000066">
      <w:pP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In dissecting the social consequences of rising income inequality, it is imperative to comprehend the multiple ways in which an expanding wealth gap directly affects vulnerable populations. Drawing upon the insights presented in this paper, we can capture the potential social consequences in a comprehensive manner:</w:t>
      </w:r>
    </w:p>
    <w:p w:rsidR="00000000" w:rsidDel="00000000" w:rsidP="00000000" w:rsidRDefault="00000000" w:rsidRPr="00000000" w14:paraId="00000067">
      <w:pP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68">
      <w:pPr>
        <w:rPr>
          <w:rFonts w:ascii="Poppins" w:cs="Poppins" w:eastAsia="Poppins" w:hAnsi="Poppins"/>
          <w:sz w:val="16"/>
          <w:szCs w:val="16"/>
        </w:rPr>
      </w:pPr>
      <w:r w:rsidDel="00000000" w:rsidR="00000000" w:rsidRPr="00000000">
        <w:rPr>
          <w:rFonts w:ascii="Poppins" w:cs="Poppins" w:eastAsia="Poppins" w:hAnsi="Poppins"/>
          <w:b w:val="1"/>
          <w:sz w:val="16"/>
          <w:szCs w:val="16"/>
          <w:rtl w:val="0"/>
        </w:rPr>
        <w:t xml:space="preserve">Income Disparities by Race and Ethnicity</w:t>
      </w:r>
      <w:r w:rsidDel="00000000" w:rsidR="00000000" w:rsidRPr="00000000">
        <w:rPr>
          <w:rFonts w:ascii="Poppins" w:cs="Poppins" w:eastAsia="Poppins" w:hAnsi="Poppins"/>
          <w:sz w:val="16"/>
          <w:szCs w:val="16"/>
          <w:rtl w:val="0"/>
        </w:rPr>
        <w:t xml:space="preserve">:</w:t>
      </w:r>
    </w:p>
    <w:p w:rsidR="00000000" w:rsidDel="00000000" w:rsidP="00000000" w:rsidRDefault="00000000" w:rsidRPr="00000000" w14:paraId="00000069">
      <w:pP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Income inequality manifests disparately across diverse racial and ethnic groups. Notably, variations in inflation rates among Hispanic, Black, and Asian American/Pacific Islander households contribute to distinct experiences of challenges related to inflation.</w:t>
      </w:r>
    </w:p>
    <w:p w:rsidR="00000000" w:rsidDel="00000000" w:rsidP="00000000" w:rsidRDefault="00000000" w:rsidRPr="00000000" w14:paraId="0000006A">
      <w:pP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6B">
      <w:pPr>
        <w:rPr>
          <w:rFonts w:ascii="Poppins" w:cs="Poppins" w:eastAsia="Poppins" w:hAnsi="Poppins"/>
          <w:sz w:val="16"/>
          <w:szCs w:val="16"/>
        </w:rPr>
      </w:pPr>
      <w:r w:rsidDel="00000000" w:rsidR="00000000" w:rsidRPr="00000000">
        <w:rPr>
          <w:rFonts w:ascii="Poppins" w:cs="Poppins" w:eastAsia="Poppins" w:hAnsi="Poppins"/>
          <w:b w:val="1"/>
          <w:sz w:val="16"/>
          <w:szCs w:val="16"/>
          <w:rtl w:val="0"/>
        </w:rPr>
        <w:t xml:space="preserve">Income Disparities by Income Levels</w:t>
      </w:r>
      <w:r w:rsidDel="00000000" w:rsidR="00000000" w:rsidRPr="00000000">
        <w:rPr>
          <w:rFonts w:ascii="Poppins" w:cs="Poppins" w:eastAsia="Poppins" w:hAnsi="Poppins"/>
          <w:sz w:val="16"/>
          <w:szCs w:val="16"/>
          <w:rtl w:val="0"/>
        </w:rPr>
        <w:t xml:space="preserve">:</w:t>
      </w:r>
    </w:p>
    <w:p w:rsidR="00000000" w:rsidDel="00000000" w:rsidP="00000000" w:rsidRDefault="00000000" w:rsidRPr="00000000" w14:paraId="0000006C">
      <w:pP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The impact of income inequality diverges based on income levels within households. Lower-income households are susceptible to higher inflation rates for essential goods, such as food and housing, thereby intensifying economic strain.</w:t>
      </w:r>
    </w:p>
    <w:p w:rsidR="00000000" w:rsidDel="00000000" w:rsidP="00000000" w:rsidRDefault="00000000" w:rsidRPr="00000000" w14:paraId="0000006D">
      <w:pP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6E">
      <w:pPr>
        <w:rPr>
          <w:rFonts w:ascii="Poppins" w:cs="Poppins" w:eastAsia="Poppins" w:hAnsi="Poppins"/>
          <w:sz w:val="16"/>
          <w:szCs w:val="16"/>
        </w:rPr>
      </w:pPr>
      <w:r w:rsidDel="00000000" w:rsidR="00000000" w:rsidRPr="00000000">
        <w:rPr>
          <w:rFonts w:ascii="Poppins" w:cs="Poppins" w:eastAsia="Poppins" w:hAnsi="Poppins"/>
          <w:b w:val="1"/>
          <w:sz w:val="16"/>
          <w:szCs w:val="16"/>
          <w:rtl w:val="0"/>
        </w:rPr>
        <w:t xml:space="preserve">Composition of Financial Assets</w:t>
      </w:r>
      <w:r w:rsidDel="00000000" w:rsidR="00000000" w:rsidRPr="00000000">
        <w:rPr>
          <w:rFonts w:ascii="Poppins" w:cs="Poppins" w:eastAsia="Poppins" w:hAnsi="Poppins"/>
          <w:sz w:val="16"/>
          <w:szCs w:val="16"/>
          <w:rtl w:val="0"/>
        </w:rPr>
        <w:t xml:space="preserve">:</w:t>
      </w:r>
    </w:p>
    <w:p w:rsidR="00000000" w:rsidDel="00000000" w:rsidP="00000000" w:rsidRDefault="00000000" w:rsidRPr="00000000" w14:paraId="0000006F">
      <w:pP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Financial vulnerability is exacerbated for poorer households due to limited access to protective financial products against inflation. In contrast, wealthier households possess assets that serve as effective hedges, resulting in a discernible disparity in financial resilience.</w:t>
      </w:r>
    </w:p>
    <w:p w:rsidR="00000000" w:rsidDel="00000000" w:rsidP="00000000" w:rsidRDefault="00000000" w:rsidRPr="00000000" w14:paraId="00000070">
      <w:pP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71">
      <w:pPr>
        <w:rPr>
          <w:rFonts w:ascii="Poppins" w:cs="Poppins" w:eastAsia="Poppins" w:hAnsi="Poppins"/>
          <w:sz w:val="16"/>
          <w:szCs w:val="16"/>
        </w:rPr>
      </w:pPr>
      <w:r w:rsidDel="00000000" w:rsidR="00000000" w:rsidRPr="00000000">
        <w:rPr>
          <w:rFonts w:ascii="Poppins" w:cs="Poppins" w:eastAsia="Poppins" w:hAnsi="Poppins"/>
          <w:b w:val="1"/>
          <w:sz w:val="16"/>
          <w:szCs w:val="16"/>
          <w:rtl w:val="0"/>
        </w:rPr>
        <w:t xml:space="preserve">Government Policies and Subsidies</w:t>
      </w:r>
      <w:r w:rsidDel="00000000" w:rsidR="00000000" w:rsidRPr="00000000">
        <w:rPr>
          <w:rFonts w:ascii="Poppins" w:cs="Poppins" w:eastAsia="Poppins" w:hAnsi="Poppins"/>
          <w:sz w:val="16"/>
          <w:szCs w:val="16"/>
          <w:rtl w:val="0"/>
        </w:rPr>
        <w:t xml:space="preserve">:</w:t>
      </w:r>
    </w:p>
    <w:p w:rsidR="00000000" w:rsidDel="00000000" w:rsidP="00000000" w:rsidRDefault="00000000" w:rsidRPr="00000000" w14:paraId="00000072">
      <w:pP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Government responses, particularly prolonged subsidies, wield a direct influence on vulnerable populations. Extended subsidy programs might divert essential funds from public services, detrimentally impacting those dependent on these resources.</w:t>
      </w:r>
    </w:p>
    <w:p w:rsidR="00000000" w:rsidDel="00000000" w:rsidP="00000000" w:rsidRDefault="00000000" w:rsidRPr="00000000" w14:paraId="00000073">
      <w:pP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74">
      <w:pPr>
        <w:rPr>
          <w:rFonts w:ascii="Poppins" w:cs="Poppins" w:eastAsia="Poppins" w:hAnsi="Poppins"/>
          <w:sz w:val="16"/>
          <w:szCs w:val="16"/>
        </w:rPr>
      </w:pPr>
      <w:r w:rsidDel="00000000" w:rsidR="00000000" w:rsidRPr="00000000">
        <w:rPr>
          <w:rFonts w:ascii="Poppins" w:cs="Poppins" w:eastAsia="Poppins" w:hAnsi="Poppins"/>
          <w:b w:val="1"/>
          <w:sz w:val="16"/>
          <w:szCs w:val="16"/>
          <w:rtl w:val="0"/>
        </w:rPr>
        <w:t xml:space="preserve">Trade Restrictions and Global Consequences</w:t>
      </w:r>
      <w:r w:rsidDel="00000000" w:rsidR="00000000" w:rsidRPr="00000000">
        <w:rPr>
          <w:rFonts w:ascii="Poppins" w:cs="Poppins" w:eastAsia="Poppins" w:hAnsi="Poppins"/>
          <w:sz w:val="16"/>
          <w:szCs w:val="16"/>
          <w:rtl w:val="0"/>
        </w:rPr>
        <w:t xml:space="preserve">:</w:t>
      </w:r>
    </w:p>
    <w:p w:rsidR="00000000" w:rsidDel="00000000" w:rsidP="00000000" w:rsidRDefault="00000000" w:rsidRPr="00000000" w14:paraId="00000075">
      <w:pP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Measures like trade restrictions reverberate globally, potentially exacerbating poverty among vulnerable populations. Emphasizing international cooperation becomes pivotal in addressing challenges stemming from inflation.</w:t>
      </w:r>
    </w:p>
    <w:p w:rsidR="00000000" w:rsidDel="00000000" w:rsidP="00000000" w:rsidRDefault="00000000" w:rsidRPr="00000000" w14:paraId="00000076">
      <w:pP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77">
      <w:pPr>
        <w:rPr>
          <w:rFonts w:ascii="Poppins" w:cs="Poppins" w:eastAsia="Poppins" w:hAnsi="Poppins"/>
          <w:sz w:val="16"/>
          <w:szCs w:val="16"/>
        </w:rPr>
      </w:pPr>
      <w:r w:rsidDel="00000000" w:rsidR="00000000" w:rsidRPr="00000000">
        <w:rPr>
          <w:rFonts w:ascii="Poppins" w:cs="Poppins" w:eastAsia="Poppins" w:hAnsi="Poppins"/>
          <w:b w:val="1"/>
          <w:sz w:val="16"/>
          <w:szCs w:val="16"/>
          <w:rtl w:val="0"/>
        </w:rPr>
        <w:t xml:space="preserve">Social Welfare Policies</w:t>
      </w:r>
      <w:r w:rsidDel="00000000" w:rsidR="00000000" w:rsidRPr="00000000">
        <w:rPr>
          <w:rFonts w:ascii="Poppins" w:cs="Poppins" w:eastAsia="Poppins" w:hAnsi="Poppins"/>
          <w:sz w:val="16"/>
          <w:szCs w:val="16"/>
          <w:rtl w:val="0"/>
        </w:rPr>
        <w:t xml:space="preserve">:</w:t>
      </w:r>
    </w:p>
    <w:p w:rsidR="00000000" w:rsidDel="00000000" w:rsidP="00000000" w:rsidRDefault="00000000" w:rsidRPr="00000000" w14:paraId="00000078">
      <w:pP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Importance of Social Safety Nets:</w:t>
      </w:r>
    </w:p>
    <w:p w:rsidR="00000000" w:rsidDel="00000000" w:rsidP="00000000" w:rsidRDefault="00000000" w:rsidRPr="00000000" w14:paraId="00000079">
      <w:pP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With the widening income inequality, targeted social safety nets emerge as critical shields for vulnerable populations. Policies encompassing cash transfers, food assistance, and public works programs play a crucial role in alleviating the impact of rising prices on essential goods.</w:t>
      </w:r>
    </w:p>
    <w:p w:rsidR="00000000" w:rsidDel="00000000" w:rsidP="00000000" w:rsidRDefault="00000000" w:rsidRPr="00000000" w14:paraId="0000007A">
      <w:pP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7B">
      <w:pP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Role of Central Banks:</w:t>
      </w:r>
    </w:p>
    <w:p w:rsidR="00000000" w:rsidDel="00000000" w:rsidP="00000000" w:rsidRDefault="00000000" w:rsidRPr="00000000" w14:paraId="0000007C">
      <w:pP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Central banks in emerging markets and developing economies are implored to consider the ramifications of their actions on poverty and inequality. Policymakers are urged to design measures that shield vulnerable groups from the adverse effects of inflation.</w:t>
      </w:r>
    </w:p>
    <w:p w:rsidR="00000000" w:rsidDel="00000000" w:rsidP="00000000" w:rsidRDefault="00000000" w:rsidRPr="00000000" w14:paraId="0000007D">
      <w:pP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7E">
      <w:pPr>
        <w:rPr>
          <w:rFonts w:ascii="Poppins" w:cs="Poppins" w:eastAsia="Poppins" w:hAnsi="Poppins"/>
          <w:sz w:val="16"/>
          <w:szCs w:val="16"/>
        </w:rPr>
      </w:pPr>
      <w:r w:rsidDel="00000000" w:rsidR="00000000" w:rsidRPr="00000000">
        <w:rPr>
          <w:rFonts w:ascii="Poppins" w:cs="Poppins" w:eastAsia="Poppins" w:hAnsi="Poppins"/>
          <w:b w:val="1"/>
          <w:sz w:val="16"/>
          <w:szCs w:val="16"/>
          <w:rtl w:val="0"/>
        </w:rPr>
        <w:t xml:space="preserve">Long-term Consequences and Inequality Dynamics</w:t>
      </w:r>
      <w:r w:rsidDel="00000000" w:rsidR="00000000" w:rsidRPr="00000000">
        <w:rPr>
          <w:rFonts w:ascii="Poppins" w:cs="Poppins" w:eastAsia="Poppins" w:hAnsi="Poppins"/>
          <w:sz w:val="16"/>
          <w:szCs w:val="16"/>
          <w:rtl w:val="0"/>
        </w:rPr>
        <w:t xml:space="preserve">:</w:t>
      </w:r>
    </w:p>
    <w:p w:rsidR="00000000" w:rsidDel="00000000" w:rsidP="00000000" w:rsidRDefault="00000000" w:rsidRPr="00000000" w14:paraId="0000007F">
      <w:pP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Inflation Disparities Over Time:</w:t>
      </w:r>
    </w:p>
    <w:p w:rsidR="00000000" w:rsidDel="00000000" w:rsidP="00000000" w:rsidRDefault="00000000" w:rsidRPr="00000000" w14:paraId="00000080">
      <w:pP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The trajectory of inflation disparities is not static but evolves over time. Influenced by factors such as changes in transportation costs and fluctuations in global markets, understanding these dynamics becomes imperative for crafting effective policies that adapt to the evolving challenges faced by vulnerable populations.</w:t>
      </w:r>
    </w:p>
    <w:p w:rsidR="00000000" w:rsidDel="00000000" w:rsidP="00000000" w:rsidRDefault="00000000" w:rsidRPr="00000000" w14:paraId="00000081">
      <w:pP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82">
      <w:pP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In summary, the exploration of the social consequences emanating from heightened income inequality underscores the need to acknowledge differential impacts on vulnerable populations. This recognition extends across factors such as race, income level, access to financial resources, and the efficacy of government policies. Crafting inclusive social welfare policies and fostering international cooperation emerge as pivotal strategies in confronting the multifaceted challenges posed by a widening wealth gap.</w:t>
      </w:r>
    </w:p>
    <w:p w:rsidR="00000000" w:rsidDel="00000000" w:rsidP="00000000" w:rsidRDefault="00000000" w:rsidRPr="00000000" w14:paraId="00000083">
      <w:pP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84">
      <w:pPr>
        <w:rPr>
          <w:rFonts w:ascii="Poppins" w:cs="Poppins" w:eastAsia="Poppins" w:hAnsi="Poppins"/>
          <w:b w:val="1"/>
          <w:sz w:val="16"/>
          <w:szCs w:val="16"/>
        </w:rPr>
      </w:pPr>
      <w:r w:rsidDel="00000000" w:rsidR="00000000" w:rsidRPr="00000000">
        <w:rPr>
          <w:rFonts w:ascii="Poppins" w:cs="Poppins" w:eastAsia="Poppins" w:hAnsi="Poppins"/>
          <w:b w:val="1"/>
          <w:sz w:val="16"/>
          <w:szCs w:val="16"/>
          <w:rtl w:val="0"/>
        </w:rPr>
        <w:t xml:space="preserve">VI. Conclusion</w:t>
      </w:r>
    </w:p>
    <w:p w:rsidR="00000000" w:rsidDel="00000000" w:rsidP="00000000" w:rsidRDefault="00000000" w:rsidRPr="00000000" w14:paraId="00000085">
      <w:pP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86">
      <w:pP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In summary, our exploration of how inflation influences income inequality reveals a complex scenario with significant consequences for various social groups. To recap the main points, we found that differences in inflation rates among different races and income levels play a crucial role in widening the wealth gap. This supports the main argument that inflation exacerbates income inequality, as seen through the lens of diverse factors impacting different segments of society.</w:t>
      </w:r>
    </w:p>
    <w:p w:rsidR="00000000" w:rsidDel="00000000" w:rsidP="00000000" w:rsidRDefault="00000000" w:rsidRPr="00000000" w14:paraId="00000087">
      <w:pP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88">
      <w:pP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The thesis statement gets strong backing from our analysis, highlighting the need to consider how inflation affects the composition of financial assets and the outcomes of government policies. We emphasize the importance of targeted social safety nets, like cash transfers and public works programs, to shield vulnerable populations from the adverse effects of rising prices. International cooperation and thoughtful central bank policies are also crucial to address global consequences and promote inclusive economic practices.</w:t>
      </w:r>
    </w:p>
    <w:p w:rsidR="00000000" w:rsidDel="00000000" w:rsidP="00000000" w:rsidRDefault="00000000" w:rsidRPr="00000000" w14:paraId="00000089">
      <w:pP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8A">
      <w:pP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In wrapping up, this exploration calls for continued consideration and action. Policymakers are encouraged to delve deeper into the evolving dynamics of inflation disparities, refining social safety nets to meet the specific needs of diverse communities. Future research should explore the long-term consequences of inflation on income inequality and evaluate the effectiveness of policy interventions. The fight against inflation-induced income inequality is a shared responsibility, calling for collective efforts to strive for a fairer and more inclusive economic landscape.  </w:t>
      </w:r>
    </w:p>
    <w:p w:rsidR="00000000" w:rsidDel="00000000" w:rsidP="00000000" w:rsidRDefault="00000000" w:rsidRPr="00000000" w14:paraId="0000008B">
      <w:pPr>
        <w:jc w:val="center"/>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08C">
      <w:pPr>
        <w:jc w:val="center"/>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08D">
      <w:pPr>
        <w:jc w:val="center"/>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08E">
      <w:pPr>
        <w:jc w:val="center"/>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08F">
      <w:pPr>
        <w:jc w:val="center"/>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090">
      <w:pPr>
        <w:jc w:val="center"/>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091">
      <w:pPr>
        <w:jc w:val="center"/>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092">
      <w:pPr>
        <w:jc w:val="center"/>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093">
      <w:pPr>
        <w:jc w:val="center"/>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094">
      <w:pPr>
        <w:jc w:val="center"/>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095">
      <w:pPr>
        <w:jc w:val="center"/>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096">
      <w:pPr>
        <w:jc w:val="center"/>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097">
      <w:pPr>
        <w:jc w:val="center"/>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098">
      <w:pPr>
        <w:jc w:val="center"/>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099">
      <w:pPr>
        <w:jc w:val="center"/>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09A">
      <w:pPr>
        <w:jc w:val="center"/>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09B">
      <w:pPr>
        <w:jc w:val="center"/>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09C">
      <w:pPr>
        <w:jc w:val="center"/>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09D">
      <w:pPr>
        <w:jc w:val="center"/>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09E">
      <w:pPr>
        <w:jc w:val="center"/>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09F">
      <w:pPr>
        <w:jc w:val="center"/>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0A0">
      <w:pPr>
        <w:jc w:val="center"/>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0A1">
      <w:pPr>
        <w:jc w:val="center"/>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0A2">
      <w:pPr>
        <w:jc w:val="center"/>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0A3">
      <w:pPr>
        <w:jc w:val="center"/>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0A4">
      <w:pPr>
        <w:jc w:val="cente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A5">
      <w:pPr>
        <w:jc w:val="cente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A6">
      <w:pPr>
        <w:jc w:val="cente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A7">
      <w:pPr>
        <w:jc w:val="cente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A8">
      <w:pPr>
        <w:jc w:val="cente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A9">
      <w:pPr>
        <w:jc w:val="cente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AA">
      <w:pPr>
        <w:jc w:val="cente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AB">
      <w:pPr>
        <w:jc w:val="cente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AC">
      <w:pPr>
        <w:jc w:val="cente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AD">
      <w:pPr>
        <w:jc w:val="cente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AE">
      <w:pPr>
        <w:jc w:val="cente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AF">
      <w:pPr>
        <w:jc w:val="cente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B0">
      <w:pPr>
        <w:jc w:val="cente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B1">
      <w:pPr>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Works Cited</w:t>
      </w:r>
    </w:p>
    <w:p w:rsidR="00000000" w:rsidDel="00000000" w:rsidP="00000000" w:rsidRDefault="00000000" w:rsidRPr="00000000" w14:paraId="000000B2">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rFonts w:ascii="Poppins" w:cs="Poppins" w:eastAsia="Poppins" w:hAnsi="Poppins"/>
          <w:color w:val="1155cc"/>
          <w:sz w:val="16"/>
          <w:szCs w:val="16"/>
        </w:rPr>
      </w:pPr>
      <w:r w:rsidDel="00000000" w:rsidR="00000000" w:rsidRPr="00000000">
        <w:rPr>
          <w:rFonts w:ascii="Poppins" w:cs="Poppins" w:eastAsia="Poppins" w:hAnsi="Poppins"/>
          <w:sz w:val="16"/>
          <w:szCs w:val="16"/>
          <w:rtl w:val="0"/>
        </w:rPr>
        <w:t xml:space="preserve">Gill, I., &amp; Nagle, P. (2022, March 18). Inflation could wreak vengeance on the world’s poor. Brookings.</w:t>
      </w:r>
      <w:hyperlink r:id="rId6">
        <w:r w:rsidDel="00000000" w:rsidR="00000000" w:rsidRPr="00000000">
          <w:rPr>
            <w:rFonts w:ascii="Poppins" w:cs="Poppins" w:eastAsia="Poppins" w:hAnsi="Poppins"/>
            <w:sz w:val="16"/>
            <w:szCs w:val="16"/>
            <w:rtl w:val="0"/>
          </w:rPr>
          <w:t xml:space="preserve"> </w:t>
        </w:r>
      </w:hyperlink>
      <w:hyperlink r:id="rId7">
        <w:r w:rsidDel="00000000" w:rsidR="00000000" w:rsidRPr="00000000">
          <w:rPr>
            <w:rFonts w:ascii="Poppins" w:cs="Poppins" w:eastAsia="Poppins" w:hAnsi="Poppins"/>
            <w:color w:val="1155cc"/>
            <w:sz w:val="16"/>
            <w:szCs w:val="16"/>
            <w:rtl w:val="0"/>
          </w:rPr>
          <w:t xml:space="preserve">Link</w:t>
        </w:r>
      </w:hyperlink>
      <w:r w:rsidDel="00000000" w:rsidR="00000000" w:rsidRPr="00000000">
        <w:rPr>
          <w:rtl w:val="0"/>
        </w:rPr>
      </w:r>
    </w:p>
    <w:p w:rsidR="00000000" w:rsidDel="00000000" w:rsidP="00000000" w:rsidRDefault="00000000" w:rsidRPr="00000000" w14:paraId="000000B3">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rFonts w:ascii="Poppins" w:cs="Poppins" w:eastAsia="Poppins" w:hAnsi="Poppins"/>
          <w:color w:val="1155cc"/>
          <w:sz w:val="16"/>
          <w:szCs w:val="16"/>
        </w:rPr>
      </w:pPr>
      <w:r w:rsidDel="00000000" w:rsidR="00000000" w:rsidRPr="00000000">
        <w:rPr>
          <w:rFonts w:ascii="Poppins" w:cs="Poppins" w:eastAsia="Poppins" w:hAnsi="Poppins"/>
          <w:sz w:val="16"/>
          <w:szCs w:val="16"/>
          <w:rtl w:val="0"/>
        </w:rPr>
        <w:t xml:space="preserve">Gilchrist, K. (2023, February 27). The small European nation of Switzerland beat sky-high inflation. CNBC.</w:t>
      </w:r>
      <w:hyperlink r:id="rId8">
        <w:r w:rsidDel="00000000" w:rsidR="00000000" w:rsidRPr="00000000">
          <w:rPr>
            <w:rFonts w:ascii="Poppins" w:cs="Poppins" w:eastAsia="Poppins" w:hAnsi="Poppins"/>
            <w:sz w:val="16"/>
            <w:szCs w:val="16"/>
            <w:rtl w:val="0"/>
          </w:rPr>
          <w:t xml:space="preserve"> </w:t>
        </w:r>
      </w:hyperlink>
      <w:hyperlink r:id="rId9">
        <w:r w:rsidDel="00000000" w:rsidR="00000000" w:rsidRPr="00000000">
          <w:rPr>
            <w:rFonts w:ascii="Poppins" w:cs="Poppins" w:eastAsia="Poppins" w:hAnsi="Poppins"/>
            <w:color w:val="1155cc"/>
            <w:sz w:val="16"/>
            <w:szCs w:val="16"/>
            <w:rtl w:val="0"/>
          </w:rPr>
          <w:t xml:space="preserve">Link</w:t>
        </w:r>
      </w:hyperlink>
      <w:r w:rsidDel="00000000" w:rsidR="00000000" w:rsidRPr="00000000">
        <w:rPr>
          <w:rtl w:val="0"/>
        </w:rPr>
      </w:r>
    </w:p>
    <w:p w:rsidR="00000000" w:rsidDel="00000000" w:rsidP="00000000" w:rsidRDefault="00000000" w:rsidRPr="00000000" w14:paraId="000000B4">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rFonts w:ascii="Poppins" w:cs="Poppins" w:eastAsia="Poppins" w:hAnsi="Poppins"/>
          <w:color w:val="1155cc"/>
          <w:sz w:val="16"/>
          <w:szCs w:val="16"/>
        </w:rPr>
      </w:pPr>
      <w:r w:rsidDel="00000000" w:rsidR="00000000" w:rsidRPr="00000000">
        <w:rPr>
          <w:rFonts w:ascii="Poppins" w:cs="Poppins" w:eastAsia="Poppins" w:hAnsi="Poppins"/>
          <w:sz w:val="16"/>
          <w:szCs w:val="16"/>
          <w:rtl w:val="0"/>
        </w:rPr>
        <w:t xml:space="preserve">Joffe-Walt, C. (2010, October 4). How Fake Money Saved Brazil. NPR.</w:t>
      </w:r>
      <w:hyperlink r:id="rId10">
        <w:r w:rsidDel="00000000" w:rsidR="00000000" w:rsidRPr="00000000">
          <w:rPr>
            <w:rFonts w:ascii="Poppins" w:cs="Poppins" w:eastAsia="Poppins" w:hAnsi="Poppins"/>
            <w:sz w:val="16"/>
            <w:szCs w:val="16"/>
            <w:rtl w:val="0"/>
          </w:rPr>
          <w:t xml:space="preserve"> </w:t>
        </w:r>
      </w:hyperlink>
      <w:hyperlink r:id="rId11">
        <w:r w:rsidDel="00000000" w:rsidR="00000000" w:rsidRPr="00000000">
          <w:rPr>
            <w:rFonts w:ascii="Poppins" w:cs="Poppins" w:eastAsia="Poppins" w:hAnsi="Poppins"/>
            <w:color w:val="1155cc"/>
            <w:sz w:val="16"/>
            <w:szCs w:val="16"/>
            <w:rtl w:val="0"/>
          </w:rPr>
          <w:t xml:space="preserve">Link</w:t>
        </w:r>
      </w:hyperlink>
      <w:r w:rsidDel="00000000" w:rsidR="00000000" w:rsidRPr="00000000">
        <w:rPr>
          <w:rtl w:val="0"/>
        </w:rPr>
      </w:r>
    </w:p>
    <w:p w:rsidR="00000000" w:rsidDel="00000000" w:rsidP="00000000" w:rsidRDefault="00000000" w:rsidRPr="00000000" w14:paraId="000000B5">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Berisha, E., Dubey, R. S., &amp; Gharehgozli, O. (2023, January 3). Inflation and income inequality: Does the level of income inequality matter? UNLV.</w:t>
      </w:r>
    </w:p>
    <w:p w:rsidR="00000000" w:rsidDel="00000000" w:rsidP="00000000" w:rsidRDefault="00000000" w:rsidRPr="00000000" w14:paraId="000000B6">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rFonts w:ascii="Poppins" w:cs="Poppins" w:eastAsia="Poppins" w:hAnsi="Poppins"/>
          <w:color w:val="1155cc"/>
          <w:sz w:val="16"/>
          <w:szCs w:val="16"/>
        </w:rPr>
      </w:pPr>
      <w:r w:rsidDel="00000000" w:rsidR="00000000" w:rsidRPr="00000000">
        <w:rPr>
          <w:rFonts w:ascii="Poppins" w:cs="Poppins" w:eastAsia="Poppins" w:hAnsi="Poppins"/>
          <w:sz w:val="16"/>
          <w:szCs w:val="16"/>
          <w:rtl w:val="0"/>
        </w:rPr>
        <w:t xml:space="preserve">The New York Times. (2022, January 28). What May Be in Store as the Fed Cuts Back on the Easy Money.</w:t>
      </w:r>
      <w:hyperlink r:id="rId12">
        <w:r w:rsidDel="00000000" w:rsidR="00000000" w:rsidRPr="00000000">
          <w:rPr>
            <w:rFonts w:ascii="Poppins" w:cs="Poppins" w:eastAsia="Poppins" w:hAnsi="Poppins"/>
            <w:sz w:val="16"/>
            <w:szCs w:val="16"/>
            <w:rtl w:val="0"/>
          </w:rPr>
          <w:t xml:space="preserve"> </w:t>
        </w:r>
      </w:hyperlink>
      <w:hyperlink r:id="rId13">
        <w:r w:rsidDel="00000000" w:rsidR="00000000" w:rsidRPr="00000000">
          <w:rPr>
            <w:rFonts w:ascii="Poppins" w:cs="Poppins" w:eastAsia="Poppins" w:hAnsi="Poppins"/>
            <w:color w:val="1155cc"/>
            <w:sz w:val="16"/>
            <w:szCs w:val="16"/>
            <w:rtl w:val="0"/>
          </w:rPr>
          <w:t xml:space="preserve">Link</w:t>
        </w:r>
      </w:hyperlink>
      <w:r w:rsidDel="00000000" w:rsidR="00000000" w:rsidRPr="00000000">
        <w:rPr>
          <w:rtl w:val="0"/>
        </w:rPr>
      </w:r>
    </w:p>
    <w:p w:rsidR="00000000" w:rsidDel="00000000" w:rsidP="00000000" w:rsidRDefault="00000000" w:rsidRPr="00000000" w14:paraId="000000B7">
      <w:pPr>
        <w:jc w:val="left"/>
        <w:rPr>
          <w:rFonts w:ascii="Poppins" w:cs="Poppins" w:eastAsia="Poppins" w:hAnsi="Poppins"/>
          <w:sz w:val="18"/>
          <w:szCs w:val="1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npr.org/sections/money/2010/10/04/130329523/how-fake-money-saved-brazil" TargetMode="External"/><Relationship Id="rId10" Type="http://schemas.openxmlformats.org/officeDocument/2006/relationships/hyperlink" Target="https://www.npr.org/sections/money/2010/10/04/130329523/how-fake-money-saved-brazil" TargetMode="External"/><Relationship Id="rId13" Type="http://schemas.openxmlformats.org/officeDocument/2006/relationships/hyperlink" Target="https://www.nytimes.com/2022/01/28/business/fed-inflation-stocks-bonds.html" TargetMode="External"/><Relationship Id="rId12" Type="http://schemas.openxmlformats.org/officeDocument/2006/relationships/hyperlink" Target="https://www.nytimes.com/2022/01/28/business/fed-inflation-stocks-bond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nbc.com/2023/02/27/how-switzerland-beat-high-inflation-why-the-swiss-economy-is-strong.html" TargetMode="External"/><Relationship Id="rId5" Type="http://schemas.openxmlformats.org/officeDocument/2006/relationships/styles" Target="styles.xml"/><Relationship Id="rId6" Type="http://schemas.openxmlformats.org/officeDocument/2006/relationships/hyperlink" Target="https://www.brookings.edu/articles/inflation-could-wreak-vengeance-on-the-worlds-poor/" TargetMode="External"/><Relationship Id="rId7" Type="http://schemas.openxmlformats.org/officeDocument/2006/relationships/hyperlink" Target="https://www.brookings.edu/articles/inflation-could-wreak-vengeance-on-the-worlds-poor/" TargetMode="External"/><Relationship Id="rId8" Type="http://schemas.openxmlformats.org/officeDocument/2006/relationships/hyperlink" Target="https://www.cnbc.com/2023/02/27/how-switzerland-beat-high-inflation-why-the-swiss-economy-is-strong.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