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Périmètre fonctionnel du POC</w:t>
      </w:r>
    </w:p>
    <w:p>
      <w:pPr>
        <w:pStyle w:val="Subtitle"/>
      </w:pPr>
      <w:r>
        <w:t>Contrôle d’une traite à partir de captures recto/verso uniquement</w:t>
      </w:r>
    </w:p>
    <w:p>
      <w:pPr/>
      <w:r>
        <w:t>Document de cadrage • 16 septembre 2026 • Version 1.0</w:t>
      </w:r>
    </w:p>
    <w:p>
      <w:pPr/>
      <w:r>
        <w:t>Base : spécification « 20260707 IA AGENTIC TOILETTAGE TRAITE.docx » et périmètre d’entrée confirmé : uniquement des captures de traites, recto et verso. Aucun jeu de factures, bordereaux, contrats, données IMX ou cachets de référence n’est supposé disponible.</w:t>
      </w:r>
    </w:p>
    <w:p>
      <w:pPr>
        <w:pStyle w:val="Heading1"/>
      </w:pPr>
      <w:r>
        <w:t>1. Ce que ce POC doit démontrer</w:t>
      </w:r>
    </w:p>
    <w:p>
      <w:pPr/>
      <w:r>
        <w:t>Le POC doit permettre à un utilisateur de déposer les deux faces d’une traite, d’en extraire les informations visibles, de contrôler leur cohérence interne et les dates, puis de réaliser les quatre vérifications humaines prévues par la spécification. Il doit restituer un résultat documentaire explicable, avec les anomalies, les champs illisibles et les vérifications restant à effectuer.</w:t>
      </w:r>
    </w:p>
    <w:p>
      <w:pPr/>
      <w:r>
        <w:t>Il ne peut pas démontrer l’identité d’un débiteur dans IMX, la conformité à un contrat, la couverture de factures ou l’authenticité d’une signature à partir de ces deux captures seules. Ces contrôles doivent être signalés « Non évalués — données externes indisponibles ». Ils ne doivent être présentés ni comme réussis, ni comme des anomalies du document.</w:t>
      </w:r>
    </w:p>
    <w:p>
      <w:pPr/>
      <w:r>
        <w:t>Le résultat attendu est donc : « Contrôle documentaire de la traite terminé », et non « UC-01 entièrement validé » ou « Traite éligible au financement ». Les contrôles externes restent nécessaires si le périmètre est étendu ultérieurement.</w:t>
      </w:r>
    </w:p>
    <w:p>
      <w:pPr>
        <w:pStyle w:val="Heading2"/>
      </w:pPr>
      <w:r>
        <w:t>1.1 Règle de lecture du document</w:t>
      </w:r>
    </w:p>
    <w:p>
      <w:pPr/>
      <w:r>
        <w:t>Les extractions, comparaisons de champs, dates et quatre zones manuelles proviennent de l’UC-01 et de la synthèse recto/verso. Les modalités de correction, de reprise, de provenance et de présentation des résultats ci-dessous sont des recommandations de fonctionnement pour rendre ce périmètre utilisable ; la spécification ne décrit pas tous ces détails d’interface.</w:t>
      </w:r>
    </w:p>
    <w:p>
      <w:pPr/>
      <w:r>
        <w:t>La présence d’un modèle IA ne change pas la nature de la preuve : un texte visible peut être extrait ; une égalité entre deux lectures peut être contrôlée ; une identité bancaire ou une couverture de facture ne peut pas être inventée. Les valeurs de démonstration du seed actuel ne sont pas des données de référence des captures.</w:t>
      </w:r>
    </w:p>
    <w:p>
      <w:pPr>
        <w:pStyle w:val="Heading1"/>
      </w:pPr>
      <w:r>
        <w:t>2. Entrées autorisées et prérequis</w:t>
      </w:r>
    </w:p>
    <w:p>
      <w:pPr/>
      <w:r>
        <w:t>Un dossier de contrôle correspond à une seule traite avec une capture recto et une capture verso. L’utilisateur associe les deux faces au dépôt. Si le verso ne porte pas d’identifiant permettant une liaison fiable, le système ne doit pas prétendre avoir prouvé automatiquement qu’il appartient au recto.</w:t>
      </w:r>
    </w:p>
    <w:p>
      <w:pPr/>
      <w:r>
        <w:t>Le périmètre porte sur les images, en pratique JPEG/PNG acceptés par le parcours actuel. La réception de PDF, la conversion multipage et la segmentation de lots ne sont pas nécessaires à cette démonstration. Plusieurs traites peuvent être traitées successivement, chacune avec son propre couple de captures ; cela ne constitue pas une gestion métier de remise.</w:t>
      </w:r>
    </w:p>
    <w:p>
      <w:pPr/>
      <w:r>
        <w:t>La date courante est une donnée système utilisable pour les contrôles de dates. Les actions et observations humaines sont enregistrées au cours du traitement. Elles ne sont pas un référentiel IMX ni une preuve d’authenticité. Aucun montant de facture, avoir, nom de référence ou contrat ne doit être créé pour compléter artificiellement un cas.</w:t>
      </w:r>
    </w:p>
    <w:p>
      <w:pPr/>
      <w:r>
        <w:t>Le moteur d’extraction doit être réellement activé sur les images pour démontrer la lecture des captures. Un fournisseur « stub » peut servir à développer l’interface, mais ses résultats doivent être identifiés comme simulés et exclus d’une démonstration de précision OCR.</w:t>
      </w:r>
    </w:p>
    <w:p>
      <w:pPr>
        <w:pStyle w:val="Heading1"/>
        <w:pageBreakBefore/>
      </w:pPr>
      <w:r>
        <w:t>3. Parcours exact attendu</w:t>
      </w:r>
    </w:p>
    <w:p>
      <w:pPr>
        <w:pStyle w:val="Heading2"/>
      </w:pPr>
      <w:r>
        <w:t>Étape 1 — Déposer et vérifier les deux captures</w:t>
      </w:r>
    </w:p>
    <w:p>
      <w:pPr/>
      <w:r>
        <w:t>L’utilisateur sélectionne recto et verso, visualise les fichiers et confirme leur association. Le POC vérifie que les images sont exploitables techniquement et que les deux faces sont présentes. Si un fichier est vide, corrompu ou trop peu lisible pour une lecture fiable, le résultat doit l’expliquer et permettre un remplacement.</w:t>
      </w:r>
    </w:p>
    <w:p>
      <w:pPr/>
      <w:r>
        <w:t>Le contrôle de présence de fichiers ne garantit pas qu’un recto et un verso distincts ont été fournis : une même image envoyée deux fois ne suffit pas à démontrer l’endossement. La vérification de cette association peut rester humaine dans ce POC.</w:t>
      </w:r>
    </w:p>
    <w:p>
      <w:pPr>
        <w:pStyle w:val="Heading2"/>
      </w:pPr>
      <w:r>
        <w:t>Étape 2 — Extraire les informations visibles</w:t>
      </w:r>
    </w:p>
    <w:p>
      <w:pPr/>
      <w:r>
        <w:t>Le POC conserve la lecture brute des champs et leur emplacement logique. Pour un champ répété, chaque occurrence correspond à une zone réellement distincte du document. Une seconde photographie de la même zone ne constitue pas une seconde occurrence ; une valeur absente ne doit pas être recopiée depuis l’autre zone.</w:t>
      </w:r>
    </w:p>
    <w:p>
      <w:pPr/>
      <w:r>
        <w:t>Une donnée absente ou illisible reste sans valeur fiable. Le système peut proposer une lecture incertaine, clairement identifiée comme telle, mais ne doit pas la promouvoir silencieusement en donnée confirmée.</w:t>
      </w:r>
    </w:p>
    <w:p>
      <w:pPr>
        <w:pStyle w:val="Heading2"/>
      </w:pPr>
      <w:r>
        <w:t>Étape 3 — Exécuter les contrôles réalisables sur les captures</w:t>
      </w:r>
    </w:p>
    <w:p>
      <w:pPr/>
      <w:r>
        <w:t>Comparer les occurrences, le montant en chiffres et en lettres, les deux sources du numéro L-CN, les éléments du RIB et les dates. Afficher pour chaque contrôle les valeurs comparées, le résultat et le motif. Distinguer une vraie contradiction, un contrôle réussi et un contrôle impossible faute de lecture.</w:t>
      </w:r>
    </w:p>
    <w:p>
      <w:pPr>
        <w:pStyle w:val="Heading2"/>
      </w:pPr>
      <w:r>
        <w:t>Étape 4 — Corriger les lectures incertaines</w:t>
      </w:r>
    </w:p>
    <w:p>
      <w:pPr/>
      <w:r>
        <w:t>L’utilisateur peut corriger une transcription après consultation du scan, ou remplacer une capture inexploitable. Le POC conserve la valeur d’origine, la correction, l’auteur et la date, puis recalcule les contrôles concernés. Il ne corrige pas automatiquement une valeur simplement pour la faire coïncider avec une autre.</w:t>
      </w:r>
    </w:p>
    <w:p>
      <w:pPr/>
      <w:r>
        <w:t>Si l’image ne permet aucune lecture humaine fiable, le champ reste à contrôler. Une correction ne doit pas fabriquer un renseignement absent du document.</w:t>
      </w:r>
    </w:p>
    <w:p>
      <w:pPr>
        <w:pStyle w:val="Heading2"/>
      </w:pPr>
      <w:r>
        <w:t>Étape 5 — Effectuer les quatre vérifications humaines</w:t>
      </w:r>
    </w:p>
    <w:p>
      <w:pPr/>
      <w:r>
        <w:t>Le caissier ou utilisateur chargé du contrôle examine séparément signature/cachet du tiré, acceptation, signature/cachet du tireur et endossement au verso. Chaque zone reçoit un résultat et, en cas d’anomalie, un commentaire utile. L’IA peut aider à repérer une marque ; elle ne valide pas sa conformité à la place de l’utilisateur.</w:t>
      </w:r>
    </w:p>
    <w:p>
      <w:pPr>
        <w:pStyle w:val="Heading2"/>
      </w:pPr>
      <w:r>
        <w:t>Étape 6 — Restituer le résultat documentaire</w:t>
      </w:r>
    </w:p>
    <w:p>
      <w:pPr/>
      <w:r>
        <w:t>L’écran distingue les contrôles automatiques sur captures, les vérifications humaines et les contrôles externes non évalués. La fin du traitement enregistre les résultats réellement obtenus et leur auteur, sans conclure à une conformité IMX, contractuelle ou financière.</w:t>
      </w:r>
    </w:p>
    <w:p>
      <w:pPr>
        <w:pStyle w:val="Heading1"/>
        <w:pageBreakBefore/>
      </w:pPr>
      <w:r>
        <w:t>4. Données à extraire et traitement attendu</w:t>
      </w:r>
    </w:p>
    <w:p>
      <w:pPr/>
      <w:r>
        <w:t>Cette liste reprend les champs nommés dans l’UC-01 et sa synthèse. Elle ne transforme pas tous les libellés visibles du formulaire en nouvelles obligations métier.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DE3"/>
          <w:left w:val="single" w:sz="4" w:color="D7DDE3"/>
          <w:bottom w:val="single" w:sz="4" w:color="D7DDE3"/>
          <w:right w:val="single" w:sz="4" w:color="D7DDE3"/>
          <w:insideH w:val="single" w:sz="4" w:color="D7DDE3"/>
          <w:insideV w:val="single" w:sz="4" w:color="D7DDE3"/>
        </w:tblBorders>
      </w:tblPr>
      <w:tblGrid>
        <w:gridCol w:w="1900"/>
        <w:gridCol w:w="3900"/>
        <w:gridCol w:w="3560"/>
      </w:tblGrid>
      <w:tr>
        <w:trPr>
          <w:cantSplit/>
          <w:tblHeader/>
        </w:trPr>
        <w:tc>
          <w:tcPr>
            <w:tcW w:type="dxa" w:w="1900"/>
            <w:vAlign w:val="center"/>
            <w:shd w:fill="F2F4F7"/>
          </w:tcPr>
          <w:p>
            <w:pPr>
              <w:pStyle w:val="MatrixText"/>
            </w:pPr>
            <w:r>
              <w:rPr>
                <w:b/>
              </w:rPr>
              <w:t>Donnée</w:t>
            </w:r>
          </w:p>
        </w:tc>
        <w:tc>
          <w:tcPr>
            <w:tcW w:type="dxa" w:w="3900"/>
            <w:vAlign w:val="center"/>
            <w:shd w:fill="F2F4F7"/>
          </w:tcPr>
          <w:p>
            <w:pPr>
              <w:pStyle w:val="MatrixText"/>
            </w:pPr>
            <w:r>
              <w:rPr>
                <w:b/>
              </w:rPr>
              <w:t>Lecture attendue</w:t>
            </w:r>
          </w:p>
        </w:tc>
        <w:tc>
          <w:tcPr>
            <w:tcW w:type="dxa" w:w="3560"/>
            <w:vAlign w:val="center"/>
            <w:shd w:fill="F2F4F7"/>
          </w:tcPr>
          <w:p>
            <w:pPr>
              <w:pStyle w:val="MatrixText"/>
            </w:pPr>
            <w:r>
              <w:rPr>
                <w:b/>
              </w:rPr>
              <w:t>Contrôle possible sans référentiel</w:t>
            </w:r>
          </w:p>
        </w:tc>
      </w:tr>
      <w:tr>
        <w:trPr>
          <w:cantSplit/>
        </w:trPr>
        <w:tc>
          <w:tcPr>
            <w:tcW w:type="dxa" w:w="1900"/>
            <w:vAlign w:val="center"/>
          </w:tcPr>
          <w:p>
            <w:pPr>
              <w:pStyle w:val="MatrixText"/>
            </w:pPr>
            <w:r>
              <w:t>N° L-CN</w:t>
            </w:r>
          </w:p>
        </w:tc>
        <w:tc>
          <w:tcPr>
            <w:tcW w:type="dxa" w:w="3900"/>
            <w:vAlign w:val="center"/>
          </w:tcPr>
          <w:p>
            <w:pPr>
              <w:pStyle w:val="MatrixText"/>
            </w:pPr>
            <w:r>
              <w:t>Texte du recto et valeur du code-barres, séparément</w:t>
            </w:r>
          </w:p>
        </w:tc>
        <w:tc>
          <w:tcPr>
            <w:tcW w:type="dxa" w:w="3560"/>
            <w:vAlign w:val="center"/>
          </w:tcPr>
          <w:p>
            <w:pPr>
              <w:pStyle w:val="MatrixText"/>
            </w:pPr>
            <w:r>
              <w:t>Concordance des deux sources si lisibles</w:t>
            </w:r>
          </w:p>
        </w:tc>
      </w:tr>
      <w:tr>
        <w:trPr>
          <w:cantSplit/>
        </w:trPr>
        <w:tc>
          <w:tcPr>
            <w:tcW w:type="dxa" w:w="1900"/>
            <w:vAlign w:val="center"/>
          </w:tcPr>
          <w:p>
            <w:pPr>
              <w:pStyle w:val="MatrixText"/>
            </w:pPr>
            <w:r>
              <w:t>Montant en chiffres</w:t>
            </w:r>
          </w:p>
        </w:tc>
        <w:tc>
          <w:tcPr>
            <w:tcW w:type="dxa" w:w="3900"/>
            <w:vAlign w:val="center"/>
          </w:tcPr>
          <w:p>
            <w:pPr>
              <w:pStyle w:val="MatrixText"/>
            </w:pPr>
            <w:r>
              <w:t>Les deux zones du recto</w:t>
            </w:r>
          </w:p>
        </w:tc>
        <w:tc>
          <w:tcPr>
            <w:tcW w:type="dxa" w:w="3560"/>
            <w:vAlign w:val="center"/>
          </w:tcPr>
          <w:p>
            <w:pPr>
              <w:pStyle w:val="MatrixText"/>
            </w:pPr>
            <w:r>
              <w:t>Égalité numérique, précision des millimes</w:t>
            </w:r>
          </w:p>
        </w:tc>
      </w:tr>
      <w:tr>
        <w:trPr>
          <w:cantSplit/>
        </w:trPr>
        <w:tc>
          <w:tcPr>
            <w:tcW w:type="dxa" w:w="1900"/>
            <w:vAlign w:val="center"/>
          </w:tcPr>
          <w:p>
            <w:pPr>
              <w:pStyle w:val="MatrixText"/>
            </w:pPr>
            <w:r>
              <w:t>Montant en lettres</w:t>
            </w:r>
          </w:p>
        </w:tc>
        <w:tc>
          <w:tcPr>
            <w:tcW w:type="dxa" w:w="3900"/>
            <w:vAlign w:val="center"/>
          </w:tcPr>
          <w:p>
            <w:pPr>
              <w:pStyle w:val="MatrixText"/>
            </w:pPr>
            <w:r>
              <w:t>Texte réellement visible, sans créer une seconde zone</w:t>
            </w:r>
          </w:p>
        </w:tc>
        <w:tc>
          <w:tcPr>
            <w:tcW w:type="dxa" w:w="3560"/>
            <w:vAlign w:val="center"/>
          </w:tcPr>
          <w:p>
            <w:pPr>
              <w:pStyle w:val="MatrixText"/>
            </w:pPr>
            <w:r>
              <w:t>Conversion en nombre puis comparaison aux chiffres</w:t>
            </w:r>
          </w:p>
        </w:tc>
      </w:tr>
      <w:tr>
        <w:trPr>
          <w:cantSplit/>
        </w:trPr>
        <w:tc>
          <w:tcPr>
            <w:tcW w:type="dxa" w:w="1900"/>
            <w:vAlign w:val="center"/>
          </w:tcPr>
          <w:p>
            <w:pPr>
              <w:pStyle w:val="MatrixText"/>
            </w:pPr>
            <w:r>
              <w:t>Date d’échéance</w:t>
            </w:r>
          </w:p>
        </w:tc>
        <w:tc>
          <w:tcPr>
            <w:tcW w:type="dxa" w:w="3900"/>
            <w:vAlign w:val="center"/>
          </w:tcPr>
          <w:p>
            <w:pPr>
              <w:pStyle w:val="MatrixText"/>
            </w:pPr>
            <w:r>
              <w:t>Les deux occurrences</w:t>
            </w:r>
          </w:p>
        </w:tc>
        <w:tc>
          <w:tcPr>
            <w:tcW w:type="dxa" w:w="3560"/>
            <w:vAlign w:val="center"/>
          </w:tcPr>
          <w:p>
            <w:pPr>
              <w:pStyle w:val="MatrixText"/>
            </w:pPr>
            <w:r>
              <w:t>Cohérence entre zones et comparaison à la date du contrôle</w:t>
            </w:r>
          </w:p>
        </w:tc>
      </w:tr>
      <w:tr>
        <w:trPr>
          <w:cantSplit/>
        </w:trPr>
        <w:tc>
          <w:tcPr>
            <w:tcW w:type="dxa" w:w="1900"/>
            <w:vAlign w:val="center"/>
          </w:tcPr>
          <w:p>
            <w:pPr>
              <w:pStyle w:val="MatrixText"/>
            </w:pPr>
            <w:r>
              <w:t>Date de création</w:t>
            </w:r>
          </w:p>
        </w:tc>
        <w:tc>
          <w:tcPr>
            <w:tcW w:type="dxa" w:w="3900"/>
            <w:vAlign w:val="center"/>
          </w:tcPr>
          <w:p>
            <w:pPr>
              <w:pStyle w:val="MatrixText"/>
            </w:pPr>
            <w:r>
              <w:t>Les deux occurrences</w:t>
            </w:r>
          </w:p>
        </w:tc>
        <w:tc>
          <w:tcPr>
            <w:tcW w:type="dxa" w:w="3560"/>
            <w:vAlign w:val="center"/>
          </w:tcPr>
          <w:p>
            <w:pPr>
              <w:pStyle w:val="MatrixText"/>
            </w:pPr>
            <w:r>
              <w:t>Cohérence, création ≤ aujourd’hui et création ≤ échéance</w:t>
            </w:r>
          </w:p>
        </w:tc>
      </w:tr>
      <w:tr>
        <w:trPr>
          <w:cantSplit/>
        </w:trPr>
        <w:tc>
          <w:tcPr>
            <w:tcW w:type="dxa" w:w="1900"/>
            <w:vAlign w:val="center"/>
          </w:tcPr>
          <w:p>
            <w:pPr>
              <w:pStyle w:val="MatrixText"/>
            </w:pPr>
            <w:r>
              <w:t>Lieu de création</w:t>
            </w:r>
          </w:p>
        </w:tc>
        <w:tc>
          <w:tcPr>
            <w:tcW w:type="dxa" w:w="3900"/>
            <w:vAlign w:val="center"/>
          </w:tcPr>
          <w:p>
            <w:pPr>
              <w:pStyle w:val="MatrixText"/>
            </w:pPr>
            <w:r>
              <w:t>Les deux occurrences</w:t>
            </w:r>
          </w:p>
        </w:tc>
        <w:tc>
          <w:tcPr>
            <w:tcW w:type="dxa" w:w="3560"/>
            <w:vAlign w:val="center"/>
          </w:tcPr>
          <w:p>
            <w:pPr>
              <w:pStyle w:val="MatrixText"/>
            </w:pPr>
            <w:r>
              <w:t>Présence et cohérence des lieux lisibles</w:t>
            </w:r>
          </w:p>
        </w:tc>
      </w:tr>
      <w:tr>
        <w:trPr>
          <w:cantSplit/>
        </w:trPr>
        <w:tc>
          <w:tcPr>
            <w:tcW w:type="dxa" w:w="1900"/>
            <w:vAlign w:val="center"/>
          </w:tcPr>
          <w:p>
            <w:pPr>
              <w:pStyle w:val="MatrixText"/>
            </w:pPr>
            <w:r>
              <w:t>RIB du tiré</w:t>
            </w:r>
          </w:p>
        </w:tc>
        <w:tc>
          <w:tcPr>
            <w:tcW w:type="dxa" w:w="3900"/>
            <w:vAlign w:val="center"/>
          </w:tcPr>
          <w:p>
            <w:pPr>
              <w:pStyle w:val="MatrixText"/>
            </w:pPr>
            <w:r>
              <w:t>Zone de RIB complet et tableau bancaire</w:t>
            </w:r>
          </w:p>
        </w:tc>
        <w:tc>
          <w:tcPr>
            <w:tcW w:type="dxa" w:w="3560"/>
            <w:vAlign w:val="center"/>
          </w:tcPr>
          <w:p>
            <w:pPr>
              <w:pStyle w:val="MatrixText"/>
            </w:pPr>
            <w:r>
              <w:t>20 chiffres, zéros initiaux et concordance des sources</w:t>
            </w:r>
          </w:p>
        </w:tc>
      </w:tr>
      <w:tr>
        <w:trPr>
          <w:cantSplit/>
        </w:trPr>
        <w:tc>
          <w:tcPr>
            <w:tcW w:type="dxa" w:w="1900"/>
            <w:vAlign w:val="center"/>
          </w:tcPr>
          <w:p>
            <w:pPr>
              <w:pStyle w:val="MatrixText"/>
            </w:pPr>
            <w:r>
              <w:t>Établissement/agence/compte/clé</w:t>
            </w:r>
          </w:p>
        </w:tc>
        <w:tc>
          <w:tcPr>
            <w:tcW w:type="dxa" w:w="3900"/>
            <w:vAlign w:val="center"/>
          </w:tcPr>
          <w:p>
            <w:pPr>
              <w:pStyle w:val="MatrixText"/>
            </w:pPr>
            <w:r>
              <w:t>Quatre segments : 2 + 3 + 13 + 2 chiffres</w:t>
            </w:r>
          </w:p>
        </w:tc>
        <w:tc>
          <w:tcPr>
            <w:tcW w:type="dxa" w:w="3560"/>
            <w:vAlign w:val="center"/>
          </w:tcPr>
          <w:p>
            <w:pPr>
              <w:pStyle w:val="MatrixText"/>
            </w:pPr>
            <w:r>
              <w:t>Longueurs et reconstruction du RIB</w:t>
            </w:r>
          </w:p>
        </w:tc>
      </w:tr>
      <w:tr>
        <w:trPr>
          <w:cantSplit/>
        </w:trPr>
        <w:tc>
          <w:tcPr>
            <w:tcW w:type="dxa" w:w="1900"/>
            <w:vAlign w:val="center"/>
          </w:tcPr>
          <w:p>
            <w:pPr>
              <w:pStyle w:val="MatrixText"/>
            </w:pPr>
            <w:r>
              <w:t>Tireur</w:t>
            </w:r>
          </w:p>
        </w:tc>
        <w:tc>
          <w:tcPr>
            <w:tcW w:type="dxa" w:w="3900"/>
            <w:vAlign w:val="center"/>
          </w:tcPr>
          <w:p>
            <w:pPr>
              <w:pStyle w:val="MatrixText"/>
            </w:pPr>
            <w:r>
              <w:t>Nom/raison sociale visible</w:t>
            </w:r>
          </w:p>
        </w:tc>
        <w:tc>
          <w:tcPr>
            <w:tcW w:type="dxa" w:w="3560"/>
            <w:vAlign w:val="center"/>
          </w:tcPr>
          <w:p>
            <w:pPr>
              <w:pStyle w:val="MatrixText"/>
            </w:pPr>
            <w:r>
              <w:t>Présence et restitution ; identité externe non vérifiée</w:t>
            </w:r>
          </w:p>
        </w:tc>
      </w:tr>
      <w:tr>
        <w:trPr>
          <w:cantSplit/>
        </w:trPr>
        <w:tc>
          <w:tcPr>
            <w:tcW w:type="dxa" w:w="1900"/>
            <w:vAlign w:val="center"/>
          </w:tcPr>
          <w:p>
            <w:pPr>
              <w:pStyle w:val="MatrixText"/>
            </w:pPr>
            <w:r>
              <w:t>Tiré</w:t>
            </w:r>
          </w:p>
        </w:tc>
        <w:tc>
          <w:tcPr>
            <w:tcW w:type="dxa" w:w="3900"/>
            <w:vAlign w:val="center"/>
          </w:tcPr>
          <w:p>
            <w:pPr>
              <w:pStyle w:val="MatrixText"/>
            </w:pPr>
            <w:r>
              <w:t>Nom et adresse visibles, distingués si lisibles</w:t>
            </w:r>
          </w:p>
        </w:tc>
        <w:tc>
          <w:tcPr>
            <w:tcW w:type="dxa" w:w="3560"/>
            <w:vAlign w:val="center"/>
          </w:tcPr>
          <w:p>
            <w:pPr>
              <w:pStyle w:val="MatrixText"/>
            </w:pPr>
            <w:r>
              <w:t>Présence et restitution ; aucun code IMX déduit</w:t>
            </w:r>
          </w:p>
        </w:tc>
      </w:tr>
      <w:tr>
        <w:trPr>
          <w:cantSplit/>
        </w:trPr>
        <w:tc>
          <w:tcPr>
            <w:tcW w:type="dxa" w:w="1900"/>
            <w:vAlign w:val="center"/>
          </w:tcPr>
          <w:p>
            <w:pPr>
              <w:pStyle w:val="MatrixText"/>
            </w:pPr>
            <w:r>
              <w:t>Bénéficiaire</w:t>
            </w:r>
          </w:p>
        </w:tc>
        <w:tc>
          <w:tcPr>
            <w:tcW w:type="dxa" w:w="3900"/>
            <w:vAlign w:val="center"/>
          </w:tcPr>
          <w:p>
            <w:pPr>
              <w:pStyle w:val="MatrixText"/>
            </w:pPr>
            <w:r>
              <w:t>Texte après « payer à l’ordre de »</w:t>
            </w:r>
          </w:p>
        </w:tc>
        <w:tc>
          <w:tcPr>
            <w:tcW w:type="dxa" w:w="3560"/>
            <w:vAlign w:val="center"/>
          </w:tcPr>
          <w:p>
            <w:pPr>
              <w:pStyle w:val="MatrixText"/>
            </w:pPr>
            <w:r>
              <w:t>Restitution ; éventuelle différence avec le tireur à examiner</w:t>
            </w:r>
          </w:p>
        </w:tc>
      </w:tr>
      <w:tr>
        <w:trPr>
          <w:cantSplit/>
        </w:trPr>
        <w:tc>
          <w:tcPr>
            <w:tcW w:type="dxa" w:w="1900"/>
            <w:vAlign w:val="center"/>
          </w:tcPr>
          <w:p>
            <w:pPr>
              <w:pStyle w:val="MatrixText"/>
            </w:pPr>
            <w:r>
              <w:t>Domiciliation</w:t>
            </w:r>
          </w:p>
        </w:tc>
        <w:tc>
          <w:tcPr>
            <w:tcW w:type="dxa" w:w="3900"/>
            <w:vAlign w:val="center"/>
          </w:tcPr>
          <w:p>
            <w:pPr>
              <w:pStyle w:val="MatrixText"/>
            </w:pPr>
            <w:r>
              <w:t>Banque/agence et texte visible, y compris hors cadre</w:t>
            </w:r>
          </w:p>
        </w:tc>
        <w:tc>
          <w:tcPr>
            <w:tcW w:type="dxa" w:w="3560"/>
            <w:vAlign w:val="center"/>
          </w:tcPr>
          <w:p>
            <w:pPr>
              <w:pStyle w:val="MatrixText"/>
            </w:pPr>
            <w:r>
              <w:t>Lecture et présence ; exactitude bancaire non certifiée</w:t>
            </w:r>
          </w:p>
        </w:tc>
      </w:tr>
      <w:tr>
        <w:trPr>
          <w:cantSplit/>
        </w:trPr>
        <w:tc>
          <w:tcPr>
            <w:tcW w:type="dxa" w:w="1900"/>
            <w:vAlign w:val="center"/>
          </w:tcPr>
          <w:p>
            <w:pPr>
              <w:pStyle w:val="MatrixText"/>
            </w:pPr>
            <w:r>
              <w:t>Marques recto/verso</w:t>
            </w:r>
          </w:p>
        </w:tc>
        <w:tc>
          <w:tcPr>
            <w:tcW w:type="dxa" w:w="3900"/>
            <w:vAlign w:val="center"/>
          </w:tcPr>
          <w:p>
            <w:pPr>
              <w:pStyle w:val="MatrixText"/>
            </w:pPr>
            <w:r>
              <w:t>Signature et cachet dans les zones prévues</w:t>
            </w:r>
          </w:p>
        </w:tc>
        <w:tc>
          <w:tcPr>
            <w:tcW w:type="dxa" w:w="3560"/>
            <w:vAlign w:val="center"/>
          </w:tcPr>
          <w:p>
            <w:pPr>
              <w:pStyle w:val="MatrixText"/>
            </w:pPr>
            <w:r>
              <w:t>Observation humaine distincte par zone</w:t>
            </w:r>
          </w:p>
        </w:tc>
      </w:tr>
    </w:tbl>
    <w:p>
      <w:pPr>
        <w:spacing w:after="80"/>
      </w:pPr>
    </w:p>
    <w:p>
      <w:pPr>
        <w:pStyle w:val="Heading2"/>
      </w:pPr>
      <w:r>
        <w:t>4.1 Cas particuliers à respecter</w:t>
      </w:r>
    </w:p>
    <w:p>
      <w:pPr/>
      <w:r>
        <w:t>Montants : « 754,508 » et « 754.508 » peuvent représenter la même valeur ; la comparaison doit être numérique après interprétation du format, tout en conservant les lectures brutes. La conversion des lettres doit accepter les formulations effectivement prévues pour la démonstration. Une formulation non prise en charge doit être signalée, pas assimilée automatiquement à une fraude. Les langues et variantes prises en charge doivent être annoncées.</w:t>
      </w:r>
    </w:p>
    <w:p>
      <w:pPr/>
      <w:r>
        <w:t>RIB : un numéro conforme au format 20 chiffres n’est pas nécessairement un compte valide ou celui du bon débiteur. La reconstruction 2+3+13+2 ne constitue ni un rapprochement IMX ni une validation mathématique de clé non définie dans la spécification. Les composants dérivés d’un RIB doivent être présentés comme calculés, pas comme une seconde lecture indépendante.</w:t>
      </w:r>
    </w:p>
    <w:p>
      <w:pPr/>
      <w:r>
        <w:t>Code-barres : une lecture du modèle vision ne constitue pas à elle seule une preuve indépendante de son autre lecture textuelle. Utiliser un décodeur dédié lorsque possible et conserver son résultat séparément. Si le décodage échoue, afficher « Vérification croisée indisponible » ; faire examiner le numéro par l’utilisateur et conserver cette limite.</w:t>
      </w:r>
    </w:p>
    <w:p>
      <w:pPr/>
      <w:r>
        <w:t>Bénéficiaire et tireur : leurs textes sont disponibles sur le scan. Une différence peut être présentée à l’utilisateur, mais le contrat manque pour trancher tous les cas. Le seuil de 95 % cité dans la spécification concerne le rapprochement avec IMX ; il ne doit pas être réutilisé comme seuil de confiance OCR ou comme règle d’équivalence entre deux textes du scan sans validation métier.</w:t>
      </w:r>
    </w:p>
    <w:p>
      <w:pPr>
        <w:pStyle w:val="Heading1"/>
      </w:pPr>
      <w:r>
        <w:t>5. Contrôles automatiques réalisables</w:t>
      </w:r>
    </w:p>
    <w:p>
      <w:pPr>
        <w:pStyle w:val="Heading2"/>
      </w:pPr>
      <w:r>
        <w:t>5.1 Cohérence des occurrences</w:t>
      </w:r>
    </w:p>
    <w:p>
      <w:pPr/>
      <w:r>
        <w:t>Pour montant, échéance, RIB, lieu et date de création, afficher les deux sources lorsqu’elles existent. Résultats attendus : concordant, divergent ou non vérifiable. Deux valeurs absentes ne sont jamais une preuve de concordance. Une seule occurrence lisible ne permet pas de déclarer réussie la double vérification.</w:t>
      </w:r>
    </w:p>
    <w:p>
      <w:pPr/>
      <w:r>
        <w:t>Une différence purement typographique peut être normalisée pour comparer les valeurs : séparateurs de montants, espaces de RIB ou formats de date équivalents. Une correction substantielle du texte reste une intervention humaine traçable.</w:t>
      </w:r>
    </w:p>
    <w:p>
      <w:pPr>
        <w:pStyle w:val="Heading2"/>
      </w:pPr>
      <w:r>
        <w:t>5.2 Montants et identifiant</w:t>
      </w:r>
    </w:p>
    <w:p>
      <w:pPr/>
      <w:r>
        <w:t>Comparer les montants en chiffres entre eux, puis le résultat au montant converti depuis les lettres. Comparer le numéro L-CN du texte à celui du code-barres lorsqu’il est décodable. Aucun TTC de facture ni numéro attendu dans un référentiel n’est disponible pour une comparaison supplémentaire.</w:t>
      </w:r>
    </w:p>
    <w:p>
      <w:pPr>
        <w:pStyle w:val="Heading2"/>
      </w:pPr>
      <w:r>
        <w:t>5.3 Dates</w:t>
      </w:r>
    </w:p>
    <w:p>
      <w:pPr/>
      <w:r>
        <w:t>Vérifier création ≤ date du contrôle, date du contrôle ≤ échéance et création ≤ échéance. Une date absente, invalide ou contradictoire rend le contrôle concerné non vérifiable. La création ≥ date de facture et la conformité de l’échéance aux conditions de règlement restent non évaluées.</w:t>
      </w:r>
    </w:p>
    <w:p>
      <w:pPr/>
      <w:r>
        <w:t>Pour des captures historiques, par exemple une échéance au 30/01/2019, le résultat courant doit signaler l’échéance dépassée. Si une recette rejoue un traitement historique, sa date de référence doit être choisie explicitement et affichée comme date de simulation ; ne pas antidater silencieusement le contrôle.</w:t>
      </w:r>
    </w:p>
    <w:p>
      <w:pPr>
        <w:pStyle w:val="Heading2"/>
      </w:pPr>
      <w:r>
        <w:t>5.4 Présence des informations</w:t>
      </w:r>
    </w:p>
    <w:p>
      <w:pPr/>
      <w:r>
        <w:t>Le POC signale les champs attendus absents ou illisibles et conserve les limites de lecture. Le lieu de création, explicitement obligatoire dans la synthèse, doit notamment être contrôlé en présence. Le statut juridique complet de la traite ne peut pas être certifié par un simple inventaire de champs ; ce POC applique la liste documentaire définie pour la démonstration.</w:t>
      </w:r>
    </w:p>
    <w:p>
      <w:pPr>
        <w:pStyle w:val="Heading1"/>
      </w:pPr>
      <w:r>
        <w:t>6. Vérifications humaines sur captures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DE3"/>
          <w:left w:val="single" w:sz="4" w:color="D7DDE3"/>
          <w:bottom w:val="single" w:sz="4" w:color="D7DDE3"/>
          <w:right w:val="single" w:sz="4" w:color="D7DDE3"/>
          <w:insideH w:val="single" w:sz="4" w:color="D7DDE3"/>
          <w:insideV w:val="single" w:sz="4" w:color="D7DDE3"/>
        </w:tblBorders>
      </w:tblPr>
      <w:tblGrid>
        <w:gridCol w:w="1900"/>
        <w:gridCol w:w="3900"/>
        <w:gridCol w:w="3560"/>
      </w:tblGrid>
      <w:tr>
        <w:trPr>
          <w:cantSplit/>
          <w:tblHeader/>
        </w:trPr>
        <w:tc>
          <w:tcPr>
            <w:tcW w:type="dxa" w:w="1900"/>
            <w:vAlign w:val="center"/>
            <w:shd w:fill="F2F4F7"/>
          </w:tcPr>
          <w:p>
            <w:pPr>
              <w:pStyle w:val="MatrixText"/>
            </w:pPr>
            <w:r>
              <w:rPr>
                <w:b/>
              </w:rPr>
              <w:t>Zone</w:t>
            </w:r>
          </w:p>
        </w:tc>
        <w:tc>
          <w:tcPr>
            <w:tcW w:type="dxa" w:w="3900"/>
            <w:vAlign w:val="center"/>
            <w:shd w:fill="F2F4F7"/>
          </w:tcPr>
          <w:p>
            <w:pPr>
              <w:pStyle w:val="MatrixText"/>
            </w:pPr>
            <w:r>
              <w:rPr>
                <w:b/>
              </w:rPr>
              <w:t>Action humaine attendue</w:t>
            </w:r>
          </w:p>
        </w:tc>
        <w:tc>
          <w:tcPr>
            <w:tcW w:type="dxa" w:w="3560"/>
            <w:vAlign w:val="center"/>
            <w:shd w:fill="F2F4F7"/>
          </w:tcPr>
          <w:p>
            <w:pPr>
              <w:pStyle w:val="MatrixText"/>
            </w:pPr>
            <w:r>
              <w:rPr>
                <w:b/>
              </w:rPr>
              <w:t>Limite de la conclusion</w:t>
            </w:r>
          </w:p>
        </w:tc>
      </w:tr>
      <w:tr>
        <w:trPr>
          <w:cantSplit/>
        </w:trPr>
        <w:tc>
          <w:tcPr>
            <w:tcW w:type="dxa" w:w="1900"/>
            <w:vAlign w:val="center"/>
          </w:tcPr>
          <w:p>
            <w:pPr>
              <w:pStyle w:val="MatrixText"/>
            </w:pPr>
            <w:r>
              <w:t>Signature du tiré, recto haut gauche</w:t>
            </w:r>
          </w:p>
        </w:tc>
        <w:tc>
          <w:tcPr>
            <w:tcW w:type="dxa" w:w="3900"/>
            <w:vAlign w:val="center"/>
          </w:tcPr>
          <w:p>
            <w:pPr>
              <w:pStyle w:val="MatrixText"/>
            </w:pPr>
            <w:r>
              <w:t>Examiner la présence et la lisibilité de signature et cachet</w:t>
            </w:r>
          </w:p>
        </w:tc>
        <w:tc>
          <w:tcPr>
            <w:tcW w:type="dxa" w:w="3560"/>
            <w:vAlign w:val="center"/>
          </w:tcPr>
          <w:p>
            <w:pPr>
              <w:pStyle w:val="MatrixText"/>
            </w:pPr>
            <w:r>
              <w:t>Ne prouve pas l’authenticité ni l’identité du signataire</w:t>
            </w:r>
          </w:p>
        </w:tc>
      </w:tr>
      <w:tr>
        <w:trPr>
          <w:cantSplit/>
        </w:trPr>
        <w:tc>
          <w:tcPr>
            <w:tcW w:type="dxa" w:w="1900"/>
            <w:vAlign w:val="center"/>
          </w:tcPr>
          <w:p>
            <w:pPr>
              <w:pStyle w:val="MatrixText"/>
            </w:pPr>
            <w:r>
              <w:t>Acceptation, recto bas gauche</w:t>
            </w:r>
          </w:p>
        </w:tc>
        <w:tc>
          <w:tcPr>
            <w:tcW w:type="dxa" w:w="3900"/>
            <w:vAlign w:val="center"/>
          </w:tcPr>
          <w:p>
            <w:pPr>
              <w:pStyle w:val="MatrixText"/>
            </w:pPr>
            <w:r>
              <w:t>Examiner séparément signature et cachet dans cette zone</w:t>
            </w:r>
          </w:p>
        </w:tc>
        <w:tc>
          <w:tcPr>
            <w:tcW w:type="dxa" w:w="3560"/>
            <w:vAlign w:val="center"/>
          </w:tcPr>
          <w:p>
            <w:pPr>
              <w:pStyle w:val="MatrixText"/>
            </w:pPr>
            <w:r>
              <w:t>Une marque dans la zone du tiré ne valide pas automatiquement l’acceptation</w:t>
            </w:r>
          </w:p>
        </w:tc>
      </w:tr>
      <w:tr>
        <w:trPr>
          <w:cantSplit/>
        </w:trPr>
        <w:tc>
          <w:tcPr>
            <w:tcW w:type="dxa" w:w="1900"/>
            <w:vAlign w:val="center"/>
          </w:tcPr>
          <w:p>
            <w:pPr>
              <w:pStyle w:val="MatrixText"/>
            </w:pPr>
            <w:r>
              <w:t>Signature du tireur, recto bas droite</w:t>
            </w:r>
          </w:p>
        </w:tc>
        <w:tc>
          <w:tcPr>
            <w:tcW w:type="dxa" w:w="3900"/>
            <w:vAlign w:val="center"/>
          </w:tcPr>
          <w:p>
            <w:pPr>
              <w:pStyle w:val="MatrixText"/>
            </w:pPr>
            <w:r>
              <w:t>Examiner signature et cachet du tireur</w:t>
            </w:r>
          </w:p>
        </w:tc>
        <w:tc>
          <w:tcPr>
            <w:tcW w:type="dxa" w:w="3560"/>
            <w:vAlign w:val="center"/>
          </w:tcPr>
          <w:p>
            <w:pPr>
              <w:pStyle w:val="MatrixText"/>
            </w:pPr>
            <w:r>
              <w:t>Aucune comparaison à une référence approuvée</w:t>
            </w:r>
          </w:p>
        </w:tc>
      </w:tr>
      <w:tr>
        <w:trPr>
          <w:cantSplit/>
        </w:trPr>
        <w:tc>
          <w:tcPr>
            <w:tcW w:type="dxa" w:w="1900"/>
            <w:vAlign w:val="center"/>
          </w:tcPr>
          <w:p>
            <w:pPr>
              <w:pStyle w:val="MatrixText"/>
            </w:pPr>
            <w:r>
              <w:t>Endossement, verso</w:t>
            </w:r>
          </w:p>
        </w:tc>
        <w:tc>
          <w:tcPr>
            <w:tcW w:type="dxa" w:w="3900"/>
            <w:vAlign w:val="center"/>
          </w:tcPr>
          <w:p>
            <w:pPr>
              <w:pStyle w:val="MatrixText"/>
            </w:pPr>
            <w:r>
              <w:t>Examiner signature et cachet de l’adhérent dans la zone réservée</w:t>
            </w:r>
          </w:p>
        </w:tc>
        <w:tc>
          <w:tcPr>
            <w:tcW w:type="dxa" w:w="3560"/>
            <w:vAlign w:val="center"/>
          </w:tcPr>
          <w:p>
            <w:pPr>
              <w:pStyle w:val="MatrixText"/>
            </w:pPr>
            <w:r>
              <w:t>L’endossataire autorisé et le contrat ne sont pas vérifiés</w:t>
            </w:r>
          </w:p>
        </w:tc>
      </w:tr>
    </w:tbl>
    <w:p>
      <w:pPr>
        <w:spacing w:after="80"/>
      </w:pPr>
    </w:p>
    <w:p>
      <w:pPr/>
      <w:r>
        <w:t>États proposés : « Contrôlé sur capture », « Anomalie constatée » et « Non vérifiable sur capture ». Cette troisième possibilité évite de forcer un choix conforme/anomalie lorsque la photo est floue. Il s’agit d’une adaptation de fonctionnement recommandée pour ce périmètre.</w:t>
      </w:r>
    </w:p>
    <w:p>
      <w:pPr/>
      <w:r>
        <w:t>La spécification prévoit un contrôle manuel du verso ; l’absence de texte OCR extractible dans la zone d’endossement n’est donc pas une anomalie à elle seule. La présence de marques et le résultat humain doivent rester indépendants des champs textuels extraits.</w:t>
      </w:r>
    </w:p>
    <w:p>
      <w:pPr/>
      <w:r>
        <w:t>Si l’original papier est nécessaire pour lever un doute, le POC conserve « Vérification de l’original requise ». Avec uniquement des captures, il ne peut pas enregistrer honnêtement un contrôle sur original comme réalisé.</w:t>
      </w:r>
    </w:p>
    <w:p>
      <w:pPr>
        <w:pStyle w:val="Heading1"/>
        <w:pageBreakBefore/>
      </w:pPr>
      <w:r>
        <w:t>7. Exigences non évaluables avec ces seules entrées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DE3"/>
          <w:left w:val="single" w:sz="4" w:color="D7DDE3"/>
          <w:bottom w:val="single" w:sz="4" w:color="D7DDE3"/>
          <w:right w:val="single" w:sz="4" w:color="D7DDE3"/>
          <w:insideH w:val="single" w:sz="4" w:color="D7DDE3"/>
          <w:insideV w:val="single" w:sz="4" w:color="D7DDE3"/>
        </w:tblBorders>
      </w:tblPr>
      <w:tblGrid>
        <w:gridCol w:w="1900"/>
        <w:gridCol w:w="3900"/>
        <w:gridCol w:w="3560"/>
      </w:tblGrid>
      <w:tr>
        <w:trPr>
          <w:cantSplit/>
          <w:tblHeader/>
        </w:trPr>
        <w:tc>
          <w:tcPr>
            <w:tcW w:type="dxa" w:w="1900"/>
            <w:vAlign w:val="center"/>
            <w:shd w:fill="F2F4F7"/>
          </w:tcPr>
          <w:p>
            <w:pPr>
              <w:pStyle w:val="MatrixText"/>
            </w:pPr>
            <w:r>
              <w:rPr>
                <w:b/>
              </w:rPr>
              <w:t>Contrôle de la spécification</w:t>
            </w:r>
          </w:p>
        </w:tc>
        <w:tc>
          <w:tcPr>
            <w:tcW w:type="dxa" w:w="3900"/>
            <w:vAlign w:val="center"/>
            <w:shd w:fill="F2F4F7"/>
          </w:tcPr>
          <w:p>
            <w:pPr>
              <w:pStyle w:val="MatrixText"/>
            </w:pPr>
            <w:r>
              <w:rPr>
                <w:b/>
              </w:rPr>
              <w:t>Donnée manquante</w:t>
            </w:r>
          </w:p>
        </w:tc>
        <w:tc>
          <w:tcPr>
            <w:tcW w:type="dxa" w:w="3560"/>
            <w:vAlign w:val="center"/>
            <w:shd w:fill="F2F4F7"/>
          </w:tcPr>
          <w:p>
            <w:pPr>
              <w:pStyle w:val="MatrixText"/>
            </w:pPr>
            <w:r>
              <w:rPr>
                <w:b/>
              </w:rPr>
              <w:t>Présentation attendue</w:t>
            </w:r>
          </w:p>
        </w:tc>
      </w:tr>
      <w:tr>
        <w:trPr>
          <w:cantSplit/>
        </w:trPr>
        <w:tc>
          <w:tcPr>
            <w:tcW w:type="dxa" w:w="1900"/>
            <w:vAlign w:val="center"/>
          </w:tcPr>
          <w:p>
            <w:pPr>
              <w:pStyle w:val="MatrixText"/>
            </w:pPr>
            <w:r>
              <w:t>Rapprochement tiré/tireur ≥95 % et variantes</w:t>
            </w:r>
          </w:p>
        </w:tc>
        <w:tc>
          <w:tcPr>
            <w:tcW w:type="dxa" w:w="3900"/>
            <w:vAlign w:val="center"/>
          </w:tcPr>
          <w:p>
            <w:pPr>
              <w:pStyle w:val="MatrixText"/>
            </w:pPr>
            <w:r>
              <w:t>Référentiel adhérents/débiteurs IMX</w:t>
            </w:r>
          </w:p>
        </w:tc>
        <w:tc>
          <w:tcPr>
            <w:tcW w:type="dxa" w:w="3560"/>
            <w:vAlign w:val="center"/>
          </w:tcPr>
          <w:p>
            <w:pPr>
              <w:pStyle w:val="MatrixText"/>
            </w:pPr>
            <w:r>
              <w:t>Non évalué — référentiel absent</w:t>
            </w:r>
          </w:p>
        </w:tc>
      </w:tr>
      <w:tr>
        <w:trPr>
          <w:cantSplit/>
        </w:trPr>
        <w:tc>
          <w:tcPr>
            <w:tcW w:type="dxa" w:w="1900"/>
            <w:vAlign w:val="center"/>
          </w:tcPr>
          <w:p>
            <w:pPr>
              <w:pStyle w:val="MatrixText"/>
            </w:pPr>
            <w:r>
              <w:t>RIB = RIB du débiteur IMX</w:t>
            </w:r>
          </w:p>
        </w:tc>
        <w:tc>
          <w:tcPr>
            <w:tcW w:type="dxa" w:w="3900"/>
            <w:vAlign w:val="center"/>
          </w:tcPr>
          <w:p>
            <w:pPr>
              <w:pStyle w:val="MatrixText"/>
            </w:pPr>
            <w:r>
              <w:t>RIB de référence du débiteur</w:t>
            </w:r>
          </w:p>
        </w:tc>
        <w:tc>
          <w:tcPr>
            <w:tcW w:type="dxa" w:w="3560"/>
            <w:vAlign w:val="center"/>
          </w:tcPr>
          <w:p>
            <w:pPr>
              <w:pStyle w:val="MatrixText"/>
            </w:pPr>
            <w:r>
              <w:t>Format/cohérence contrôlés ; identité non vérifiée</w:t>
            </w:r>
          </w:p>
        </w:tc>
      </w:tr>
      <w:tr>
        <w:trPr>
          <w:cantSplit/>
        </w:trPr>
        <w:tc>
          <w:tcPr>
            <w:tcW w:type="dxa" w:w="1900"/>
            <w:vAlign w:val="center"/>
          </w:tcPr>
          <w:p>
            <w:pPr>
              <w:pStyle w:val="MatrixText"/>
            </w:pPr>
            <w:r>
              <w:t>Bénéficiaire conforme au contrat</w:t>
            </w:r>
          </w:p>
        </w:tc>
        <w:tc>
          <w:tcPr>
            <w:tcW w:type="dxa" w:w="3900"/>
            <w:vAlign w:val="center"/>
          </w:tcPr>
          <w:p>
            <w:pPr>
              <w:pStyle w:val="MatrixText"/>
            </w:pPr>
            <w:r>
              <w:t>Contrat et bénéficiaires autorisés</w:t>
            </w:r>
          </w:p>
        </w:tc>
        <w:tc>
          <w:tcPr>
            <w:tcW w:type="dxa" w:w="3560"/>
            <w:vAlign w:val="center"/>
          </w:tcPr>
          <w:p>
            <w:pPr>
              <w:pStyle w:val="MatrixText"/>
            </w:pPr>
            <w:r>
              <w:t>Non évalué — contrat absent</w:t>
            </w:r>
          </w:p>
        </w:tc>
      </w:tr>
      <w:tr>
        <w:trPr>
          <w:cantSplit/>
        </w:trPr>
        <w:tc>
          <w:tcPr>
            <w:tcW w:type="dxa" w:w="1900"/>
            <w:vAlign w:val="center"/>
          </w:tcPr>
          <w:p>
            <w:pPr>
              <w:pStyle w:val="MatrixText"/>
            </w:pPr>
            <w:r>
              <w:t>Date création ≥ date facture</w:t>
            </w:r>
          </w:p>
        </w:tc>
        <w:tc>
          <w:tcPr>
            <w:tcW w:type="dxa" w:w="3900"/>
            <w:vAlign w:val="center"/>
          </w:tcPr>
          <w:p>
            <w:pPr>
              <w:pStyle w:val="MatrixText"/>
            </w:pPr>
            <w:r>
              <w:t>Facture rattachée et date fiable</w:t>
            </w:r>
          </w:p>
        </w:tc>
        <w:tc>
          <w:tcPr>
            <w:tcW w:type="dxa" w:w="3560"/>
            <w:vAlign w:val="center"/>
          </w:tcPr>
          <w:p>
            <w:pPr>
              <w:pStyle w:val="MatrixText"/>
            </w:pPr>
            <w:r>
              <w:t>Non évalué — facture absente</w:t>
            </w:r>
          </w:p>
        </w:tc>
      </w:tr>
      <w:tr>
        <w:trPr>
          <w:cantSplit/>
        </w:trPr>
        <w:tc>
          <w:tcPr>
            <w:tcW w:type="dxa" w:w="1900"/>
            <w:vAlign w:val="center"/>
          </w:tcPr>
          <w:p>
            <w:pPr>
              <w:pStyle w:val="MatrixText"/>
            </w:pPr>
            <w:r>
              <w:t>Échéance conforme aux conditions de règlement</w:t>
            </w:r>
          </w:p>
        </w:tc>
        <w:tc>
          <w:tcPr>
            <w:tcW w:type="dxa" w:w="3900"/>
            <w:vAlign w:val="center"/>
          </w:tcPr>
          <w:p>
            <w:pPr>
              <w:pStyle w:val="MatrixText"/>
            </w:pPr>
            <w:r>
              <w:t>Conditions contractuelles/facture</w:t>
            </w:r>
          </w:p>
        </w:tc>
        <w:tc>
          <w:tcPr>
            <w:tcW w:type="dxa" w:w="3560"/>
            <w:vAlign w:val="center"/>
          </w:tcPr>
          <w:p>
            <w:pPr>
              <w:pStyle w:val="MatrixText"/>
            </w:pPr>
            <w:r>
              <w:t>Non évalué — conditions absentes</w:t>
            </w:r>
          </w:p>
        </w:tc>
      </w:tr>
      <w:tr>
        <w:trPr>
          <w:cantSplit/>
        </w:trPr>
        <w:tc>
          <w:tcPr>
            <w:tcW w:type="dxa" w:w="1900"/>
            <w:vAlign w:val="center"/>
          </w:tcPr>
          <w:p>
            <w:pPr>
              <w:pStyle w:val="MatrixText"/>
            </w:pPr>
            <w:r>
              <w:t>Couverture par débiteur nette des avoirs</w:t>
            </w:r>
          </w:p>
        </w:tc>
        <w:tc>
          <w:tcPr>
            <w:tcW w:type="dxa" w:w="3900"/>
            <w:vAlign w:val="center"/>
          </w:tcPr>
          <w:p>
            <w:pPr>
              <w:pStyle w:val="MatrixText"/>
            </w:pPr>
            <w:r>
              <w:t>Factures, avoirs, remise et rattachements</w:t>
            </w:r>
          </w:p>
        </w:tc>
        <w:tc>
          <w:tcPr>
            <w:tcW w:type="dxa" w:w="3560"/>
            <w:vAlign w:val="center"/>
          </w:tcPr>
          <w:p>
            <w:pPr>
              <w:pStyle w:val="MatrixText"/>
            </w:pPr>
            <w:r>
              <w:t>Non évalué — population financière inconnue</w:t>
            </w:r>
          </w:p>
        </w:tc>
      </w:tr>
      <w:tr>
        <w:trPr>
          <w:cantSplit/>
        </w:trPr>
        <w:tc>
          <w:tcPr>
            <w:tcW w:type="dxa" w:w="1900"/>
            <w:vAlign w:val="center"/>
          </w:tcPr>
          <w:p>
            <w:pPr>
              <w:pStyle w:val="MatrixText"/>
            </w:pPr>
            <w:r>
              <w:t>IP par débiteur / BC par facture</w:t>
            </w:r>
          </w:p>
        </w:tc>
        <w:tc>
          <w:tcPr>
            <w:tcW w:type="dxa" w:w="3900"/>
            <w:vAlign w:val="center"/>
          </w:tcPr>
          <w:p>
            <w:pPr>
              <w:pStyle w:val="MatrixText"/>
            </w:pPr>
            <w:r>
              <w:t>Liste exhaustive des débiteurs, factures, BC et nature du contrat</w:t>
            </w:r>
          </w:p>
        </w:tc>
        <w:tc>
          <w:tcPr>
            <w:tcW w:type="dxa" w:w="3560"/>
            <w:vAlign w:val="center"/>
          </w:tcPr>
          <w:p>
            <w:pPr>
              <w:pStyle w:val="MatrixText"/>
            </w:pPr>
            <w:r>
              <w:t>Hors démonstration documentaire unitaire</w:t>
            </w:r>
          </w:p>
        </w:tc>
      </w:tr>
      <w:tr>
        <w:trPr>
          <w:cantSplit/>
        </w:trPr>
        <w:tc>
          <w:tcPr>
            <w:tcW w:type="dxa" w:w="1900"/>
            <w:vAlign w:val="center"/>
          </w:tcPr>
          <w:p>
            <w:pPr>
              <w:pStyle w:val="MatrixText"/>
            </w:pPr>
            <w:r>
              <w:t>Bordereau, remise et classement des pièces</w:t>
            </w:r>
          </w:p>
        </w:tc>
        <w:tc>
          <w:tcPr>
            <w:tcW w:type="dxa" w:w="3900"/>
            <w:vAlign w:val="center"/>
          </w:tcPr>
          <w:p>
            <w:pPr>
              <w:pStyle w:val="MatrixText"/>
            </w:pPr>
            <w:r>
              <w:t>Bordereau et documents de remise</w:t>
            </w:r>
          </w:p>
        </w:tc>
        <w:tc>
          <w:tcPr>
            <w:tcW w:type="dxa" w:w="3560"/>
            <w:vAlign w:val="center"/>
          </w:tcPr>
          <w:p>
            <w:pPr>
              <w:pStyle w:val="MatrixText"/>
            </w:pPr>
            <w:r>
              <w:t>Hors périmètre d’entrée actuel</w:t>
            </w:r>
          </w:p>
        </w:tc>
      </w:tr>
      <w:tr>
        <w:trPr>
          <w:cantSplit/>
        </w:trPr>
        <w:tc>
          <w:tcPr>
            <w:tcW w:type="dxa" w:w="1900"/>
            <w:vAlign w:val="center"/>
          </w:tcPr>
          <w:p>
            <w:pPr>
              <w:pStyle w:val="MatrixText"/>
            </w:pPr>
            <w:r>
              <w:t>Dérogations contractuelles</w:t>
            </w:r>
          </w:p>
        </w:tc>
        <w:tc>
          <w:tcPr>
            <w:tcW w:type="dxa" w:w="3900"/>
            <w:vAlign w:val="center"/>
          </w:tcPr>
          <w:p>
            <w:pPr>
              <w:pStyle w:val="MatrixText"/>
            </w:pPr>
            <w:r>
              <w:t>Contrat, règles et habilitations</w:t>
            </w:r>
          </w:p>
        </w:tc>
        <w:tc>
          <w:tcPr>
            <w:tcW w:type="dxa" w:w="3560"/>
            <w:vAlign w:val="center"/>
          </w:tcPr>
          <w:p>
            <w:pPr>
              <w:pStyle w:val="MatrixText"/>
            </w:pPr>
            <w:r>
              <w:t>Non évalué — dérogations inconnues</w:t>
            </w:r>
          </w:p>
        </w:tc>
      </w:tr>
      <w:tr>
        <w:trPr>
          <w:cantSplit/>
        </w:trPr>
        <w:tc>
          <w:tcPr>
            <w:tcW w:type="dxa" w:w="1900"/>
            <w:vAlign w:val="center"/>
          </w:tcPr>
          <w:p>
            <w:pPr>
              <w:pStyle w:val="MatrixText"/>
            </w:pPr>
            <w:r>
              <w:t>Comparaison de cachet/signature à une référence</w:t>
            </w:r>
          </w:p>
        </w:tc>
        <w:tc>
          <w:tcPr>
            <w:tcW w:type="dxa" w:w="3900"/>
            <w:vAlign w:val="center"/>
          </w:tcPr>
          <w:p>
            <w:pPr>
              <w:pStyle w:val="MatrixText"/>
            </w:pPr>
            <w:r>
              <w:t>Référence approuvée et identité associée</w:t>
            </w:r>
          </w:p>
        </w:tc>
        <w:tc>
          <w:tcPr>
            <w:tcW w:type="dxa" w:w="3560"/>
            <w:vAlign w:val="center"/>
          </w:tcPr>
          <w:p>
            <w:pPr>
              <w:pStyle w:val="MatrixText"/>
            </w:pPr>
            <w:r>
              <w:t>Présence examinée ; comparaison indisponible</w:t>
            </w:r>
          </w:p>
        </w:tc>
      </w:tr>
    </w:tbl>
    <w:p>
      <w:pPr>
        <w:spacing w:after="80"/>
      </w:pPr>
    </w:p>
    <w:p>
      <w:pPr/>
      <w:r>
        <w:t>Ne pas afficher de facture « rapprochée », de couverture suffisante, de débiteur « identifié par RIB » ou de conformité contractuelle en s’appuyant sur des données seed non liées aux captures. Un score de similarité à une société de démonstration n’est pas une preuve pour ce dossier.</w:t>
      </w:r>
    </w:p>
    <w:p>
      <w:pPr/>
      <w:r>
        <w:t>Une collection de captures antérieures pourrait ultérieurement servir à proposer une référence de cachet. Mais la première capture reçue ne devient pas automatiquement une référence approuvée : identité, qualité et validation doivent être établies. Ce référentiel n’est pas supposé disponible dans le présent périmètre.</w:t>
      </w:r>
    </w:p>
    <w:p>
      <w:pPr>
        <w:pStyle w:val="Heading1"/>
      </w:pPr>
      <w:r>
        <w:t>8. Résultat et règles de clôture du POC</w:t>
      </w:r>
    </w:p>
    <w:p>
      <w:pPr/>
      <w:r>
        <w:t>La spécification ne définit pas une machine à états complète pour un mode « captures seules ». La proposition suivante vise à démontrer le contrôle documentaire sans le confondre avec une décision financière.</w:t>
      </w:r>
    </w:p>
    <w:p>
      <w:pPr/>
      <w:r>
        <w:t>À analyser : dépôt prêt ou en préparation. Analyse en cours : extraction lancée. À vérifier : lecture incertaine, contrôle humain manquant, différence à examiner ou résultat technique incomplet. Anomalies documentaires : au moins une incohérence ou anomalie confirmée. Contrôle documentaire terminé : tous les contrôles réalisables ont été effectués et les quatre zones ont été examinées sans anomalie non résolue.</w:t>
      </w:r>
    </w:p>
    <w:p>
      <w:pPr/>
      <w:r>
        <w:t>Un contrôle automatique obligatoire impossible à réaliser ne doit pas être transformé en OK pour permettre la clôture. Il peut être levé par une vérification humaine justifiée lorsque la règle métier l’autorise ; sinon le dossier reste à vérifier. La politique des exceptions, notamment un code-barres illisible, doit être approuvée pour la démonstration.</w:t>
      </w:r>
    </w:p>
    <w:p>
      <w:pPr/>
      <w:r>
        <w:t>Les contrôles externes exclus du périmètre ne bloquent pas la fin du contrôle documentaire. Ils restent visibles dans une rubrique séparée et empêchent seulement de revendiquer une validation complète de l’UC-01. Le bouton final proposé est « Terminer le contrôle documentaire », pas « Valider le financement ».</w:t>
      </w:r>
    </w:p>
    <w:p>
      <w:pPr/>
      <w:r>
        <w:t>L’écran de résultat doit montrer : les captures ; les valeurs brutes et corrigées ; les comparaisons automatiques ; les quatre observations humaines ; les anomalies restantes ; les contrôles externes non évalués ; la date, l’utilisateur et la version des images analysées.</w:t>
      </w:r>
    </w:p>
    <w:p>
      <w:pPr>
        <w:pStyle w:val="Heading1"/>
        <w:pageBreakBefore/>
      </w:pPr>
      <w:r>
        <w:t>9. Adaptations nécessaires dans le POC actuel</w:t>
      </w:r>
    </w:p>
    <w:p>
      <w:pPr/>
      <w:r>
        <w:t>Ces adaptations concernent le périmètre restreint ; elles ne demandent pas de construire maintenant les modules remise, contrat ou facture. Aucune modification de code n’est réalisée par ce document.</w:t>
      </w:r>
    </w:p>
    <w:p>
      <w:pPr>
        <w:pStyle w:val="Heading2"/>
      </w:pPr>
      <w:r>
        <w:t>A01 — Distinguer contrôle documentaire et rapprochement externe</w:t>
      </w:r>
    </w:p>
    <w:p>
      <w:pPr/>
      <w:r>
        <w:t>L’analyse actuelle conditionne le statut favorable à une identification par RIB dans les tables imx. Sans référentiel, une capture lisible reste donc en écarts. Prévoir un mode explicite « captures seules » : absence d’IMX = contrôle non évalué ; verdict local calculé uniquement sur les contrôles documentaires applicables. Ne pas changer silencieusement le sens d’une validation existante.</w:t>
      </w:r>
    </w:p>
    <w:p>
      <w:pPr>
        <w:pStyle w:val="Heading2"/>
      </w:pPr>
      <w:r>
        <w:t>A02 — Retirer les références de démonstration du résultat métier</w:t>
      </w:r>
    </w:p>
    <w:p>
      <w:pPr/>
      <w:r>
        <w:t>Ne pas utiliser seed pour simuler une correspondance réelle. Dans ce mode, masquer les scores/résultats IMX, facture rapprochée, couverture et avoirs, ou les remplacer par leur état non évalué. Les cartes avoirs/couverture sont déjà masquées dans le JSX actuel ; cela ne suffit pas, car les traitements et le verdict restent liés à IMX.</w:t>
      </w:r>
    </w:p>
    <w:p>
      <w:pPr>
        <w:pStyle w:val="Heading2"/>
      </w:pPr>
      <w:r>
        <w:t>A03 — Corriger les contrôles locaux</w:t>
      </w:r>
    </w:p>
    <w:p>
      <w:pPr/>
      <w:r>
        <w:t>Distinguer valeurs manquantes et concordantes ; comparer les montants et dates sur des valeurs normalisées ; prendre en charge la conversion effective des montants en lettres ; afficher les sources du code-barres et les segments de RIB dérivés sans les présenter comme des preuves indépendantes.</w:t>
      </w:r>
    </w:p>
    <w:p>
      <w:pPr>
        <w:pStyle w:val="Heading2"/>
      </w:pPr>
      <w:r>
        <w:t>A04 — Faire correspondre verdict et résultats</w:t>
      </w:r>
    </w:p>
    <w:p>
      <w:pPr/>
      <w:r>
        <w:t>Inclure dates, présence requise et incohérences locales dans le garde de clôture. Le garde actuel utilise surtout le statut d’analyse et les quatre cases manuelles ; une date échue affichée n’entraîne pas à elle seule un blocage. La clôture doit également exiger une analyse terminée avec succès ou une procédure humaine autorisée, jamais uniquement quatre cases cochées avant analyse.</w:t>
      </w:r>
    </w:p>
    <w:p>
      <w:pPr>
        <w:pStyle w:val="Heading2"/>
      </w:pPr>
      <w:r>
        <w:t>A05 — Permettre correction, remplacement et relance</w:t>
      </w:r>
    </w:p>
    <w:p>
      <w:pPr/>
      <w:r>
        <w:t>Ajouter un parcours de correction des lectures et une reprise après échec. Aujourd’hui, la route d’analyse refuse les relances hors statut À traiter. Un changement de capture doit invalider les résultats liés à l’ancienne version et nécessiter un nouveau contrôle ; les décisions passées doivent rester rattachées à leurs anciennes images.</w:t>
      </w:r>
    </w:p>
    <w:p>
      <w:pPr>
        <w:pStyle w:val="Heading2"/>
      </w:pPr>
      <w:r>
        <w:t>A06 — Adapter le contrôle humain et les libellés</w:t>
      </w:r>
    </w:p>
    <w:p>
      <w:pPr/>
      <w:r>
        <w:t>Conserver les quatre zones séparées, prévoir l’impossibilité de vérifier une capture et recueillir les motifs. Remplacer les formulations impliquant une vérification sur original ou un endossement contractuellement correct lorsqu’ils ne sont pas prouvés. Le libellé actuel « endossement à l’ordre de SPG » ne doit pas être généralisé sans règle de référence disponible.</w:t>
      </w:r>
    </w:p>
    <w:p>
      <w:pPr>
        <w:pStyle w:val="Heading2"/>
      </w:pPr>
      <w:r>
        <w:t>A07 — Restituer une synthèse exploitable</w:t>
      </w:r>
    </w:p>
    <w:p>
      <w:pPr/>
      <w:r>
        <w:t>Afficher un verdict documentaire, les causes des écarts et les limites externes. Conserver un historique consultable des analyses, corrections et contrôles humains. Le POC possède déjà la base du dépôt, de la visualisation, des occurrences, des règles de dates, des cases humaines et de l’audit ; il faut adapter leurs liens plutôt que simuler les modules externes.</w:t>
      </w:r>
    </w:p>
    <w:p>
      <w:pPr>
        <w:pStyle w:val="Heading1"/>
        <w:pageBreakBefore/>
      </w:pPr>
      <w:r>
        <w:t>10. Scénarios de démonstration et critères d’acceptation</w:t>
      </w:r>
    </w:p>
    <w:p>
      <w:pPr/>
      <w:r>
        <w:t>Les cas suivants sont des scénarios à préparer à partir de captures annotées. Ils ne constituent pas des résultats de tests exécutés dans ce document.</w:t>
      </w:r>
    </w:p>
    <w:p>
      <w:pPr>
        <w:pStyle w:val="Heading2"/>
      </w:pPr>
      <w:r>
        <w:t>S01 — Captures lisibles et cohérentes, sans IMX</w:t>
      </w:r>
    </w:p>
    <w:p>
      <w:pPr/>
      <w:r>
        <w:t>Entrées : recto/verso d’une traite, mêmes montants et RIB dans les zones, dates compatibles avec le jour du contrôle, quatre zones examinables. Attendu : extraction visible, contrôles locaux concordants, puis contrôle documentaire terminé après examen humain. Les rubriques IMX, facture et contrat restent non évaluées. L’absence de référentiel ne crée pas un faux écart de nom ou de RIB.</w:t>
      </w:r>
    </w:p>
    <w:p>
      <w:pPr>
        <w:pStyle w:val="Heading2"/>
      </w:pPr>
      <w:r>
        <w:t>S02 — Montants réellement différents</w:t>
      </w:r>
    </w:p>
    <w:p>
      <w:pPr/>
      <w:r>
        <w:t>Entrées : 754,508 DT dans une zone et 754,580 DT dans l’autre. Attendu : divergence bloquant la clôture documentaire tant qu’elle n’est pas résolue. L’utilisateur voit les deux lectures et leurs zones. Le POC ne choisit pas automatiquement la valeur la plus plausible.</w:t>
      </w:r>
    </w:p>
    <w:p>
      <w:pPr>
        <w:pStyle w:val="Heading2"/>
      </w:pPr>
      <w:r>
        <w:t>S03 — Formats différents, valeur identique</w:t>
      </w:r>
    </w:p>
    <w:p>
      <w:pPr/>
      <w:r>
        <w:t>Entrées : « 754,508 » et « 754.508 » ; texte en lettres correspondant. Attendu : égalité numérique après normalisation et conservation des formats lus. Une variation de séparateur ne produit pas une fausse anomalie de montant.</w:t>
      </w:r>
    </w:p>
    <w:p>
      <w:pPr>
        <w:pStyle w:val="Heading2"/>
      </w:pPr>
      <w:r>
        <w:t>S04 — Zone absente ou illisible</w:t>
      </w:r>
    </w:p>
    <w:p>
      <w:pPr/>
      <w:r>
        <w:t>Entrées : lieu de création illisible aux deux emplacements. Attendu : « Non vérifiable », jamais « Concordant ». L’utilisateur fournit une meilleure capture ou constate qu’une vérification complémentaire est nécessaire. Le dossier ne devient pas conforme par simple égalité de deux valeurs nulles.</w:t>
      </w:r>
    </w:p>
    <w:p>
      <w:pPr>
        <w:pStyle w:val="Heading2"/>
      </w:pPr>
      <w:r>
        <w:t>S05 — Échéance passée ou date impossible</w:t>
      </w:r>
    </w:p>
    <w:p>
      <w:pPr/>
      <w:r>
        <w:t>Entrées : échéance au 30/01/2019 pour un contrôle actuel, ou création postérieure à l’échéance. Attendu : contrôle de date KO et motif précis. La comparaison à la date de facture reste non évaluée puisqu’aucune facture n’est disponible.</w:t>
      </w:r>
    </w:p>
    <w:p>
      <w:pPr>
        <w:pStyle w:val="Heading2"/>
      </w:pPr>
      <w:r>
        <w:t>S06 — RIB bien formé mais non identifié</w:t>
      </w:r>
    </w:p>
    <w:p>
      <w:pPr/>
      <w:r>
        <w:t>Entrées : les segments 11 / 003 / 0002917001788 / 36 donnent 11003000291700178836 et correspondent à l’autre zone. Attendu : structure et cohérence OK. Aucun message « débiteur confirmé » ni société déduite du seul format. La comparaison IMX est non évaluée.</w:t>
      </w:r>
    </w:p>
    <w:p>
      <w:pPr>
        <w:pStyle w:val="Heading2"/>
      </w:pPr>
      <w:r>
        <w:t>S07 — Code-barres indisponible</w:t>
      </w:r>
    </w:p>
    <w:p>
      <w:pPr/>
      <w:r>
        <w:t>Entrées : numéro textuel lisible, code-barres rogné. Attendu : numéro extrait et double vérification indisponible. Le parcours demande une action humaine ou une meilleure capture selon la politique adoptée ; il ne marque pas un contrôle croisé réussi.</w:t>
      </w:r>
    </w:p>
    <w:p>
      <w:pPr>
        <w:pStyle w:val="Heading2"/>
      </w:pPr>
      <w:r>
        <w:t>S08 — Acceptation ou endossement manquant</w:t>
      </w:r>
    </w:p>
    <w:p>
      <w:pPr/>
      <w:r>
        <w:t>Entrées : signature présente en haut gauche mais absente dans l’acceptation ; ou verso sans marque d’endossement. Attendu : cases distinctes, anomalie sur la zone concernée après examen humain. Les autres signatures ne compensent pas cette absence.</w:t>
      </w:r>
    </w:p>
    <w:p>
      <w:pPr>
        <w:pStyle w:val="Heading2"/>
      </w:pPr>
      <w:r>
        <w:t>S09 — Erreur de lecture corrigée</w:t>
      </w:r>
    </w:p>
    <w:p>
      <w:pPr/>
      <w:r>
        <w:t>Entrées : OCR lit un chiffre erroné ; la capture permet de lire le bon chiffre. Attendu : correction tracée, valeur initiale conservée, recalcul du RIB ou du montant. Si le scan est remplacé, l’ancienne analyse reste identifiable et la nouvelle vérification repart sur la bonne version.</w:t>
      </w:r>
    </w:p>
    <w:p>
      <w:pPr>
        <w:pStyle w:val="Heading2"/>
      </w:pPr>
      <w:r>
        <w:t>S10 — Capture seule, demande de couverture</w:t>
      </w:r>
    </w:p>
    <w:p>
      <w:pPr/>
      <w:r>
        <w:t>Entrées : une traite de 1 000 DT, sans facture ni avoir. Attendu : le POC ne calcule pas une couverture de 100 %, ne crée pas une facture de 1 000 DT et ne rapproche pas un exemple seed. Il explique que la couverture ne peut pas être évaluée.</w:t>
      </w:r>
    </w:p>
    <w:p>
      <w:pPr>
        <w:pStyle w:val="Heading2"/>
      </w:pPr>
      <w:r>
        <w:t>10.1 Constitution minimale de la recette</w:t>
      </w:r>
    </w:p>
    <w:p>
      <w:pPr/>
      <w:r>
        <w:t>Annoter manuellement chaque paire utilisée : lectures attendues par zone, champs réellement absents, incohérences attendues et observations des quatre zones humaines. Séparer les annotations de vérité terrain des résultats produits par le POC. Inclure des cas conformes et des cas difficiles, et mesurer les erreurs par champ ainsi que les faux résultats concordants.</w:t>
      </w:r>
    </w:p>
    <w:p>
      <w:pPr/>
      <w:r>
        <w:t>Ne pas annoncer un taux de précision à partir d’une seule capture ou d’un retour JSON valide. Les valeurs SOCOPAR, 754,508 DT et 30/01/2019 du document sont des exemples de lecture ; elles ne constituent pas un référentiel à imposer à toutes les traites.</w:t>
      </w:r>
    </w:p>
    <w:p>
      <w:pPr>
        <w:pStyle w:val="Heading1"/>
      </w:pPr>
      <w:r>
        <w:t>11. Ce qui n’est pas demandé à ce stade</w:t>
      </w:r>
    </w:p>
    <w:p>
      <w:pPr/>
      <w:r>
        <w:t>Ce périmètre ne nécessite pas de créer un dossier de remise complet, de classifier des factures/BL/BC, de gérer des contrats et dérogations, de calculer une couverture financière, de synchroniser IMX ou de comparer les cachets à une base de référence inexistante. Ces besoins restent dans la spécification globale ; ils sont différés faute d’entrées, et non déclarés satisfaits.</w:t>
      </w:r>
    </w:p>
    <w:p>
      <w:pPr/>
      <w:r>
        <w:t>La case Protestable reste à clarifier avec la MOA comme dans la spécification. Les fonctions complètes UC-08, UC-10 et UC-13 ne sont pas définies par le seul document fourni. Le traitement de champs supplémentaires visibles mais non spécifiés, tels qu’Aval, doit faire l’objet d’un choix explicite.</w:t>
      </w:r>
    </w:p>
    <w:p>
      <w:pPr/>
      <w:r>
        <w:t>Le POC est réussi sur cette base si un utilisateur peut expliquer, pour chaque traite, ce qui a été lu, ce qui concorde, ce qui ne concorde pas, ce qu’il a vérifié lui-même et ce que les captures seules ne permettent pas de conclure.</w:t>
      </w:r>
    </w:p>
    <w:p>
      <w:pPr>
        <w:pStyle w:val="Heading1"/>
      </w:pPr>
      <w:r>
        <w:t>12. Sources et limites de ce cadrage</w:t>
      </w:r>
    </w:p>
    <w:p>
      <w:pPr/>
      <w:r>
        <w:t>Spécification : §3.1 UC-01, synthèse d’analyse du recto, vérifications manuelles du recto et analyse du verso. Les exigences de remise, de facture, de contrat et de référence proviennent des BPMN et sont explicitement placées hors du périmètre d’entrée actuel.</w:t>
      </w:r>
    </w:p>
    <w:p>
      <w:pPr/>
      <w:r>
        <w:t>Code consulté lors de l’audit précédent : back/app/services/traite_processing.py ; verification_rules.py ; mentions_rules.py ; vision_document.py ; vlm_extraction.py ; barcode_reading.py ; coverage.py ; back/app/api/routes/traites.py ; front/src/pages/AnalysisPage.tsx et QueuePage.tsx. Révision : 86e87ec246950e825903ea956bfc7cbbd7209fb9.</w:t>
      </w:r>
    </w:p>
    <w:p>
      <w:pPr/>
      <w:r>
        <w:t>Ce document reformule le comportement cible sur le périmètre restreint confirmé par l’utilisateur. Il ne certifie ni une précision OCR, ni une conformité juridique, ni une réussite de recette de staging. Il ne modifie pas le code de l’application.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16/09/2026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TRAIT-AI  |  Analyse des exigences et des écarts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b w:val="0"/>
      <w:i/>
      <w:iCs/>
      <w:color w:val="56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Text">
    <w:name w:val="Matrix Text"/>
    <w:basedOn w:val="Normal"/>
    <w:pPr>
      <w:spacing w:after="80" w:before="0" w:line="264" w:lineRule="auto"/>
    </w:pPr>
    <w:rPr>
      <w:rFonts w:ascii="Calibri" w:hAnsi="Calibri"/>
      <w:color w:val="222222"/>
      <w:sz w:val="19"/>
    </w:rPr>
  </w:style>
  <w:style w:type="paragraph" w:customStyle="1" w:styleId="Evidence">
    <w:name w:val="Evidence"/>
    <w:basedOn w:val="Normal"/>
    <w:pPr>
      <w:spacing w:after="80" w:before="0" w:line="264" w:lineRule="auto"/>
    </w:pPr>
    <w:rPr>
      <w:rFonts w:ascii="Calibri" w:hAnsi="Calibri"/>
      <w:color w:val="536170"/>
      <w:sz w:val="18"/>
    </w:rPr>
  </w:style>
  <w:style w:type="paragraph" w:customStyle="1" w:styleId="Furniture">
    <w:name w:val="Furniture"/>
    <w:basedOn w:val="Normal"/>
    <w:pPr>
      <w:spacing w:after="80" w:before="0" w:line="264" w:lineRule="auto"/>
    </w:pPr>
    <w:rPr>
      <w:rFonts w:ascii="Calibri" w:hAnsi="Calibri"/>
      <w:color w:val="66778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TRAIT-AI — Périmètre POC sur captures recto/verso uniquement</dc:title>
  <dc:subject>Comportement cible, contrôles possibles et limites des seules captures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