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Analyse de couverture fonctionnelle</w:t>
      </w:r>
    </w:p>
    <w:p>
      <w:pPr>
        <w:pStyle w:val="Subtitle"/>
      </w:pPr>
      <w:r>
        <w:t>TRAIT-AI — POC et spécification du 07/07/2026</w:t>
      </w:r>
    </w:p>
    <w:p>
      <w:pPr/>
      <w:r>
        <w:t>Rapport d’écarts • 16 septembre 2026 • Version 1.0</w:t>
      </w:r>
    </w:p>
    <w:p>
      <w:pPr/>
      <w:r>
        <w:t>Référence : « 20260707 IA AGENTIC TOILETTAGE TRAITE.docx », Spécifications Fonctionnelles IA — Cartographie des Use Cases et Besoins d’Intégration.</w:t>
      </w:r>
    </w:p>
    <w:p>
      <w:pPr/>
      <w:r>
        <w:t>Code examiné : dépôt TRAIT-AI-APP, révision 86e87ec246950e825903ea956bfc7cbbd7209fb9, état local consulté pendant cette analyse.</w:t>
      </w:r>
    </w:p>
    <w:p>
      <w:pPr>
        <w:pStyle w:val="Heading1"/>
      </w:pPr>
      <w:r>
        <w:t>1. Résumé et conclusion</w:t>
      </w:r>
    </w:p>
    <w:p>
      <w:pPr/>
      <w:r>
        <w:t>Non : toutes les exigences de la spécification ne sont pas implémentées dans le POC. Celui-ci réalise principalement une assistance au contrôle d’une traite individuelle : dépôt recto/verso, extraction sur images, rapprochement avec un référentiel local de type IMX, contrôles de cohérence, quatre vérifications humaines et validation.</w:t>
      </w:r>
    </w:p>
    <w:p>
      <w:pPr/>
      <w:r>
        <w:t>La spécification vise un périmètre plus large : la remise, son contrat, ses débiteurs, ses factures et pièces justificatives, les contrôles de complétude, la couverture nette des avoirs et le cycle de vie du dossier. Ce niveau de regroupement n’existe pas dans le modèle actuel. Même en limitant l’analyse au seul UC-01, la couverture reste partielle : seuil NLP non appliqué uniformément, rattachement des factures approximatif, absence de correction des écarts, contrôles de dates sans effet sur la validation et fonctions de couverture/avoirs masquées dans l’écran.</w:t>
      </w:r>
    </w:p>
    <w:p>
      <w:pPr/>
      <w:r>
        <w:t>Le POC constitue une base de démonstration du contrôle unitaire. Il ne doit pas être présenté comme une réalisation complète du processus métier ou une recette globale de l’UC-01. Les écarts de périmètre sont en partie intentionnels : todo-list.md documente explicitement le report de l’architecture par remise. Ce choix explique l’écart ; il ne supprime pas l’exigence d’origine.</w:t>
      </w:r>
    </w:p>
    <w:p>
      <w:pPr/>
      <w:r>
        <w:t>Les points à traiter en premier sont : rendre le verdict cohérent avec tous les contrôles requis ; permettre la correction et la reprise ; définir les rattachements remise/factures/avoirs ; exposer les fonctions métier effectivement nécessaires au caissier ; puis compléter les intégrations et le traitement PDF.</w:t>
      </w:r>
    </w:p>
    <w:p>
      <w:pPr>
        <w:pStyle w:val="Heading2"/>
      </w:pPr>
      <w:r>
        <w:t>1.1 Fonctions déjà présentes</w:t>
      </w:r>
    </w:p>
    <w:p>
      <w:pPr/>
      <w:r>
        <w:t>Authentification locale ; liste paginée avec statuts et indicateur de délai de 24 h ; dépôt de deux faces ; extraction Azure configurée par environnement ; conservation des lectures ; rapprochement exact du RIB ; reconstruction des segments bancaires ; contrôles de divergence ; affichage des dates ; trois zones manuelles recto et une zone verso ; enregistrement des décisions et événements techniques.</w:t>
      </w:r>
    </w:p>
    <w:p>
      <w:pPr/>
      <w:r>
        <w:t>Ces fonctions sont constatées dans le code et, pour plusieurs, couvertes par des tests présents dans le dépôt. « Présent » ne signifie pas que leur précision sur des scans réels ou leur comportement en staging a été validé pendant cette mission.</w:t>
      </w:r>
    </w:p>
    <w:p>
      <w:pPr>
        <w:pStyle w:val="Heading2"/>
      </w:pPr>
      <w:r>
        <w:t>1.2 Méthode et limites</w:t>
      </w:r>
    </w:p>
    <w:p>
      <w:pPr/>
      <w:r>
        <w:t>Lecture du texte, des tableaux et des trois diagrammes Visio incorporés au DOCX ; inspection des images des diagrammes et des exemples recto/verso ; revue des modèles, routes API, traitements, écrans React et tests. Les diagrammes ont été analysés comme des exigences métier, pas comme des instructions d’exécution.</w:t>
      </w:r>
    </w:p>
    <w:p>
      <w:pPr/>
      <w:r>
        <w:t>Les commentaires du code et le backlog ont servi de contexte. Les conclusions reposent prioritairement sur les branches exécutables et les composants réellement rendus : un composant existant mais commenté n’est pas considéré comme disponible à l’utilisateur.</w:t>
      </w:r>
    </w:p>
    <w:p>
      <w:pPr/>
      <w:r>
        <w:t>Sept observations ciblées ont été reproduites en exécutant les fonctions pures extraites du code, avec des objets minimaux : absence de divergence pour deux valeurs nulles ; divergence de formats numériques équivalents ; limite de conversion des montants en lettres ; validation non bloquée avant analyse ; date échue détectée ; validation non bloquée malgré cette date ; dates inconnues renvoyées sans verdict. Il ne s’agit pas de tests HTTP, de tests de base de données ou d’une recette de staging. La suite complète n’a pas été relancée et aucun appel OCR réel n’a été réalisé.</w:t>
      </w:r>
    </w:p>
    <w:p>
      <w:pPr/>
      <w:r>
        <w:t>Les scénarios ci-dessous sont des cas de recette proposés ou des conséquences du code, explicitement distingués des observations exécutées. Les données chiffrées illustratives ne sont pas des résultats obtenus sur la base de staging.</w:t>
      </w:r>
    </w:p>
    <w:p>
      <w:pPr>
        <w:pStyle w:val="Heading1"/>
        <w:pageBreakBefore/>
      </w:pPr>
      <w:r>
        <w:t>2. Lecture du périmètre de la spécification</w:t>
      </w:r>
    </w:p>
    <w:p>
      <w:pPr/>
      <w:r>
        <w:t>Le document formalise un seul use case détaillé : UC-01, contrôle de couverture et de conformité des instruments de paiement. Les références UC-08, UC-10 et UC-13 ne sont pas accompagnées de fiches complètes. Leurs fonctionnalités ne peuvent donc pas être reconstituées arbitrairement.</w:t>
      </w:r>
    </w:p>
    <w:p>
      <w:pPr/>
      <w:r>
        <w:t>Les phases 1 et 2 décrivent néanmoins des besoins applicatifs explicites en amont de l’UC-01 : contrat, remise, PDF de créances, segmentation, identification, complétude et dérogations. Ils font partie de l’analyse globale mais sont séparés du contrôle unitaire.</w:t>
      </w:r>
    </w:p>
    <w:p>
      <w:pPr/>
      <w:r>
        <w:t>Le titre du document nomme « Phase 3 » le contrôle des instructions de paiement, tandis que son diagramme porte « Phase 4 ». Le rapport utilise « phase IP » pour désigner ce même diagramme, sans inventer une phase manquante.</w:t>
      </w:r>
    </w:p>
    <w:p>
      <w:pPr/>
      <w:r>
        <w:t>Le bureau d’ordre est déclaré hors périmètre applicatif. La réception physique et l’enregistrement Reporting V2 sont donc des dépendances amont, pas des fonctions manquantes à développer automatiquement dans le POC. Aucun connecteur Reporting V2 obligatoire n’est déduit du seul dessin BPMN.</w:t>
      </w:r>
    </w:p>
    <w:p>
      <w:pPr>
        <w:pStyle w:val="Heading2"/>
      </w:pPr>
      <w:r>
        <w:t>2.1 Légende de couverture</w:t>
      </w:r>
    </w:p>
    <w:p>
      <w:pPr/>
      <w:r>
        <w:t>Implémenté : fonction exploitable dans le périmètre décrit, avec les réserves générales de recette. Partiel : mécanisme présent mais incomplet, divergent, limité à une traite, uniquement API ou masqué à l’écran. Absent : aucun parcours ou modèle répondant au besoin n’a été trouvé. Non démontré : capacité ou qualité non établie par les éléments disponibles. À clarifier : la source laisse une décision métier ouverte. Hors périmètre : activité explicitement extérieure à l’application.</w:t>
      </w:r>
    </w:p>
    <w:p>
      <w:pPr/>
      <w:r>
        <w:t>Le découpage R01–R43 est propre à cet audit ; ce ne sont pas des identifiants officiels de la spécification. Il regroupe les répétitions entre le texte et les diagrammes. Les totaux constituent un inventaire, pas un pourcentage d’avancement pondéré.</w:t>
      </w:r>
    </w:p>
    <w:p>
      <w:pPr/>
      <w:r>
        <w:t>Inventaire : 43 exigences regroupées ; 5 « Implémenté », 12 « Absent », 18 « Partiel », 4 « Non démontré », 2 « À clarifier », 2 « Hors périmètre ». Les 24 fiches G01–G24 détaillent les écarts ; six questions MOA et trois risques complémentaires sont traités séparément. Plusieurs fiches peuvent concerner la même exigence.</w:t>
      </w:r>
    </w:p>
    <w:p>
      <w:pPr>
        <w:pStyle w:val="Heading2"/>
      </w:pPr>
      <w:r>
        <w:t>2.2 Matrice de couverture</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7DDE3"/>
          <w:left w:val="single" w:sz="4" w:color="D7DDE3"/>
          <w:bottom w:val="single" w:sz="4" w:color="D7DDE3"/>
          <w:right w:val="single" w:sz="4" w:color="D7DDE3"/>
          <w:insideH w:val="single" w:sz="4" w:color="D7DDE3"/>
          <w:insideV w:val="single" w:sz="4" w:color="D7DDE3"/>
        </w:tblBorders>
      </w:tblPr>
      <w:tblGrid>
        <w:gridCol w:w="750"/>
        <w:gridCol w:w="5160"/>
        <w:gridCol w:w="1700"/>
        <w:gridCol w:w="1750"/>
      </w:tblGrid>
      <w:tr>
        <w:trPr>
          <w:cantSplit/>
          <w:tblHeader/>
        </w:trPr>
        <w:tc>
          <w:tcPr>
            <w:tcW w:type="dxa" w:w="750"/>
            <w:vAlign w:val="center"/>
            <w:shd w:fill="F2F4F7"/>
          </w:tcPr>
          <w:p>
            <w:pPr>
              <w:pStyle w:val="MatrixText"/>
              <w:jc w:val="center"/>
            </w:pPr>
            <w:r>
              <w:rPr>
                <w:b/>
              </w:rPr>
              <w:t>ID</w:t>
            </w:r>
          </w:p>
        </w:tc>
        <w:tc>
          <w:tcPr>
            <w:tcW w:type="dxa" w:w="5160"/>
            <w:vAlign w:val="center"/>
            <w:shd w:fill="F2F4F7"/>
          </w:tcPr>
          <w:p>
            <w:pPr>
              <w:pStyle w:val="MatrixText"/>
            </w:pPr>
            <w:r>
              <w:rPr>
                <w:b/>
              </w:rPr>
              <w:t>Exigence et source</w:t>
            </w:r>
          </w:p>
        </w:tc>
        <w:tc>
          <w:tcPr>
            <w:tcW w:type="dxa" w:w="1700"/>
            <w:vAlign w:val="center"/>
            <w:shd w:fill="F2F4F7"/>
          </w:tcPr>
          <w:p>
            <w:pPr>
              <w:pStyle w:val="MatrixText"/>
              <w:jc w:val="center"/>
            </w:pPr>
            <w:r>
              <w:rPr>
                <w:b/>
              </w:rPr>
              <w:t>État</w:t>
            </w:r>
          </w:p>
        </w:tc>
        <w:tc>
          <w:tcPr>
            <w:tcW w:type="dxa" w:w="1750"/>
            <w:vAlign w:val="center"/>
            <w:shd w:fill="F2F4F7"/>
          </w:tcPr>
          <w:p>
            <w:pPr>
              <w:pStyle w:val="MatrixText"/>
            </w:pPr>
            <w:r>
              <w:rPr>
                <w:b/>
              </w:rPr>
              <w:t>Fiche</w:t>
            </w:r>
          </w:p>
        </w:tc>
      </w:tr>
      <w:tr>
        <w:trPr>
          <w:cantSplit/>
        </w:trPr>
        <w:tc>
          <w:tcPr>
            <w:tcW w:type="dxa" w:w="750"/>
            <w:vAlign w:val="center"/>
          </w:tcPr>
          <w:p>
            <w:pPr>
              <w:pStyle w:val="MatrixText"/>
              <w:jc w:val="center"/>
            </w:pPr>
            <w:r>
              <w:t>R01</w:t>
            </w:r>
          </w:p>
        </w:tc>
        <w:tc>
          <w:tcPr>
            <w:tcW w:type="dxa" w:w="5160"/>
            <w:vAlign w:val="center"/>
          </w:tcPr>
          <w:p>
            <w:pPr>
              <w:pStyle w:val="MatrixText"/>
            </w:pPr>
            <w:r>
              <w:t>Authentification — BPMN 1, étape 3</w:t>
            </w:r>
          </w:p>
        </w:tc>
        <w:tc>
          <w:tcPr>
            <w:tcW w:type="dxa" w:w="1700"/>
            <w:vAlign w:val="center"/>
          </w:tcPr>
          <w:p>
            <w:pPr>
              <w:pStyle w:val="MatrixText"/>
              <w:jc w:val="center"/>
            </w:pPr>
            <w:r>
              <w:t>Implémenté</w:t>
            </w:r>
          </w:p>
        </w:tc>
        <w:tc>
          <w:tcPr>
            <w:tcW w:type="dxa" w:w="1750"/>
            <w:vAlign w:val="center"/>
          </w:tcPr>
          <w:p>
            <w:pPr>
              <w:pStyle w:val="MatrixText"/>
            </w:pPr>
            <w:r>
              <w:t>E01</w:t>
            </w:r>
          </w:p>
        </w:tc>
      </w:tr>
      <w:tr>
        <w:trPr>
          <w:cantSplit/>
        </w:trPr>
        <w:tc>
          <w:tcPr>
            <w:tcW w:type="dxa" w:w="750"/>
            <w:vAlign w:val="center"/>
          </w:tcPr>
          <w:p>
            <w:pPr>
              <w:pStyle w:val="MatrixText"/>
              <w:jc w:val="center"/>
            </w:pPr>
            <w:r>
              <w:t>R02</w:t>
            </w:r>
          </w:p>
        </w:tc>
        <w:tc>
          <w:tcPr>
            <w:tcW w:type="dxa" w:w="5160"/>
            <w:vAlign w:val="center"/>
          </w:tcPr>
          <w:p>
            <w:pPr>
              <w:pStyle w:val="MatrixText"/>
            </w:pPr>
            <w:r>
              <w:t>Code contrat et nature de remise — BPMN 1, étape 4</w:t>
            </w:r>
          </w:p>
        </w:tc>
        <w:tc>
          <w:tcPr>
            <w:tcW w:type="dxa" w:w="1700"/>
            <w:vAlign w:val="center"/>
          </w:tcPr>
          <w:p>
            <w:pPr>
              <w:pStyle w:val="MatrixText"/>
              <w:jc w:val="center"/>
            </w:pPr>
            <w:r>
              <w:t>Absent</w:t>
            </w:r>
          </w:p>
        </w:tc>
        <w:tc>
          <w:tcPr>
            <w:tcW w:type="dxa" w:w="1750"/>
            <w:vAlign w:val="center"/>
          </w:tcPr>
          <w:p>
            <w:pPr>
              <w:pStyle w:val="MatrixText"/>
            </w:pPr>
            <w:r>
              <w:t>G01</w:t>
            </w:r>
          </w:p>
        </w:tc>
      </w:tr>
      <w:tr>
        <w:trPr>
          <w:cantSplit/>
        </w:trPr>
        <w:tc>
          <w:tcPr>
            <w:tcW w:type="dxa" w:w="750"/>
            <w:vAlign w:val="center"/>
          </w:tcPr>
          <w:p>
            <w:pPr>
              <w:pStyle w:val="MatrixText"/>
              <w:jc w:val="center"/>
            </w:pPr>
            <w:r>
              <w:t>R03</w:t>
            </w:r>
          </w:p>
        </w:tc>
        <w:tc>
          <w:tcPr>
            <w:tcW w:type="dxa" w:w="5160"/>
            <w:vAlign w:val="center"/>
          </w:tcPr>
          <w:p>
            <w:pPr>
              <w:pStyle w:val="MatrixText"/>
            </w:pPr>
            <w:r>
              <w:t>Ajouter une remise et contrôler son unicité — BPMN 1, étape 5</w:t>
            </w:r>
          </w:p>
        </w:tc>
        <w:tc>
          <w:tcPr>
            <w:tcW w:type="dxa" w:w="1700"/>
            <w:vAlign w:val="center"/>
          </w:tcPr>
          <w:p>
            <w:pPr>
              <w:pStyle w:val="MatrixText"/>
              <w:jc w:val="center"/>
            </w:pPr>
            <w:r>
              <w:t>Absent</w:t>
            </w:r>
          </w:p>
        </w:tc>
        <w:tc>
          <w:tcPr>
            <w:tcW w:type="dxa" w:w="1750"/>
            <w:vAlign w:val="center"/>
          </w:tcPr>
          <w:p>
            <w:pPr>
              <w:pStyle w:val="MatrixText"/>
            </w:pPr>
            <w:r>
              <w:t>G01</w:t>
            </w:r>
          </w:p>
        </w:tc>
      </w:tr>
      <w:tr>
        <w:trPr>
          <w:cantSplit/>
        </w:trPr>
        <w:tc>
          <w:tcPr>
            <w:tcW w:type="dxa" w:w="750"/>
            <w:vAlign w:val="center"/>
          </w:tcPr>
          <w:p>
            <w:pPr>
              <w:pStyle w:val="MatrixText"/>
              <w:jc w:val="center"/>
            </w:pPr>
            <w:r>
              <w:t>R04</w:t>
            </w:r>
          </w:p>
        </w:tc>
        <w:tc>
          <w:tcPr>
            <w:tcW w:type="dxa" w:w="5160"/>
            <w:vAlign w:val="center"/>
          </w:tcPr>
          <w:p>
            <w:pPr>
              <w:pStyle w:val="MatrixText"/>
            </w:pPr>
            <w:r>
              <w:t>Déposer les PDF créances/IP — §2.2 ; BPMN 1, étapes 6–7</w:t>
            </w:r>
          </w:p>
        </w:tc>
        <w:tc>
          <w:tcPr>
            <w:tcW w:type="dxa" w:w="1700"/>
            <w:vAlign w:val="center"/>
          </w:tcPr>
          <w:p>
            <w:pPr>
              <w:pStyle w:val="MatrixText"/>
              <w:jc w:val="center"/>
            </w:pPr>
            <w:r>
              <w:t>Partiel</w:t>
            </w:r>
          </w:p>
        </w:tc>
        <w:tc>
          <w:tcPr>
            <w:tcW w:type="dxa" w:w="1750"/>
            <w:vAlign w:val="center"/>
          </w:tcPr>
          <w:p>
            <w:pPr>
              <w:pStyle w:val="MatrixText"/>
            </w:pPr>
            <w:r>
              <w:t>G02</w:t>
            </w:r>
          </w:p>
        </w:tc>
      </w:tr>
      <w:tr>
        <w:trPr>
          <w:cantSplit/>
        </w:trPr>
        <w:tc>
          <w:tcPr>
            <w:tcW w:type="dxa" w:w="750"/>
            <w:vAlign w:val="center"/>
          </w:tcPr>
          <w:p>
            <w:pPr>
              <w:pStyle w:val="MatrixText"/>
              <w:jc w:val="center"/>
            </w:pPr>
            <w:r>
              <w:t>R05</w:t>
            </w:r>
          </w:p>
        </w:tc>
        <w:tc>
          <w:tcPr>
            <w:tcW w:type="dxa" w:w="5160"/>
            <w:vAlign w:val="center"/>
          </w:tcPr>
          <w:p>
            <w:pPr>
              <w:pStyle w:val="MatrixText"/>
            </w:pPr>
            <w:r>
              <w:t>Segmenter et classer les documents — BPMN 1, étape 8</w:t>
            </w:r>
          </w:p>
        </w:tc>
        <w:tc>
          <w:tcPr>
            <w:tcW w:type="dxa" w:w="1700"/>
            <w:vAlign w:val="center"/>
          </w:tcPr>
          <w:p>
            <w:pPr>
              <w:pStyle w:val="MatrixText"/>
              <w:jc w:val="center"/>
            </w:pPr>
            <w:r>
              <w:t>Absent</w:t>
            </w:r>
          </w:p>
        </w:tc>
        <w:tc>
          <w:tcPr>
            <w:tcW w:type="dxa" w:w="1750"/>
            <w:vAlign w:val="center"/>
          </w:tcPr>
          <w:p>
            <w:pPr>
              <w:pStyle w:val="MatrixText"/>
            </w:pPr>
            <w:r>
              <w:t>G03</w:t>
            </w:r>
          </w:p>
        </w:tc>
      </w:tr>
      <w:tr>
        <w:trPr>
          <w:cantSplit/>
        </w:trPr>
        <w:tc>
          <w:tcPr>
            <w:tcW w:type="dxa" w:w="750"/>
            <w:vAlign w:val="center"/>
          </w:tcPr>
          <w:p>
            <w:pPr>
              <w:pStyle w:val="MatrixText"/>
              <w:jc w:val="center"/>
            </w:pPr>
            <w:r>
              <w:t>R06</w:t>
            </w:r>
          </w:p>
        </w:tc>
        <w:tc>
          <w:tcPr>
            <w:tcW w:type="dxa" w:w="5160"/>
            <w:vAlign w:val="center"/>
          </w:tcPr>
          <w:p>
            <w:pPr>
              <w:pStyle w:val="MatrixText"/>
            </w:pPr>
            <w:r>
              <w:t>Extraire l’adhérent et son matricule depuis les factures — BPMN 2, étape 1</w:t>
            </w:r>
          </w:p>
        </w:tc>
        <w:tc>
          <w:tcPr>
            <w:tcW w:type="dxa" w:w="1700"/>
            <w:vAlign w:val="center"/>
          </w:tcPr>
          <w:p>
            <w:pPr>
              <w:pStyle w:val="MatrixText"/>
              <w:jc w:val="center"/>
            </w:pPr>
            <w:r>
              <w:t>Absent</w:t>
            </w:r>
          </w:p>
        </w:tc>
        <w:tc>
          <w:tcPr>
            <w:tcW w:type="dxa" w:w="1750"/>
            <w:vAlign w:val="center"/>
          </w:tcPr>
          <w:p>
            <w:pPr>
              <w:pStyle w:val="MatrixText"/>
            </w:pPr>
            <w:r>
              <w:t>G04</w:t>
            </w:r>
          </w:p>
        </w:tc>
      </w:tr>
      <w:tr>
        <w:trPr>
          <w:cantSplit/>
        </w:trPr>
        <w:tc>
          <w:tcPr>
            <w:tcW w:type="dxa" w:w="750"/>
            <w:vAlign w:val="center"/>
          </w:tcPr>
          <w:p>
            <w:pPr>
              <w:pStyle w:val="MatrixText"/>
              <w:jc w:val="center"/>
            </w:pPr>
            <w:r>
              <w:t>R07</w:t>
            </w:r>
          </w:p>
        </w:tc>
        <w:tc>
          <w:tcPr>
            <w:tcW w:type="dxa" w:w="5160"/>
            <w:vAlign w:val="center"/>
          </w:tcPr>
          <w:p>
            <w:pPr>
              <w:pStyle w:val="MatrixText"/>
            </w:pPr>
            <w:r>
              <w:t>Rapprocher les données adhérent avec IMX — BPMN 2, étape 2</w:t>
            </w:r>
          </w:p>
        </w:tc>
        <w:tc>
          <w:tcPr>
            <w:tcW w:type="dxa" w:w="1700"/>
            <w:vAlign w:val="center"/>
          </w:tcPr>
          <w:p>
            <w:pPr>
              <w:pStyle w:val="MatrixText"/>
              <w:jc w:val="center"/>
            </w:pPr>
            <w:r>
              <w:t>Partiel</w:t>
            </w:r>
          </w:p>
        </w:tc>
        <w:tc>
          <w:tcPr>
            <w:tcW w:type="dxa" w:w="1750"/>
            <w:vAlign w:val="center"/>
          </w:tcPr>
          <w:p>
            <w:pPr>
              <w:pStyle w:val="MatrixText"/>
            </w:pPr>
            <w:r>
              <w:t>G04, G05</w:t>
            </w:r>
          </w:p>
        </w:tc>
      </w:tr>
      <w:tr>
        <w:trPr>
          <w:cantSplit/>
        </w:trPr>
        <w:tc>
          <w:tcPr>
            <w:tcW w:type="dxa" w:w="750"/>
            <w:vAlign w:val="center"/>
          </w:tcPr>
          <w:p>
            <w:pPr>
              <w:pStyle w:val="MatrixText"/>
              <w:jc w:val="center"/>
            </w:pPr>
            <w:r>
              <w:t>R08</w:t>
            </w:r>
          </w:p>
        </w:tc>
        <w:tc>
          <w:tcPr>
            <w:tcW w:type="dxa" w:w="5160"/>
            <w:vAlign w:val="center"/>
          </w:tcPr>
          <w:p>
            <w:pPr>
              <w:pStyle w:val="MatrixText"/>
            </w:pPr>
            <w:r>
              <w:t>Lister et identifier tous les débiteurs de la remise — BPMN 2, étapes 3–4</w:t>
            </w:r>
          </w:p>
        </w:tc>
        <w:tc>
          <w:tcPr>
            <w:tcW w:type="dxa" w:w="1700"/>
            <w:vAlign w:val="center"/>
          </w:tcPr>
          <w:p>
            <w:pPr>
              <w:pStyle w:val="MatrixText"/>
              <w:jc w:val="center"/>
            </w:pPr>
            <w:r>
              <w:t>Partiel</w:t>
            </w:r>
          </w:p>
        </w:tc>
        <w:tc>
          <w:tcPr>
            <w:tcW w:type="dxa" w:w="1750"/>
            <w:vAlign w:val="center"/>
          </w:tcPr>
          <w:p>
            <w:pPr>
              <w:pStyle w:val="MatrixText"/>
            </w:pPr>
            <w:r>
              <w:t>G04</w:t>
            </w:r>
          </w:p>
        </w:tc>
      </w:tr>
      <w:tr>
        <w:trPr>
          <w:cantSplit/>
        </w:trPr>
        <w:tc>
          <w:tcPr>
            <w:tcW w:type="dxa" w:w="750"/>
            <w:vAlign w:val="center"/>
          </w:tcPr>
          <w:p>
            <w:pPr>
              <w:pStyle w:val="MatrixText"/>
              <w:jc w:val="center"/>
            </w:pPr>
            <w:r>
              <w:t>R09</w:t>
            </w:r>
          </w:p>
        </w:tc>
        <w:tc>
          <w:tcPr>
            <w:tcW w:type="dxa" w:w="5160"/>
            <w:vAlign w:val="center"/>
          </w:tcPr>
          <w:p>
            <w:pPr>
              <w:pStyle w:val="MatrixText"/>
            </w:pPr>
            <w:r>
              <w:t>Corriger manuellement les écarts — BPMN 2, étape 5</w:t>
            </w:r>
          </w:p>
        </w:tc>
        <w:tc>
          <w:tcPr>
            <w:tcW w:type="dxa" w:w="1700"/>
            <w:vAlign w:val="center"/>
          </w:tcPr>
          <w:p>
            <w:pPr>
              <w:pStyle w:val="MatrixText"/>
              <w:jc w:val="center"/>
            </w:pPr>
            <w:r>
              <w:t>Absent</w:t>
            </w:r>
          </w:p>
        </w:tc>
        <w:tc>
          <w:tcPr>
            <w:tcW w:type="dxa" w:w="1750"/>
            <w:vAlign w:val="center"/>
          </w:tcPr>
          <w:p>
            <w:pPr>
              <w:pStyle w:val="MatrixText"/>
            </w:pPr>
            <w:r>
              <w:t>G08</w:t>
            </w:r>
          </w:p>
        </w:tc>
      </w:tr>
      <w:tr>
        <w:trPr>
          <w:cantSplit/>
        </w:trPr>
        <w:tc>
          <w:tcPr>
            <w:tcW w:type="dxa" w:w="750"/>
            <w:vAlign w:val="center"/>
          </w:tcPr>
          <w:p>
            <w:pPr>
              <w:pStyle w:val="MatrixText"/>
              <w:jc w:val="center"/>
            </w:pPr>
            <w:r>
              <w:t>R10</w:t>
            </w:r>
          </w:p>
        </w:tc>
        <w:tc>
          <w:tcPr>
            <w:tcW w:type="dxa" w:w="5160"/>
            <w:vAlign w:val="center"/>
          </w:tcPr>
          <w:p>
            <w:pPr>
              <w:pStyle w:val="MatrixText"/>
            </w:pPr>
            <w:r>
              <w:t>Extraire la nature du contrat IMX — BPMN 2, étape 6</w:t>
            </w:r>
          </w:p>
        </w:tc>
        <w:tc>
          <w:tcPr>
            <w:tcW w:type="dxa" w:w="1700"/>
            <w:vAlign w:val="center"/>
          </w:tcPr>
          <w:p>
            <w:pPr>
              <w:pStyle w:val="MatrixText"/>
              <w:jc w:val="center"/>
            </w:pPr>
            <w:r>
              <w:t>Absent</w:t>
            </w:r>
          </w:p>
        </w:tc>
        <w:tc>
          <w:tcPr>
            <w:tcW w:type="dxa" w:w="1750"/>
            <w:vAlign w:val="center"/>
          </w:tcPr>
          <w:p>
            <w:pPr>
              <w:pStyle w:val="MatrixText"/>
            </w:pPr>
            <w:r>
              <w:t>G06</w:t>
            </w:r>
          </w:p>
        </w:tc>
      </w:tr>
      <w:tr>
        <w:trPr>
          <w:cantSplit/>
        </w:trPr>
        <w:tc>
          <w:tcPr>
            <w:tcW w:type="dxa" w:w="750"/>
            <w:vAlign w:val="center"/>
          </w:tcPr>
          <w:p>
            <w:pPr>
              <w:pStyle w:val="MatrixText"/>
              <w:jc w:val="center"/>
            </w:pPr>
            <w:r>
              <w:t>R11</w:t>
            </w:r>
          </w:p>
        </w:tc>
        <w:tc>
          <w:tcPr>
            <w:tcW w:type="dxa" w:w="5160"/>
            <w:vAlign w:val="center"/>
          </w:tcPr>
          <w:p>
            <w:pPr>
              <w:pStyle w:val="MatrixText"/>
            </w:pPr>
            <w:r>
              <w:t>Vérifier les IP par débiteur sans recouvrement — BPMN 2, étapes 7–8</w:t>
            </w:r>
          </w:p>
        </w:tc>
        <w:tc>
          <w:tcPr>
            <w:tcW w:type="dxa" w:w="1700"/>
            <w:vAlign w:val="center"/>
          </w:tcPr>
          <w:p>
            <w:pPr>
              <w:pStyle w:val="MatrixText"/>
              <w:jc w:val="center"/>
            </w:pPr>
            <w:r>
              <w:t>Absent</w:t>
            </w:r>
          </w:p>
        </w:tc>
        <w:tc>
          <w:tcPr>
            <w:tcW w:type="dxa" w:w="1750"/>
            <w:vAlign w:val="center"/>
          </w:tcPr>
          <w:p>
            <w:pPr>
              <w:pStyle w:val="MatrixText"/>
            </w:pPr>
            <w:r>
              <w:t>G06</w:t>
            </w:r>
          </w:p>
        </w:tc>
      </w:tr>
      <w:tr>
        <w:trPr>
          <w:cantSplit/>
        </w:trPr>
        <w:tc>
          <w:tcPr>
            <w:tcW w:type="dxa" w:w="750"/>
            <w:vAlign w:val="center"/>
          </w:tcPr>
          <w:p>
            <w:pPr>
              <w:pStyle w:val="MatrixText"/>
              <w:jc w:val="center"/>
            </w:pPr>
            <w:r>
              <w:t>R12</w:t>
            </w:r>
          </w:p>
        </w:tc>
        <w:tc>
          <w:tcPr>
            <w:tcW w:type="dxa" w:w="5160"/>
            <w:vAlign w:val="center"/>
          </w:tcPr>
          <w:p>
            <w:pPr>
              <w:pStyle w:val="MatrixText"/>
            </w:pPr>
            <w:r>
              <w:t>Vérifier au moins un BC par facture avec recouvrement — BPMN 2, étape 9</w:t>
            </w:r>
          </w:p>
        </w:tc>
        <w:tc>
          <w:tcPr>
            <w:tcW w:type="dxa" w:w="1700"/>
            <w:vAlign w:val="center"/>
          </w:tcPr>
          <w:p>
            <w:pPr>
              <w:pStyle w:val="MatrixText"/>
              <w:jc w:val="center"/>
            </w:pPr>
            <w:r>
              <w:t>Absent</w:t>
            </w:r>
          </w:p>
        </w:tc>
        <w:tc>
          <w:tcPr>
            <w:tcW w:type="dxa" w:w="1750"/>
            <w:vAlign w:val="center"/>
          </w:tcPr>
          <w:p>
            <w:pPr>
              <w:pStyle w:val="MatrixText"/>
            </w:pPr>
            <w:r>
              <w:t>G06</w:t>
            </w:r>
          </w:p>
        </w:tc>
      </w:tr>
      <w:tr>
        <w:trPr>
          <w:cantSplit/>
        </w:trPr>
        <w:tc>
          <w:tcPr>
            <w:tcW w:type="dxa" w:w="750"/>
            <w:vAlign w:val="center"/>
          </w:tcPr>
          <w:p>
            <w:pPr>
              <w:pStyle w:val="MatrixText"/>
              <w:jc w:val="center"/>
            </w:pPr>
            <w:r>
              <w:t>R13</w:t>
            </w:r>
          </w:p>
        </w:tc>
        <w:tc>
          <w:tcPr>
            <w:tcW w:type="dxa" w:w="5160"/>
            <w:vAlign w:val="center"/>
          </w:tcPr>
          <w:p>
            <w:pPr>
              <w:pStyle w:val="MatrixText"/>
            </w:pPr>
            <w:r>
              <w:t>Activer les dérogations applicables — BPMN 2, étape 11</w:t>
            </w:r>
          </w:p>
        </w:tc>
        <w:tc>
          <w:tcPr>
            <w:tcW w:type="dxa" w:w="1700"/>
            <w:vAlign w:val="center"/>
          </w:tcPr>
          <w:p>
            <w:pPr>
              <w:pStyle w:val="MatrixText"/>
              <w:jc w:val="center"/>
            </w:pPr>
            <w:r>
              <w:t>Absent</w:t>
            </w:r>
          </w:p>
        </w:tc>
        <w:tc>
          <w:tcPr>
            <w:tcW w:type="dxa" w:w="1750"/>
            <w:vAlign w:val="center"/>
          </w:tcPr>
          <w:p>
            <w:pPr>
              <w:pStyle w:val="MatrixText"/>
            </w:pPr>
            <w:r>
              <w:t>G07</w:t>
            </w:r>
          </w:p>
        </w:tc>
      </w:tr>
      <w:tr>
        <w:trPr>
          <w:cantSplit/>
        </w:trPr>
        <w:tc>
          <w:tcPr>
            <w:tcW w:type="dxa" w:w="750"/>
            <w:vAlign w:val="center"/>
          </w:tcPr>
          <w:p>
            <w:pPr>
              <w:pStyle w:val="MatrixText"/>
              <w:jc w:val="center"/>
            </w:pPr>
            <w:r>
              <w:t>R14</w:t>
            </w:r>
          </w:p>
        </w:tc>
        <w:tc>
          <w:tcPr>
            <w:tcW w:type="dxa" w:w="5160"/>
            <w:vAlign w:val="center"/>
          </w:tcPr>
          <w:p>
            <w:pPr>
              <w:pStyle w:val="MatrixText"/>
            </w:pPr>
            <w:r>
              <w:t>Synthèse OK/KO par rubrique à l’écran principal — BPMN 2, étape 10</w:t>
            </w:r>
          </w:p>
        </w:tc>
        <w:tc>
          <w:tcPr>
            <w:tcW w:type="dxa" w:w="1700"/>
            <w:vAlign w:val="center"/>
          </w:tcPr>
          <w:p>
            <w:pPr>
              <w:pStyle w:val="MatrixText"/>
              <w:jc w:val="center"/>
            </w:pPr>
            <w:r>
              <w:t>Partiel</w:t>
            </w:r>
          </w:p>
        </w:tc>
        <w:tc>
          <w:tcPr>
            <w:tcW w:type="dxa" w:w="1750"/>
            <w:vAlign w:val="center"/>
          </w:tcPr>
          <w:p>
            <w:pPr>
              <w:pStyle w:val="MatrixText"/>
            </w:pPr>
            <w:r>
              <w:t>G17</w:t>
            </w:r>
          </w:p>
        </w:tc>
      </w:tr>
      <w:tr>
        <w:trPr>
          <w:cantSplit/>
        </w:trPr>
        <w:tc>
          <w:tcPr>
            <w:tcW w:type="dxa" w:w="750"/>
            <w:vAlign w:val="center"/>
          </w:tcPr>
          <w:p>
            <w:pPr>
              <w:pStyle w:val="MatrixText"/>
              <w:jc w:val="center"/>
            </w:pPr>
            <w:r>
              <w:t>R15</w:t>
            </w:r>
          </w:p>
        </w:tc>
        <w:tc>
          <w:tcPr>
            <w:tcW w:type="dxa" w:w="5160"/>
            <w:vAlign w:val="center"/>
          </w:tcPr>
          <w:p>
            <w:pPr>
              <w:pStyle w:val="MatrixText"/>
            </w:pPr>
            <w:r>
              <w:t>Extraire les champs de traite à partir du recto/verso image — UC-01</w:t>
            </w:r>
          </w:p>
        </w:tc>
        <w:tc>
          <w:tcPr>
            <w:tcW w:type="dxa" w:w="1700"/>
            <w:vAlign w:val="center"/>
          </w:tcPr>
          <w:p>
            <w:pPr>
              <w:pStyle w:val="MatrixText"/>
              <w:jc w:val="center"/>
            </w:pPr>
            <w:r>
              <w:t>Implémenté</w:t>
            </w:r>
          </w:p>
        </w:tc>
        <w:tc>
          <w:tcPr>
            <w:tcW w:type="dxa" w:w="1750"/>
            <w:vAlign w:val="center"/>
          </w:tcPr>
          <w:p>
            <w:pPr>
              <w:pStyle w:val="MatrixText"/>
            </w:pPr>
            <w:r>
              <w:t>E02 ; réserve G19</w:t>
            </w:r>
          </w:p>
        </w:tc>
      </w:tr>
      <w:tr>
        <w:trPr>
          <w:cantSplit/>
        </w:trPr>
        <w:tc>
          <w:tcPr>
            <w:tcW w:type="dxa" w:w="750"/>
            <w:vAlign w:val="center"/>
          </w:tcPr>
          <w:p>
            <w:pPr>
              <w:pStyle w:val="MatrixText"/>
              <w:jc w:val="center"/>
            </w:pPr>
            <w:r>
              <w:t>R16</w:t>
            </w:r>
          </w:p>
        </w:tc>
        <w:tc>
          <w:tcPr>
            <w:tcW w:type="dxa" w:w="5160"/>
            <w:vAlign w:val="center"/>
          </w:tcPr>
          <w:p>
            <w:pPr>
              <w:pStyle w:val="MatrixText"/>
            </w:pPr>
            <w:r>
              <w:t>Extraire et comparer chaque champ en double — UC-01 et synthèse</w:t>
            </w:r>
          </w:p>
        </w:tc>
        <w:tc>
          <w:tcPr>
            <w:tcW w:type="dxa" w:w="1700"/>
            <w:vAlign w:val="center"/>
          </w:tcPr>
          <w:p>
            <w:pPr>
              <w:pStyle w:val="MatrixText"/>
              <w:jc w:val="center"/>
            </w:pPr>
            <w:r>
              <w:t>Partiel</w:t>
            </w:r>
          </w:p>
        </w:tc>
        <w:tc>
          <w:tcPr>
            <w:tcW w:type="dxa" w:w="1750"/>
            <w:vAlign w:val="center"/>
          </w:tcPr>
          <w:p>
            <w:pPr>
              <w:pStyle w:val="MatrixText"/>
            </w:pPr>
            <w:r>
              <w:t>G12</w:t>
            </w:r>
          </w:p>
        </w:tc>
      </w:tr>
      <w:tr>
        <w:trPr>
          <w:cantSplit/>
        </w:trPr>
        <w:tc>
          <w:tcPr>
            <w:tcW w:type="dxa" w:w="750"/>
            <w:vAlign w:val="center"/>
          </w:tcPr>
          <w:p>
            <w:pPr>
              <w:pStyle w:val="MatrixText"/>
              <w:jc w:val="center"/>
            </w:pPr>
            <w:r>
              <w:t>R17</w:t>
            </w:r>
          </w:p>
        </w:tc>
        <w:tc>
          <w:tcPr>
            <w:tcW w:type="dxa" w:w="5160"/>
            <w:vAlign w:val="center"/>
          </w:tcPr>
          <w:p>
            <w:pPr>
              <w:pStyle w:val="MatrixText"/>
            </w:pPr>
            <w:r>
              <w:t>Croiser numéro L-CN et lecture code-barres — synthèse recto</w:t>
            </w:r>
          </w:p>
        </w:tc>
        <w:tc>
          <w:tcPr>
            <w:tcW w:type="dxa" w:w="1700"/>
            <w:vAlign w:val="center"/>
          </w:tcPr>
          <w:p>
            <w:pPr>
              <w:pStyle w:val="MatrixText"/>
              <w:jc w:val="center"/>
            </w:pPr>
            <w:r>
              <w:t>Partiel</w:t>
            </w:r>
          </w:p>
        </w:tc>
        <w:tc>
          <w:tcPr>
            <w:tcW w:type="dxa" w:w="1750"/>
            <w:vAlign w:val="center"/>
          </w:tcPr>
          <w:p>
            <w:pPr>
              <w:pStyle w:val="MatrixText"/>
            </w:pPr>
            <w:r>
              <w:t>G13</w:t>
            </w:r>
          </w:p>
        </w:tc>
      </w:tr>
      <w:tr>
        <w:trPr>
          <w:cantSplit/>
        </w:trPr>
        <w:tc>
          <w:tcPr>
            <w:tcW w:type="dxa" w:w="750"/>
            <w:vAlign w:val="center"/>
          </w:tcPr>
          <w:p>
            <w:pPr>
              <w:pStyle w:val="MatrixText"/>
              <w:jc w:val="center"/>
            </w:pPr>
            <w:r>
              <w:t>R18</w:t>
            </w:r>
          </w:p>
        </w:tc>
        <w:tc>
          <w:tcPr>
            <w:tcW w:type="dxa" w:w="5160"/>
            <w:vAlign w:val="center"/>
          </w:tcPr>
          <w:p>
            <w:pPr>
              <w:pStyle w:val="MatrixText"/>
            </w:pPr>
            <w:r>
              <w:t>Reconstituer le RIB 2+3+13+2 et le rapprocher strictement — UC-01</w:t>
            </w:r>
          </w:p>
        </w:tc>
        <w:tc>
          <w:tcPr>
            <w:tcW w:type="dxa" w:w="1700"/>
            <w:vAlign w:val="center"/>
          </w:tcPr>
          <w:p>
            <w:pPr>
              <w:pStyle w:val="MatrixText"/>
              <w:jc w:val="center"/>
            </w:pPr>
            <w:r>
              <w:t>Implémenté</w:t>
            </w:r>
          </w:p>
        </w:tc>
        <w:tc>
          <w:tcPr>
            <w:tcW w:type="dxa" w:w="1750"/>
            <w:vAlign w:val="center"/>
          </w:tcPr>
          <w:p>
            <w:pPr>
              <w:pStyle w:val="MatrixText"/>
            </w:pPr>
            <w:r>
              <w:t>E03 ; réserve G12</w:t>
            </w:r>
          </w:p>
        </w:tc>
      </w:tr>
      <w:tr>
        <w:trPr>
          <w:cantSplit/>
        </w:trPr>
        <w:tc>
          <w:tcPr>
            <w:tcW w:type="dxa" w:w="750"/>
            <w:vAlign w:val="center"/>
          </w:tcPr>
          <w:p>
            <w:pPr>
              <w:pStyle w:val="MatrixText"/>
              <w:jc w:val="center"/>
            </w:pPr>
            <w:r>
              <w:t>R19</w:t>
            </w:r>
          </w:p>
        </w:tc>
        <w:tc>
          <w:tcPr>
            <w:tcW w:type="dxa" w:w="5160"/>
            <w:vAlign w:val="center"/>
          </w:tcPr>
          <w:p>
            <w:pPr>
              <w:pStyle w:val="MatrixText"/>
            </w:pPr>
            <w:r>
              <w:t>Appliquer le seuil NLP ≥95 % au tiré et au tireur — UC-01</w:t>
            </w:r>
          </w:p>
        </w:tc>
        <w:tc>
          <w:tcPr>
            <w:tcW w:type="dxa" w:w="1700"/>
            <w:vAlign w:val="center"/>
          </w:tcPr>
          <w:p>
            <w:pPr>
              <w:pStyle w:val="MatrixText"/>
              <w:jc w:val="center"/>
            </w:pPr>
            <w:r>
              <w:t>Partiel</w:t>
            </w:r>
          </w:p>
        </w:tc>
        <w:tc>
          <w:tcPr>
            <w:tcW w:type="dxa" w:w="1750"/>
            <w:vAlign w:val="center"/>
          </w:tcPr>
          <w:p>
            <w:pPr>
              <w:pStyle w:val="MatrixText"/>
            </w:pPr>
            <w:r>
              <w:t>G09</w:t>
            </w:r>
          </w:p>
        </w:tc>
      </w:tr>
      <w:tr>
        <w:trPr>
          <w:cantSplit/>
        </w:trPr>
        <w:tc>
          <w:tcPr>
            <w:tcW w:type="dxa" w:w="750"/>
            <w:vAlign w:val="center"/>
          </w:tcPr>
          <w:p>
            <w:pPr>
              <w:pStyle w:val="MatrixText"/>
              <w:jc w:val="center"/>
            </w:pPr>
            <w:r>
              <w:t>R20</w:t>
            </w:r>
          </w:p>
        </w:tc>
        <w:tc>
          <w:tcPr>
            <w:tcW w:type="dxa" w:w="5160"/>
            <w:vAlign w:val="center"/>
          </w:tcPr>
          <w:p>
            <w:pPr>
              <w:pStyle w:val="MatrixText"/>
            </w:pPr>
            <w:r>
              <w:t>Gérer les trois variantes IMX des noms — synthèse recto</w:t>
            </w:r>
          </w:p>
        </w:tc>
        <w:tc>
          <w:tcPr>
            <w:tcW w:type="dxa" w:w="1700"/>
            <w:vAlign w:val="center"/>
          </w:tcPr>
          <w:p>
            <w:pPr>
              <w:pStyle w:val="MatrixText"/>
              <w:jc w:val="center"/>
            </w:pPr>
            <w:r>
              <w:t>Absent</w:t>
            </w:r>
          </w:p>
        </w:tc>
        <w:tc>
          <w:tcPr>
            <w:tcW w:type="dxa" w:w="1750"/>
            <w:vAlign w:val="center"/>
          </w:tcPr>
          <w:p>
            <w:pPr>
              <w:pStyle w:val="MatrixText"/>
            </w:pPr>
            <w:r>
              <w:t>G09</w:t>
            </w:r>
          </w:p>
        </w:tc>
      </w:tr>
      <w:tr>
        <w:trPr>
          <w:cantSplit/>
        </w:trPr>
        <w:tc>
          <w:tcPr>
            <w:tcW w:type="dxa" w:w="750"/>
            <w:vAlign w:val="center"/>
          </w:tcPr>
          <w:p>
            <w:pPr>
              <w:pStyle w:val="MatrixText"/>
              <w:jc w:val="center"/>
            </w:pPr>
            <w:r>
              <w:t>R21</w:t>
            </w:r>
          </w:p>
        </w:tc>
        <w:tc>
          <w:tcPr>
            <w:tcW w:type="dxa" w:w="5160"/>
            <w:vAlign w:val="center"/>
          </w:tcPr>
          <w:p>
            <w:pPr>
              <w:pStyle w:val="MatrixText"/>
            </w:pPr>
            <w:r>
              <w:t>Bénéficiaire = adhérent, cohérence avec contrat — synthèse recto</w:t>
            </w:r>
          </w:p>
        </w:tc>
        <w:tc>
          <w:tcPr>
            <w:tcW w:type="dxa" w:w="1700"/>
            <w:vAlign w:val="center"/>
          </w:tcPr>
          <w:p>
            <w:pPr>
              <w:pStyle w:val="MatrixText"/>
              <w:jc w:val="center"/>
            </w:pPr>
            <w:r>
              <w:t>Partiel</w:t>
            </w:r>
          </w:p>
        </w:tc>
        <w:tc>
          <w:tcPr>
            <w:tcW w:type="dxa" w:w="1750"/>
            <w:vAlign w:val="center"/>
          </w:tcPr>
          <w:p>
            <w:pPr>
              <w:pStyle w:val="MatrixText"/>
            </w:pPr>
            <w:r>
              <w:t>G10</w:t>
            </w:r>
          </w:p>
        </w:tc>
      </w:tr>
      <w:tr>
        <w:trPr>
          <w:cantSplit/>
        </w:trPr>
        <w:tc>
          <w:tcPr>
            <w:tcW w:type="dxa" w:w="750"/>
            <w:vAlign w:val="center"/>
          </w:tcPr>
          <w:p>
            <w:pPr>
              <w:pStyle w:val="MatrixText"/>
              <w:jc w:val="center"/>
            </w:pPr>
            <w:r>
              <w:t>R22</w:t>
            </w:r>
          </w:p>
        </w:tc>
        <w:tc>
          <w:tcPr>
            <w:tcW w:type="dxa" w:w="5160"/>
            <w:vAlign w:val="center"/>
          </w:tcPr>
          <w:p>
            <w:pPr>
              <w:pStyle w:val="MatrixText"/>
            </w:pPr>
            <w:r>
              <w:t>Convertir les lettres en valeur numérique et comparer — synthèse recto</w:t>
            </w:r>
          </w:p>
        </w:tc>
        <w:tc>
          <w:tcPr>
            <w:tcW w:type="dxa" w:w="1700"/>
            <w:vAlign w:val="center"/>
          </w:tcPr>
          <w:p>
            <w:pPr>
              <w:pStyle w:val="MatrixText"/>
              <w:jc w:val="center"/>
            </w:pPr>
            <w:r>
              <w:t>Partiel</w:t>
            </w:r>
          </w:p>
        </w:tc>
        <w:tc>
          <w:tcPr>
            <w:tcW w:type="dxa" w:w="1750"/>
            <w:vAlign w:val="center"/>
          </w:tcPr>
          <w:p>
            <w:pPr>
              <w:pStyle w:val="MatrixText"/>
            </w:pPr>
            <w:r>
              <w:t>G11</w:t>
            </w:r>
          </w:p>
        </w:tc>
      </w:tr>
      <w:tr>
        <w:trPr>
          <w:cantSplit/>
        </w:trPr>
        <w:tc>
          <w:tcPr>
            <w:tcW w:type="dxa" w:w="750"/>
            <w:vAlign w:val="center"/>
          </w:tcPr>
          <w:p>
            <w:pPr>
              <w:pStyle w:val="MatrixText"/>
              <w:jc w:val="center"/>
            </w:pPr>
            <w:r>
              <w:t>R23</w:t>
            </w:r>
          </w:p>
        </w:tc>
        <w:tc>
          <w:tcPr>
            <w:tcW w:type="dxa" w:w="5160"/>
            <w:vAlign w:val="center"/>
          </w:tcPr>
          <w:p>
            <w:pPr>
              <w:pStyle w:val="MatrixText"/>
            </w:pPr>
            <w:r>
              <w:t>Création ≤ aujourd’hui ≤ échéance — UC-01</w:t>
            </w:r>
          </w:p>
        </w:tc>
        <w:tc>
          <w:tcPr>
            <w:tcW w:type="dxa" w:w="1700"/>
            <w:vAlign w:val="center"/>
          </w:tcPr>
          <w:p>
            <w:pPr>
              <w:pStyle w:val="MatrixText"/>
              <w:jc w:val="center"/>
            </w:pPr>
            <w:r>
              <w:t>Partiel</w:t>
            </w:r>
          </w:p>
        </w:tc>
        <w:tc>
          <w:tcPr>
            <w:tcW w:type="dxa" w:w="1750"/>
            <w:vAlign w:val="center"/>
          </w:tcPr>
          <w:p>
            <w:pPr>
              <w:pStyle w:val="MatrixText"/>
            </w:pPr>
            <w:r>
              <w:t>G14, G20</w:t>
            </w:r>
          </w:p>
        </w:tc>
      </w:tr>
      <w:tr>
        <w:trPr>
          <w:cantSplit/>
        </w:trPr>
        <w:tc>
          <w:tcPr>
            <w:tcW w:type="dxa" w:w="750"/>
            <w:vAlign w:val="center"/>
          </w:tcPr>
          <w:p>
            <w:pPr>
              <w:pStyle w:val="MatrixText"/>
              <w:jc w:val="center"/>
            </w:pPr>
            <w:r>
              <w:t>R24</w:t>
            </w:r>
          </w:p>
        </w:tc>
        <w:tc>
          <w:tcPr>
            <w:tcW w:type="dxa" w:w="5160"/>
            <w:vAlign w:val="center"/>
          </w:tcPr>
          <w:p>
            <w:pPr>
              <w:pStyle w:val="MatrixText"/>
            </w:pPr>
            <w:r>
              <w:t>Création ≥ date facture et cohérence échéance/conditions de règlement — UC-01 et exemple</w:t>
            </w:r>
          </w:p>
        </w:tc>
        <w:tc>
          <w:tcPr>
            <w:tcW w:type="dxa" w:w="1700"/>
            <w:vAlign w:val="center"/>
          </w:tcPr>
          <w:p>
            <w:pPr>
              <w:pStyle w:val="MatrixText"/>
              <w:jc w:val="center"/>
            </w:pPr>
            <w:r>
              <w:t>Partiel</w:t>
            </w:r>
          </w:p>
        </w:tc>
        <w:tc>
          <w:tcPr>
            <w:tcW w:type="dxa" w:w="1750"/>
            <w:vAlign w:val="center"/>
          </w:tcPr>
          <w:p>
            <w:pPr>
              <w:pStyle w:val="MatrixText"/>
            </w:pPr>
            <w:r>
              <w:t>G14</w:t>
            </w:r>
          </w:p>
        </w:tc>
      </w:tr>
      <w:tr>
        <w:trPr>
          <w:cantSplit/>
        </w:trPr>
        <w:tc>
          <w:tcPr>
            <w:tcW w:type="dxa" w:w="750"/>
            <w:vAlign w:val="center"/>
          </w:tcPr>
          <w:p>
            <w:pPr>
              <w:pStyle w:val="MatrixText"/>
              <w:jc w:val="center"/>
            </w:pPr>
            <w:r>
              <w:t>R25</w:t>
            </w:r>
          </w:p>
        </w:tc>
        <w:tc>
          <w:tcPr>
            <w:tcW w:type="dxa" w:w="5160"/>
            <w:vAlign w:val="center"/>
          </w:tcPr>
          <w:p>
            <w:pPr>
              <w:pStyle w:val="MatrixText"/>
            </w:pPr>
            <w:r>
              <w:t>Lire banque/agence, y compris texte hors cadre — vigilance recto</w:t>
            </w:r>
          </w:p>
        </w:tc>
        <w:tc>
          <w:tcPr>
            <w:tcW w:type="dxa" w:w="1700"/>
            <w:vAlign w:val="center"/>
          </w:tcPr>
          <w:p>
            <w:pPr>
              <w:pStyle w:val="MatrixText"/>
              <w:jc w:val="center"/>
            </w:pPr>
            <w:r>
              <w:t>Non démontré</w:t>
            </w:r>
          </w:p>
        </w:tc>
        <w:tc>
          <w:tcPr>
            <w:tcW w:type="dxa" w:w="1750"/>
            <w:vAlign w:val="center"/>
          </w:tcPr>
          <w:p>
            <w:pPr>
              <w:pStyle w:val="MatrixText"/>
            </w:pPr>
            <w:r>
              <w:t>G19</w:t>
            </w:r>
          </w:p>
        </w:tc>
      </w:tr>
      <w:tr>
        <w:trPr>
          <w:cantSplit/>
        </w:trPr>
        <w:tc>
          <w:tcPr>
            <w:tcW w:type="dxa" w:w="750"/>
            <w:vAlign w:val="center"/>
          </w:tcPr>
          <w:p>
            <w:pPr>
              <w:pStyle w:val="MatrixText"/>
              <w:jc w:val="center"/>
            </w:pPr>
            <w:r>
              <w:t>R26</w:t>
            </w:r>
          </w:p>
        </w:tc>
        <w:tc>
          <w:tcPr>
            <w:tcW w:type="dxa" w:w="5160"/>
            <w:vAlign w:val="center"/>
          </w:tcPr>
          <w:p>
            <w:pPr>
              <w:pStyle w:val="MatrixText"/>
            </w:pPr>
            <w:r>
              <w:t>Identifier nom/adresse du tiré et mentions des entreprises — synthèse ; BPMN 2</w:t>
            </w:r>
          </w:p>
        </w:tc>
        <w:tc>
          <w:tcPr>
            <w:tcW w:type="dxa" w:w="1700"/>
            <w:vAlign w:val="center"/>
          </w:tcPr>
          <w:p>
            <w:pPr>
              <w:pStyle w:val="MatrixText"/>
              <w:jc w:val="center"/>
            </w:pPr>
            <w:r>
              <w:t>Partiel</w:t>
            </w:r>
          </w:p>
        </w:tc>
        <w:tc>
          <w:tcPr>
            <w:tcW w:type="dxa" w:w="1750"/>
            <w:vAlign w:val="center"/>
          </w:tcPr>
          <w:p>
            <w:pPr>
              <w:pStyle w:val="MatrixText"/>
            </w:pPr>
            <w:r>
              <w:t>G04, G19</w:t>
            </w:r>
          </w:p>
        </w:tc>
      </w:tr>
      <w:tr>
        <w:trPr>
          <w:cantSplit/>
        </w:trPr>
        <w:tc>
          <w:tcPr>
            <w:tcW w:type="dxa" w:w="750"/>
            <w:vAlign w:val="center"/>
          </w:tcPr>
          <w:p>
            <w:pPr>
              <w:pStyle w:val="MatrixText"/>
              <w:jc w:val="center"/>
            </w:pPr>
            <w:r>
              <w:t>R27</w:t>
            </w:r>
          </w:p>
        </w:tc>
        <w:tc>
          <w:tcPr>
            <w:tcW w:type="dxa" w:w="5160"/>
            <w:vAlign w:val="center"/>
          </w:tcPr>
          <w:p>
            <w:pPr>
              <w:pStyle w:val="MatrixText"/>
            </w:pPr>
            <w:r>
              <w:t>Trois zones manuelles recto distinctes — UC-01</w:t>
            </w:r>
          </w:p>
        </w:tc>
        <w:tc>
          <w:tcPr>
            <w:tcW w:type="dxa" w:w="1700"/>
            <w:vAlign w:val="center"/>
          </w:tcPr>
          <w:p>
            <w:pPr>
              <w:pStyle w:val="MatrixText"/>
              <w:jc w:val="center"/>
            </w:pPr>
            <w:r>
              <w:t>Implémenté</w:t>
            </w:r>
          </w:p>
        </w:tc>
        <w:tc>
          <w:tcPr>
            <w:tcW w:type="dxa" w:w="1750"/>
            <w:vAlign w:val="center"/>
          </w:tcPr>
          <w:p>
            <w:pPr>
              <w:pStyle w:val="MatrixText"/>
            </w:pPr>
            <w:r>
              <w:t>E04</w:t>
            </w:r>
          </w:p>
        </w:tc>
      </w:tr>
      <w:tr>
        <w:trPr>
          <w:cantSplit/>
        </w:trPr>
        <w:tc>
          <w:tcPr>
            <w:tcW w:type="dxa" w:w="750"/>
            <w:vAlign w:val="center"/>
          </w:tcPr>
          <w:p>
            <w:pPr>
              <w:pStyle w:val="MatrixText"/>
              <w:jc w:val="center"/>
            </w:pPr>
            <w:r>
              <w:t>R28</w:t>
            </w:r>
          </w:p>
        </w:tc>
        <w:tc>
          <w:tcPr>
            <w:tcW w:type="dxa" w:w="5160"/>
            <w:vAlign w:val="center"/>
          </w:tcPr>
          <w:p>
            <w:pPr>
              <w:pStyle w:val="MatrixText"/>
            </w:pPr>
            <w:r>
              <w:t>Contrôle manuel signature/cachet au verso — synthèse verso</w:t>
            </w:r>
          </w:p>
        </w:tc>
        <w:tc>
          <w:tcPr>
            <w:tcW w:type="dxa" w:w="1700"/>
            <w:vAlign w:val="center"/>
          </w:tcPr>
          <w:p>
            <w:pPr>
              <w:pStyle w:val="MatrixText"/>
              <w:jc w:val="center"/>
            </w:pPr>
            <w:r>
              <w:t>Implémenté</w:t>
            </w:r>
          </w:p>
        </w:tc>
        <w:tc>
          <w:tcPr>
            <w:tcW w:type="dxa" w:w="1750"/>
            <w:vAlign w:val="center"/>
          </w:tcPr>
          <w:p>
            <w:pPr>
              <w:pStyle w:val="MatrixText"/>
            </w:pPr>
            <w:r>
              <w:t>E04</w:t>
            </w:r>
          </w:p>
        </w:tc>
      </w:tr>
      <w:tr>
        <w:trPr>
          <w:cantSplit/>
        </w:trPr>
        <w:tc>
          <w:tcPr>
            <w:tcW w:type="dxa" w:w="750"/>
            <w:vAlign w:val="center"/>
          </w:tcPr>
          <w:p>
            <w:pPr>
              <w:pStyle w:val="MatrixText"/>
              <w:jc w:val="center"/>
            </w:pPr>
            <w:r>
              <w:t>R29</w:t>
            </w:r>
          </w:p>
        </w:tc>
        <w:tc>
          <w:tcPr>
            <w:tcW w:type="dxa" w:w="5160"/>
            <w:vAlign w:val="center"/>
          </w:tcPr>
          <w:p>
            <w:pPr>
              <w:pStyle w:val="MatrixText"/>
            </w:pPr>
            <w:r>
              <w:t>Comparer un cachet à une référence disponible — phase IP, étape 5</w:t>
            </w:r>
          </w:p>
        </w:tc>
        <w:tc>
          <w:tcPr>
            <w:tcW w:type="dxa" w:w="1700"/>
            <w:vAlign w:val="center"/>
          </w:tcPr>
          <w:p>
            <w:pPr>
              <w:pStyle w:val="MatrixText"/>
              <w:jc w:val="center"/>
            </w:pPr>
            <w:r>
              <w:t>Absent</w:t>
            </w:r>
          </w:p>
        </w:tc>
        <w:tc>
          <w:tcPr>
            <w:tcW w:type="dxa" w:w="1750"/>
            <w:vAlign w:val="center"/>
          </w:tcPr>
          <w:p>
            <w:pPr>
              <w:pStyle w:val="MatrixText"/>
            </w:pPr>
            <w:r>
              <w:t>G18</w:t>
            </w:r>
          </w:p>
        </w:tc>
      </w:tr>
      <w:tr>
        <w:trPr>
          <w:cantSplit/>
        </w:trPr>
        <w:tc>
          <w:tcPr>
            <w:tcW w:type="dxa" w:w="750"/>
            <w:vAlign w:val="center"/>
          </w:tcPr>
          <w:p>
            <w:pPr>
              <w:pStyle w:val="MatrixText"/>
              <w:jc w:val="center"/>
            </w:pPr>
            <w:r>
              <w:t>R30</w:t>
            </w:r>
          </w:p>
        </w:tc>
        <w:tc>
          <w:tcPr>
            <w:tcW w:type="dxa" w:w="5160"/>
            <w:vAlign w:val="center"/>
          </w:tcPr>
          <w:p>
            <w:pPr>
              <w:pStyle w:val="MatrixText"/>
            </w:pPr>
            <w:r>
              <w:t>Enregistrer la référence à la première transaction — phase IP, étape 6</w:t>
            </w:r>
          </w:p>
        </w:tc>
        <w:tc>
          <w:tcPr>
            <w:tcW w:type="dxa" w:w="1700"/>
            <w:vAlign w:val="center"/>
          </w:tcPr>
          <w:p>
            <w:pPr>
              <w:pStyle w:val="MatrixText"/>
              <w:jc w:val="center"/>
            </w:pPr>
            <w:r>
              <w:t>Absent</w:t>
            </w:r>
          </w:p>
        </w:tc>
        <w:tc>
          <w:tcPr>
            <w:tcW w:type="dxa" w:w="1750"/>
            <w:vAlign w:val="center"/>
          </w:tcPr>
          <w:p>
            <w:pPr>
              <w:pStyle w:val="MatrixText"/>
            </w:pPr>
            <w:r>
              <w:t>G18</w:t>
            </w:r>
          </w:p>
        </w:tc>
      </w:tr>
      <w:tr>
        <w:trPr>
          <w:cantSplit/>
        </w:trPr>
        <w:tc>
          <w:tcPr>
            <w:tcW w:type="dxa" w:w="750"/>
            <w:vAlign w:val="center"/>
          </w:tcPr>
          <w:p>
            <w:pPr>
              <w:pStyle w:val="MatrixText"/>
              <w:jc w:val="center"/>
            </w:pPr>
            <w:r>
              <w:t>R31</w:t>
            </w:r>
          </w:p>
        </w:tc>
        <w:tc>
          <w:tcPr>
            <w:tcW w:type="dxa" w:w="5160"/>
            <w:vAlign w:val="center"/>
          </w:tcPr>
          <w:p>
            <w:pPr>
              <w:pStyle w:val="MatrixText"/>
            </w:pPr>
            <w:r>
              <w:t>Saisir les avoirs par débiteur — phase IP, étape 2</w:t>
            </w:r>
          </w:p>
        </w:tc>
        <w:tc>
          <w:tcPr>
            <w:tcW w:type="dxa" w:w="1700"/>
            <w:vAlign w:val="center"/>
          </w:tcPr>
          <w:p>
            <w:pPr>
              <w:pStyle w:val="MatrixText"/>
              <w:jc w:val="center"/>
            </w:pPr>
            <w:r>
              <w:t>Partiel</w:t>
            </w:r>
          </w:p>
        </w:tc>
        <w:tc>
          <w:tcPr>
            <w:tcW w:type="dxa" w:w="1750"/>
            <w:vAlign w:val="center"/>
          </w:tcPr>
          <w:p>
            <w:pPr>
              <w:pStyle w:val="MatrixText"/>
            </w:pPr>
            <w:r>
              <w:t>G16</w:t>
            </w:r>
          </w:p>
        </w:tc>
      </w:tr>
      <w:tr>
        <w:trPr>
          <w:cantSplit/>
        </w:trPr>
        <w:tc>
          <w:tcPr>
            <w:tcW w:type="dxa" w:w="750"/>
            <w:vAlign w:val="center"/>
          </w:tcPr>
          <w:p>
            <w:pPr>
              <w:pStyle w:val="MatrixText"/>
              <w:jc w:val="center"/>
            </w:pPr>
            <w:r>
              <w:t>R32</w:t>
            </w:r>
          </w:p>
        </w:tc>
        <w:tc>
          <w:tcPr>
            <w:tcW w:type="dxa" w:w="5160"/>
            <w:vAlign w:val="center"/>
          </w:tcPr>
          <w:p>
            <w:pPr>
              <w:pStyle w:val="MatrixText"/>
            </w:pPr>
            <w:r>
              <w:t>Couverture des factures nettes par débiteur/remise — UC-01 ; phase IP, étape 3</w:t>
            </w:r>
          </w:p>
        </w:tc>
        <w:tc>
          <w:tcPr>
            <w:tcW w:type="dxa" w:w="1700"/>
            <w:vAlign w:val="center"/>
          </w:tcPr>
          <w:p>
            <w:pPr>
              <w:pStyle w:val="MatrixText"/>
              <w:jc w:val="center"/>
            </w:pPr>
            <w:r>
              <w:t>Partiel</w:t>
            </w:r>
          </w:p>
        </w:tc>
        <w:tc>
          <w:tcPr>
            <w:tcW w:type="dxa" w:w="1750"/>
            <w:vAlign w:val="center"/>
          </w:tcPr>
          <w:p>
            <w:pPr>
              <w:pStyle w:val="MatrixText"/>
            </w:pPr>
            <w:r>
              <w:t>G15</w:t>
            </w:r>
          </w:p>
        </w:tc>
      </w:tr>
      <w:tr>
        <w:trPr>
          <w:cantSplit/>
        </w:trPr>
        <w:tc>
          <w:tcPr>
            <w:tcW w:type="dxa" w:w="750"/>
            <w:vAlign w:val="center"/>
          </w:tcPr>
          <w:p>
            <w:pPr>
              <w:pStyle w:val="MatrixText"/>
              <w:jc w:val="center"/>
            </w:pPr>
            <w:r>
              <w:t>R33</w:t>
            </w:r>
          </w:p>
        </w:tc>
        <w:tc>
          <w:tcPr>
            <w:tcW w:type="dxa" w:w="5160"/>
            <w:vAlign w:val="center"/>
          </w:tcPr>
          <w:p>
            <w:pPr>
              <w:pStyle w:val="MatrixText"/>
            </w:pPr>
            <w:r>
              <w:t>Définir Seuil_Ecart_Couverture — phase IP, étape 3</w:t>
            </w:r>
          </w:p>
        </w:tc>
        <w:tc>
          <w:tcPr>
            <w:tcW w:type="dxa" w:w="1700"/>
            <w:vAlign w:val="center"/>
          </w:tcPr>
          <w:p>
            <w:pPr>
              <w:pStyle w:val="MatrixText"/>
              <w:jc w:val="center"/>
            </w:pPr>
            <w:r>
              <w:t>À clarifier</w:t>
            </w:r>
          </w:p>
        </w:tc>
        <w:tc>
          <w:tcPr>
            <w:tcW w:type="dxa" w:w="1750"/>
            <w:vAlign w:val="center"/>
          </w:tcPr>
          <w:p>
            <w:pPr>
              <w:pStyle w:val="MatrixText"/>
            </w:pPr>
            <w:r>
              <w:t>G15, Q02</w:t>
            </w:r>
          </w:p>
        </w:tc>
      </w:tr>
      <w:tr>
        <w:trPr>
          <w:cantSplit/>
        </w:trPr>
        <w:tc>
          <w:tcPr>
            <w:tcW w:type="dxa" w:w="750"/>
            <w:vAlign w:val="center"/>
          </w:tcPr>
          <w:p>
            <w:pPr>
              <w:pStyle w:val="MatrixText"/>
              <w:jc w:val="center"/>
            </w:pPr>
            <w:r>
              <w:t>R34</w:t>
            </w:r>
          </w:p>
        </w:tc>
        <w:tc>
          <w:tcPr>
            <w:tcW w:type="dxa" w:w="5160"/>
            <w:vAlign w:val="center"/>
          </w:tcPr>
          <w:p>
            <w:pPr>
              <w:pStyle w:val="MatrixText"/>
            </w:pPr>
            <w:r>
              <w:t>Todo list et statuts du cycle de vie des remises — §1.2</w:t>
            </w:r>
          </w:p>
        </w:tc>
        <w:tc>
          <w:tcPr>
            <w:tcW w:type="dxa" w:w="1700"/>
            <w:vAlign w:val="center"/>
          </w:tcPr>
          <w:p>
            <w:pPr>
              <w:pStyle w:val="MatrixText"/>
              <w:jc w:val="center"/>
            </w:pPr>
            <w:r>
              <w:t>Partiel</w:t>
            </w:r>
          </w:p>
        </w:tc>
        <w:tc>
          <w:tcPr>
            <w:tcW w:type="dxa" w:w="1750"/>
            <w:vAlign w:val="center"/>
          </w:tcPr>
          <w:p>
            <w:pPr>
              <w:pStyle w:val="MatrixText"/>
            </w:pPr>
            <w:r>
              <w:t>G01, G21</w:t>
            </w:r>
          </w:p>
        </w:tc>
      </w:tr>
      <w:tr>
        <w:trPr>
          <w:cantSplit/>
        </w:trPr>
        <w:tc>
          <w:tcPr>
            <w:tcW w:type="dxa" w:w="750"/>
            <w:vAlign w:val="center"/>
          </w:tcPr>
          <w:p>
            <w:pPr>
              <w:pStyle w:val="MatrixText"/>
              <w:jc w:val="center"/>
            </w:pPr>
            <w:r>
              <w:t>R35</w:t>
            </w:r>
          </w:p>
        </w:tc>
        <w:tc>
          <w:tcPr>
            <w:tcW w:type="dxa" w:w="5160"/>
            <w:vAlign w:val="center"/>
          </w:tcPr>
          <w:p>
            <w:pPr>
              <w:pStyle w:val="MatrixText"/>
            </w:pPr>
            <w:r>
              <w:t>Historique du cycle de vie — §1.2</w:t>
            </w:r>
          </w:p>
        </w:tc>
        <w:tc>
          <w:tcPr>
            <w:tcW w:type="dxa" w:w="1700"/>
            <w:vAlign w:val="center"/>
          </w:tcPr>
          <w:p>
            <w:pPr>
              <w:pStyle w:val="MatrixText"/>
              <w:jc w:val="center"/>
            </w:pPr>
            <w:r>
              <w:t>Partiel</w:t>
            </w:r>
          </w:p>
        </w:tc>
        <w:tc>
          <w:tcPr>
            <w:tcW w:type="dxa" w:w="1750"/>
            <w:vAlign w:val="center"/>
          </w:tcPr>
          <w:p>
            <w:pPr>
              <w:pStyle w:val="MatrixText"/>
            </w:pPr>
            <w:r>
              <w:t>G21</w:t>
            </w:r>
          </w:p>
        </w:tc>
      </w:tr>
      <w:tr>
        <w:trPr>
          <w:cantSplit/>
        </w:trPr>
        <w:tc>
          <w:tcPr>
            <w:tcW w:type="dxa" w:w="750"/>
            <w:vAlign w:val="center"/>
          </w:tcPr>
          <w:p>
            <w:pPr>
              <w:pStyle w:val="MatrixText"/>
              <w:jc w:val="center"/>
            </w:pPr>
            <w:r>
              <w:t>R36</w:t>
            </w:r>
          </w:p>
        </w:tc>
        <w:tc>
          <w:tcPr>
            <w:tcW w:type="dxa" w:w="5160"/>
            <w:vAlign w:val="center"/>
          </w:tcPr>
          <w:p>
            <w:pPr>
              <w:pStyle w:val="MatrixText"/>
            </w:pPr>
            <w:r>
              <w:t>Acteurs gestionnaire/caissier — §2.1 et BPMN</w:t>
            </w:r>
          </w:p>
        </w:tc>
        <w:tc>
          <w:tcPr>
            <w:tcW w:type="dxa" w:w="1700"/>
            <w:vAlign w:val="center"/>
          </w:tcPr>
          <w:p>
            <w:pPr>
              <w:pStyle w:val="MatrixText"/>
              <w:jc w:val="center"/>
            </w:pPr>
            <w:r>
              <w:t>Partiel</w:t>
            </w:r>
          </w:p>
        </w:tc>
        <w:tc>
          <w:tcPr>
            <w:tcW w:type="dxa" w:w="1750"/>
            <w:vAlign w:val="center"/>
          </w:tcPr>
          <w:p>
            <w:pPr>
              <w:pStyle w:val="MatrixText"/>
            </w:pPr>
            <w:r>
              <w:t>G22</w:t>
            </w:r>
          </w:p>
        </w:tc>
      </w:tr>
      <w:tr>
        <w:trPr>
          <w:cantSplit/>
        </w:trPr>
        <w:tc>
          <w:tcPr>
            <w:tcW w:type="dxa" w:w="750"/>
            <w:vAlign w:val="center"/>
          </w:tcPr>
          <w:p>
            <w:pPr>
              <w:pStyle w:val="MatrixText"/>
              <w:jc w:val="center"/>
            </w:pPr>
            <w:r>
              <w:t>R37</w:t>
            </w:r>
          </w:p>
        </w:tc>
        <w:tc>
          <w:tcPr>
            <w:tcW w:type="dxa" w:w="5160"/>
            <w:vAlign w:val="center"/>
          </w:tcPr>
          <w:p>
            <w:pPr>
              <w:pStyle w:val="MatrixText"/>
            </w:pPr>
            <w:r>
              <w:t>Objectif de traitement à 24 heures — §1.1 et §1.3</w:t>
            </w:r>
          </w:p>
        </w:tc>
        <w:tc>
          <w:tcPr>
            <w:tcW w:type="dxa" w:w="1700"/>
            <w:vAlign w:val="center"/>
          </w:tcPr>
          <w:p>
            <w:pPr>
              <w:pStyle w:val="MatrixText"/>
              <w:jc w:val="center"/>
            </w:pPr>
            <w:r>
              <w:t>Non démontré</w:t>
            </w:r>
          </w:p>
        </w:tc>
        <w:tc>
          <w:tcPr>
            <w:tcW w:type="dxa" w:w="1750"/>
            <w:vAlign w:val="center"/>
          </w:tcPr>
          <w:p>
            <w:pPr>
              <w:pStyle w:val="MatrixText"/>
            </w:pPr>
            <w:r>
              <w:t>G23</w:t>
            </w:r>
          </w:p>
        </w:tc>
      </w:tr>
      <w:tr>
        <w:trPr>
          <w:cantSplit/>
        </w:trPr>
        <w:tc>
          <w:tcPr>
            <w:tcW w:type="dxa" w:w="750"/>
            <w:vAlign w:val="center"/>
          </w:tcPr>
          <w:p>
            <w:pPr>
              <w:pStyle w:val="MatrixText"/>
              <w:jc w:val="center"/>
            </w:pPr>
            <w:r>
              <w:t>R38</w:t>
            </w:r>
          </w:p>
        </w:tc>
        <w:tc>
          <w:tcPr>
            <w:tcW w:type="dxa" w:w="5160"/>
            <w:vAlign w:val="center"/>
          </w:tcPr>
          <w:p>
            <w:pPr>
              <w:pStyle w:val="MatrixText"/>
            </w:pPr>
            <w:r>
              <w:t>Lots, volumes annuels et scalabilité — §1.3</w:t>
            </w:r>
          </w:p>
        </w:tc>
        <w:tc>
          <w:tcPr>
            <w:tcW w:type="dxa" w:w="1700"/>
            <w:vAlign w:val="center"/>
          </w:tcPr>
          <w:p>
            <w:pPr>
              <w:pStyle w:val="MatrixText"/>
              <w:jc w:val="center"/>
            </w:pPr>
            <w:r>
              <w:t>Non démontré</w:t>
            </w:r>
          </w:p>
        </w:tc>
        <w:tc>
          <w:tcPr>
            <w:tcW w:type="dxa" w:w="1750"/>
            <w:vAlign w:val="center"/>
          </w:tcPr>
          <w:p>
            <w:pPr>
              <w:pStyle w:val="MatrixText"/>
            </w:pPr>
            <w:r>
              <w:t>G23</w:t>
            </w:r>
          </w:p>
        </w:tc>
      </w:tr>
      <w:tr>
        <w:trPr>
          <w:cantSplit/>
        </w:trPr>
        <w:tc>
          <w:tcPr>
            <w:tcW w:type="dxa" w:w="750"/>
            <w:vAlign w:val="center"/>
          </w:tcPr>
          <w:p>
            <w:pPr>
              <w:pStyle w:val="MatrixText"/>
              <w:jc w:val="center"/>
            </w:pPr>
            <w:r>
              <w:t>R39</w:t>
            </w:r>
          </w:p>
        </w:tc>
        <w:tc>
          <w:tcPr>
            <w:tcW w:type="dxa" w:w="5160"/>
            <w:vAlign w:val="center"/>
          </w:tcPr>
          <w:p>
            <w:pPr>
              <w:pStyle w:val="MatrixText"/>
            </w:pPr>
            <w:r>
              <w:t>Fiabilité OCR et robustesse des modèles — §1.3 ; UC-01</w:t>
            </w:r>
          </w:p>
        </w:tc>
        <w:tc>
          <w:tcPr>
            <w:tcW w:type="dxa" w:w="1700"/>
            <w:vAlign w:val="center"/>
          </w:tcPr>
          <w:p>
            <w:pPr>
              <w:pStyle w:val="MatrixText"/>
              <w:jc w:val="center"/>
            </w:pPr>
            <w:r>
              <w:t>Non démontré</w:t>
            </w:r>
          </w:p>
        </w:tc>
        <w:tc>
          <w:tcPr>
            <w:tcW w:type="dxa" w:w="1750"/>
            <w:vAlign w:val="center"/>
          </w:tcPr>
          <w:p>
            <w:pPr>
              <w:pStyle w:val="MatrixText"/>
            </w:pPr>
            <w:r>
              <w:t>G19, G23</w:t>
            </w:r>
          </w:p>
        </w:tc>
      </w:tr>
      <w:tr>
        <w:trPr>
          <w:cantSplit/>
        </w:trPr>
        <w:tc>
          <w:tcPr>
            <w:tcW w:type="dxa" w:w="750"/>
            <w:vAlign w:val="center"/>
          </w:tcPr>
          <w:p>
            <w:pPr>
              <w:pStyle w:val="MatrixText"/>
              <w:jc w:val="center"/>
            </w:pPr>
            <w:r>
              <w:t>R40</w:t>
            </w:r>
          </w:p>
        </w:tc>
        <w:tc>
          <w:tcPr>
            <w:tcW w:type="dxa" w:w="5160"/>
            <w:vAlign w:val="center"/>
          </w:tcPr>
          <w:p>
            <w:pPr>
              <w:pStyle w:val="MatrixText"/>
            </w:pPr>
            <w:r>
              <w:t>Adaptabilité des contrôles — §1.3</w:t>
            </w:r>
          </w:p>
        </w:tc>
        <w:tc>
          <w:tcPr>
            <w:tcW w:type="dxa" w:w="1700"/>
            <w:vAlign w:val="center"/>
          </w:tcPr>
          <w:p>
            <w:pPr>
              <w:pStyle w:val="MatrixText"/>
              <w:jc w:val="center"/>
            </w:pPr>
            <w:r>
              <w:t>Partiel</w:t>
            </w:r>
          </w:p>
        </w:tc>
        <w:tc>
          <w:tcPr>
            <w:tcW w:type="dxa" w:w="1750"/>
            <w:vAlign w:val="center"/>
          </w:tcPr>
          <w:p>
            <w:pPr>
              <w:pStyle w:val="MatrixText"/>
            </w:pPr>
            <w:r>
              <w:t>G24</w:t>
            </w:r>
          </w:p>
        </w:tc>
      </w:tr>
      <w:tr>
        <w:trPr>
          <w:cantSplit/>
        </w:trPr>
        <w:tc>
          <w:tcPr>
            <w:tcW w:type="dxa" w:w="750"/>
            <w:vAlign w:val="center"/>
          </w:tcPr>
          <w:p>
            <w:pPr>
              <w:pStyle w:val="MatrixText"/>
              <w:jc w:val="center"/>
            </w:pPr>
            <w:r>
              <w:t>R41</w:t>
            </w:r>
          </w:p>
        </w:tc>
        <w:tc>
          <w:tcPr>
            <w:tcW w:type="dxa" w:w="5160"/>
            <w:vAlign w:val="center"/>
          </w:tcPr>
          <w:p>
            <w:pPr>
              <w:pStyle w:val="MatrixText"/>
            </w:pPr>
            <w:r>
              <w:t>Traitement de la case Protestable — vigilance recto</w:t>
            </w:r>
          </w:p>
        </w:tc>
        <w:tc>
          <w:tcPr>
            <w:tcW w:type="dxa" w:w="1700"/>
            <w:vAlign w:val="center"/>
          </w:tcPr>
          <w:p>
            <w:pPr>
              <w:pStyle w:val="MatrixText"/>
              <w:jc w:val="center"/>
            </w:pPr>
            <w:r>
              <w:t>À clarifier</w:t>
            </w:r>
          </w:p>
        </w:tc>
        <w:tc>
          <w:tcPr>
            <w:tcW w:type="dxa" w:w="1750"/>
            <w:vAlign w:val="center"/>
          </w:tcPr>
          <w:p>
            <w:pPr>
              <w:pStyle w:val="MatrixText"/>
            </w:pPr>
            <w:r>
              <w:t>Q01</w:t>
            </w:r>
          </w:p>
        </w:tc>
      </w:tr>
      <w:tr>
        <w:trPr>
          <w:cantSplit/>
        </w:trPr>
        <w:tc>
          <w:tcPr>
            <w:tcW w:type="dxa" w:w="750"/>
            <w:vAlign w:val="center"/>
          </w:tcPr>
          <w:p>
            <w:pPr>
              <w:pStyle w:val="MatrixText"/>
              <w:jc w:val="center"/>
            </w:pPr>
            <w:r>
              <w:t>R42</w:t>
            </w:r>
          </w:p>
        </w:tc>
        <w:tc>
          <w:tcPr>
            <w:tcW w:type="dxa" w:w="5160"/>
            <w:vAlign w:val="center"/>
          </w:tcPr>
          <w:p>
            <w:pPr>
              <w:pStyle w:val="MatrixText"/>
            </w:pPr>
            <w:r>
              <w:t>Enregistrement Reporting V2 par bureau d’ordre — BPMN 1</w:t>
            </w:r>
          </w:p>
        </w:tc>
        <w:tc>
          <w:tcPr>
            <w:tcW w:type="dxa" w:w="1700"/>
            <w:vAlign w:val="center"/>
          </w:tcPr>
          <w:p>
            <w:pPr>
              <w:pStyle w:val="MatrixText"/>
              <w:jc w:val="center"/>
            </w:pPr>
            <w:r>
              <w:t>Hors périmètre</w:t>
            </w:r>
          </w:p>
        </w:tc>
        <w:tc>
          <w:tcPr>
            <w:tcW w:type="dxa" w:w="1750"/>
            <w:vAlign w:val="center"/>
          </w:tcPr>
          <w:p>
            <w:pPr>
              <w:pStyle w:val="MatrixText"/>
            </w:pPr>
            <w:r>
              <w:t>§2</w:t>
            </w:r>
          </w:p>
        </w:tc>
      </w:tr>
      <w:tr>
        <w:trPr>
          <w:cantSplit/>
        </w:trPr>
        <w:tc>
          <w:tcPr>
            <w:tcW w:type="dxa" w:w="750"/>
            <w:vAlign w:val="center"/>
          </w:tcPr>
          <w:p>
            <w:pPr>
              <w:pStyle w:val="MatrixText"/>
              <w:jc w:val="center"/>
            </w:pPr>
            <w:r>
              <w:t>R43</w:t>
            </w:r>
          </w:p>
        </w:tc>
        <w:tc>
          <w:tcPr>
            <w:tcW w:type="dxa" w:w="5160"/>
            <w:vAlign w:val="center"/>
          </w:tcPr>
          <w:p>
            <w:pPr>
              <w:pStyle w:val="MatrixText"/>
            </w:pPr>
            <w:r>
              <w:t>Réception physique et préparation amont — §2.1 et BPMN 1</w:t>
            </w:r>
          </w:p>
        </w:tc>
        <w:tc>
          <w:tcPr>
            <w:tcW w:type="dxa" w:w="1700"/>
            <w:vAlign w:val="center"/>
          </w:tcPr>
          <w:p>
            <w:pPr>
              <w:pStyle w:val="MatrixText"/>
              <w:jc w:val="center"/>
            </w:pPr>
            <w:r>
              <w:t>Hors périmètre</w:t>
            </w:r>
          </w:p>
        </w:tc>
        <w:tc>
          <w:tcPr>
            <w:tcW w:type="dxa" w:w="1750"/>
            <w:vAlign w:val="center"/>
          </w:tcPr>
          <w:p>
            <w:pPr>
              <w:pStyle w:val="MatrixText"/>
            </w:pPr>
            <w:r>
              <w:t>§2</w:t>
            </w:r>
          </w:p>
        </w:tc>
      </w:tr>
    </w:tbl>
    <w:p>
      <w:pPr>
        <w:spacing w:after="80"/>
      </w:pPr>
    </w:p>
    <w:p>
      <w:pPr>
        <w:pStyle w:val="Heading1"/>
        <w:pageBreakBefore/>
      </w:pPr>
      <w:r>
        <w:t>3. Fiches détaillées des écarts</w:t>
      </w:r>
    </w:p>
    <w:p>
      <w:pPr/>
      <w:r>
        <w:t>Priorités proposées : P0 = cohérence de décision ou risque de résultat métier trompeur ; P1 = capacité nécessaire au périmètre complet ; P2 = qualité, ergonomie ou gouvernance à compléter. Ces priorités sont des recommandations d’audit, pas un engagement de planning.</w:t>
      </w:r>
    </w:p>
    <w:p>
      <w:pPr>
        <w:pStyle w:val="Heading2"/>
      </w:pPr>
      <w:r>
        <w:t>G01 — Une remise métier ne peut pas être créée ni suivie</w:t>
      </w:r>
    </w:p>
    <w:p>
      <w:pPr/>
      <w:r>
        <w:rPr>
          <w:b/>
        </w:rPr>
        <w:t>Récapitulatif :</w:t>
      </w:r>
      <w:r>
        <w:t xml:space="preserve"> absent pour le dossier et le contrat ; partiel pour le cycle de vie. Priorité P1. Exigences R02, R03, R34.</w:t>
      </w:r>
    </w:p>
    <w:p>
      <w:pPr/>
      <w:r>
        <w:rPr>
          <w:b/>
        </w:rPr>
        <w:t>Besoin :</w:t>
      </w:r>
      <w:r>
        <w:t xml:space="preserve"> créer une remise rattachée à un code contrat et à une nature, garantir son unicité, puis y regrouper plusieurs débiteurs, factures et IP. La todo list doit suivre cette unité métier.</w:t>
      </w:r>
    </w:p>
    <w:p>
      <w:pPr/>
      <w:r>
        <w:rPr>
          <w:b/>
        </w:rPr>
        <w:t>POC :</w:t>
      </w:r>
      <w:r>
        <w:t xml:space="preserve"> l’écran crée directement une Traite avec un identifiant provisoire AUTO. Aucun modèle Remise, code contrat ou nature de remise n’est présent. La contrainte unique du numéro L-CN ne remplace pas l’unicité d’un dossier. Le report est explicitement documenté dans todo-list.md.</w:t>
      </w:r>
    </w:p>
    <w:p>
      <w:pPr/>
      <w:r>
        <w:rPr>
          <w:b/>
        </w:rPr>
        <w:t>Scénario :</w:t>
      </w:r>
      <w:r>
        <w:t xml:space="preserve"> une remise contient deux débiteurs et cinq traites. Aujourd’hui, l’utilisateur doit créer cinq éléments indépendants et ne peut pas voir si l’ensemble du dossier est complet. Attendu : un dossier commun, son contenu, ses totaux et un contrôle de dépôt en double.</w:t>
      </w:r>
    </w:p>
    <w:p>
      <w:pPr/>
      <w:r>
        <w:rPr>
          <w:b/>
        </w:rPr>
        <w:t>À réaliser :</w:t>
      </w:r>
      <w:r>
        <w:t xml:space="preserve"> définir la clé métier d’unicité avec la MOA ; introduire le dossier et ses liens ; adapter création, liste et statuts. Recette : les cinq traites sont consultables dans une même remise, sans mélange avec une remise précédente. Preuves : E05, E06, E18.</w:t>
      </w:r>
    </w:p>
    <w:p>
      <w:pPr>
        <w:pStyle w:val="Heading2"/>
      </w:pPr>
      <w:r>
        <w:t>G02 — Le dépôt PDF est accepté mais ne conduit pas à une extraction PDF</w:t>
      </w:r>
    </w:p>
    <w:p>
      <w:pPr/>
      <w:r>
        <w:rPr>
          <w:b/>
        </w:rPr>
        <w:t>Récapitulatif :</w:t>
      </w:r>
      <w:r>
        <w:t xml:space="preserve"> partiel. Priorité P1. Exigence R04.</w:t>
      </w:r>
    </w:p>
    <w:p>
      <w:pPr/>
      <w:r>
        <w:rPr>
          <w:b/>
        </w:rPr>
        <w:t>Besoin :</w:t>
      </w:r>
      <w:r>
        <w:t xml:space="preserve"> charger le fichier IP séparé et le fichier de créances contenant bordereau, factures et BL/BC. Le format PDF est explicite dans les spécifications.</w:t>
      </w:r>
    </w:p>
    <w:p>
      <w:pPr/>
      <w:r>
        <w:rPr>
          <w:b/>
        </w:rPr>
        <w:t>POC :</w:t>
      </w:r>
      <w:r>
        <w:t xml:space="preserve"> l’API et le sélecteur acceptent PDF, JPEG et PNG. Toutefois VlmExtractor retourne un résultat vide dès qu’une face n’est pas de type image. Le téléchargement et l’ouverture du PDF sont possibles ; son analyse réelle n’est pas implémentée. Deux emplacements recto/verso d’une seule traite ne représentent pas deux dossiers PDF multipages.</w:t>
      </w:r>
    </w:p>
    <w:p>
      <w:pPr/>
      <w:r>
        <w:rPr>
          <w:b/>
        </w:rPr>
        <w:t>Scénario :</w:t>
      </w:r>
      <w:r>
        <w:t xml:space="preserve"> importer deux PDF valides puis lancer l’analyse avec Azure. Selon le code, aucun champ n’est extrait et la traite termine en écarts faute d’identification. Attendu : conversion des pages en images, identification des faces et résultats exploitables, ou refus explicite tant que ce parcours n’est pas disponible.</w:t>
      </w:r>
    </w:p>
    <w:p>
      <w:pPr/>
      <w:r>
        <w:rPr>
          <w:b/>
        </w:rPr>
        <w:t>Recette :</w:t>
      </w:r>
      <w:r>
        <w:t xml:space="preserve"> vérifier un PDF scanné multipage, un PDF texte, les pages blanches et les erreurs de conversion. Preuves : E02, E06, E07.</w:t>
      </w:r>
    </w:p>
    <w:p>
      <w:pPr>
        <w:pStyle w:val="Heading2"/>
      </w:pPr>
      <w:r>
        <w:t>G03 — Segmentation, classification et bordereau absents</w:t>
      </w:r>
    </w:p>
    <w:p>
      <w:pPr/>
      <w:r>
        <w:rPr>
          <w:b/>
        </w:rPr>
        <w:t>Récapitulatif :</w:t>
      </w:r>
      <w:r>
        <w:t xml:space="preserve"> absent. Priorité P1. Exigence R05.</w:t>
      </w:r>
    </w:p>
    <w:p>
      <w:pPr/>
      <w:r>
        <w:rPr>
          <w:b/>
        </w:rPr>
        <w:t>Besoin :</w:t>
      </w:r>
      <w:r>
        <w:t xml:space="preserve"> séparer automatiquement les documents du dépôt, reconnaître bordereau, facture, BL/BC et traite ; identifier le bordereau TLF ou client à partir des indices « remise » et « IP » ; rattacher les pages et pièces au bon objet.</w:t>
      </w:r>
    </w:p>
    <w:p>
      <w:pPr/>
      <w:r>
        <w:rPr>
          <w:b/>
        </w:rPr>
        <w:t>POC :</w:t>
      </w:r>
      <w:r>
        <w:t xml:space="preserve"> l’utilisateur choisit lui-même recto et verso. Il n’existe ni classe documentaire, ni relation facture/pièce scannée, ni résultat de segmentation à corriger.</w:t>
      </w:r>
    </w:p>
    <w:p>
      <w:pPr/>
      <w:r>
        <w:rPr>
          <w:b/>
        </w:rPr>
        <w:t>Scénario :</w:t>
      </w:r>
      <w:r>
        <w:t xml:space="preserve"> un PDF de dix pages contient un bordereau, trois factures et leurs justificatifs. Aujourd’hui, le dépôt ne produit aucun dossier structuré. Attendu : une liste des documents reconnus, leurs pages, leurs liens et les éléments non classés à traiter.</w:t>
      </w:r>
    </w:p>
    <w:p>
      <w:pPr/>
      <w:r>
        <w:rPr>
          <w:b/>
        </w:rPr>
        <w:t>Recette :</w:t>
      </w:r>
      <w:r>
        <w:t xml:space="preserve"> inverser deux pages, ajouter un document inconnu et supprimer un BC ; la classification doit conserver les anomalies et permettre leur correction. L’OCR d’une traite ne suffit pas à couvrir cette exigence. Preuves : E05, E06, E07.</w:t>
      </w:r>
    </w:p>
    <w:p>
      <w:pPr>
        <w:pStyle w:val="Heading2"/>
      </w:pPr>
      <w:r>
        <w:t>G04 — Identification à partir des factures et liste exhaustive des débiteurs absentes</w:t>
      </w:r>
    </w:p>
    <w:p>
      <w:pPr/>
      <w:r>
        <w:rPr>
          <w:b/>
        </w:rPr>
        <w:t>Récapitulatif :</w:t>
      </w:r>
      <w:r>
        <w:t xml:space="preserve"> extraction facture absente ; rapprochement et identification partiels. Priorité P1. Exigences R06–R08, R26.</w:t>
      </w:r>
    </w:p>
    <w:p>
      <w:pPr/>
      <w:r>
        <w:rPr>
          <w:b/>
        </w:rPr>
        <w:t>Besoin :</w:t>
      </w:r>
      <w:r>
        <w:t xml:space="preserve"> extraire l’adhérent, son matricule fiscal, les noms/adresses et identifiants requis depuis les factures ; lister tous les débiteurs de la remise, puis rapprocher leurs codes IMX.</w:t>
      </w:r>
    </w:p>
    <w:p>
      <w:pPr/>
      <w:r>
        <w:rPr>
          <w:b/>
        </w:rPr>
        <w:t>POC :</w:t>
      </w:r>
      <w:r>
        <w:t xml:space="preserve"> les noms rapprochés proviennent des blocs de la traite. Le matricule fiscal existe dans Adherent mais n’est pas extrait ni utilisé pour ce parcours. Un débiteur est associé à chaque traite ; un débiteur sans traite n’apparaît pas par découverte des factures.</w:t>
      </w:r>
    </w:p>
    <w:p>
      <w:pPr/>
      <w:r>
        <w:rPr>
          <w:b/>
        </w:rPr>
        <w:t>Scénario :</w:t>
      </w:r>
      <w:r>
        <w:t xml:space="preserve"> les factures mentionnent D1 et D2 mais seule une traite de D1 est importée. Le POC ne découvre pas D2 et ne peut pas signaler son IP manquant. Attendu : D2 figure dans la remise avec un résultat de complétude KO.</w:t>
      </w:r>
    </w:p>
    <w:p>
      <w:pPr/>
      <w:r>
        <w:rPr>
          <w:b/>
        </w:rPr>
        <w:t>À réaliser :</w:t>
      </w:r>
      <w:r>
        <w:t xml:space="preserve"> extraction des factures, mentions structurées, identification indépendante de la présence d’un IP et liste exhaustive par remise. Preuves : E02, E03, E05, E08.</w:t>
      </w:r>
    </w:p>
    <w:p>
      <w:pPr>
        <w:pStyle w:val="Heading2"/>
      </w:pPr>
      <w:r>
        <w:t>G05 — IMX est représenté par des tables locales, pas par une intégration démontrée</w:t>
      </w:r>
    </w:p>
    <w:p>
      <w:pPr/>
      <w:r>
        <w:rPr>
          <w:b/>
        </w:rPr>
        <w:t>Récapitulatif :</w:t>
      </w:r>
      <w:r>
        <w:t xml:space="preserve"> partiel. Priorité P1. Exigences R07, R18–R21, R24, R32.</w:t>
      </w:r>
    </w:p>
    <w:p>
      <w:pPr/>
      <w:r>
        <w:rPr>
          <w:b/>
        </w:rPr>
        <w:t>Besoin :</w:t>
      </w:r>
      <w:r>
        <w:t xml:space="preserve"> rapprocher les données avec un référentiel IMX fiable et actuel : adhérents, débiteurs, contrats, factures et conditions utiles au contrôle.</w:t>
      </w:r>
    </w:p>
    <w:p>
      <w:pPr/>
      <w:r>
        <w:rPr>
          <w:b/>
        </w:rPr>
        <w:t>POC :</w:t>
      </w:r>
      <w:r>
        <w:t xml:space="preserve"> les requêtes ciblent les tables du schéma imx dans la même base que l’application. Le script seed y insère des exemples. Aucun connecteur séparé, synchronisation, contrôle de fraîcheur ou mécanisme de correspondance avec le SI réel n’a été trouvé. Un commentaire envisage une intégration future ; il ne prouve pas son fonctionnement. Une alimentation externe de ces tables en staging reste possible mais n’a pas été vérifiée.</w:t>
      </w:r>
    </w:p>
    <w:p>
      <w:pPr/>
      <w:r>
        <w:rPr>
          <w:b/>
        </w:rPr>
        <w:t>Scénario :</w:t>
      </w:r>
      <w:r>
        <w:t xml:space="preserve"> le RIB d’un débiteur est modifié dans IMX réel. Le POC peut continuer à utiliser l’ancienne valeur tant que ses tables locales ne sont pas actualisées. Attendu : source, fréquence de mise à jour et traitement des données périmées explicites.</w:t>
      </w:r>
    </w:p>
    <w:p>
      <w:pPr/>
      <w:r>
        <w:rPr>
          <w:b/>
        </w:rPr>
        <w:t>Recette :</w:t>
      </w:r>
      <w:r>
        <w:t xml:space="preserve"> comparer un échantillon réel, simuler indisponibilité et mise à jour, vérifier les droits de lecture et l’absence d’écriture métier non autorisée. Preuves : E08, E09.</w:t>
      </w:r>
    </w:p>
    <w:p>
      <w:pPr>
        <w:pStyle w:val="Heading2"/>
      </w:pPr>
      <w:r>
        <w:t>G06 — Complétude conditionnée par le contrat non implémentée</w:t>
      </w:r>
    </w:p>
    <w:p>
      <w:pPr/>
      <w:r>
        <w:rPr>
          <w:b/>
        </w:rPr>
        <w:t>Récapitulatif :</w:t>
      </w:r>
      <w:r>
        <w:t xml:space="preserve"> absent. Priorité P1. Exigences R10–R12.</w:t>
      </w:r>
    </w:p>
    <w:p>
      <w:pPr/>
      <w:r>
        <w:rPr>
          <w:b/>
        </w:rPr>
        <w:t>Besoin :</w:t>
      </w:r>
      <w:r>
        <w:t xml:space="preserve"> obtenir depuis IMX la nature du contrat. Sans recouvrement : vérifier un ou plusieurs IP pour chaque débiteur. Avec recouvrement : vérifier au moins un BC pour chaque facture. Contrôler également la présence du bordereau selon la nomenclature.</w:t>
      </w:r>
    </w:p>
    <w:p>
      <w:pPr/>
      <w:r>
        <w:rPr>
          <w:b/>
        </w:rPr>
        <w:t>POC :</w:t>
      </w:r>
      <w:r>
        <w:t xml:space="preserve"> statut_contrat représente Actif/Résilié/Suspendu, pas la nature avec/sans recouvrement. Il n’existe ni Contrat, ni BC, ni relation document-facture. La présence recto/verso est contrôlée, mais uniquement pour lancer une analyse unitaire.</w:t>
      </w:r>
    </w:p>
    <w:p>
      <w:pPr/>
      <w:r>
        <w:rPr>
          <w:b/>
        </w:rPr>
        <w:t>Scénario :</w:t>
      </w:r>
      <w:r>
        <w:t xml:space="preserve"> une remise avec recouvrement contient deux factures dont une sans BC. Le POC ne peut pas exprimer ce manque. Attendu : KO sur la facture concernée avec la pièce attendue, tandis que l’autre reste conforme.</w:t>
      </w:r>
    </w:p>
    <w:p>
      <w:pPr/>
      <w:r>
        <w:rPr>
          <w:b/>
        </w:rPr>
        <w:t>Recette :</w:t>
      </w:r>
      <w:r>
        <w:t xml:space="preserve"> tester les deux branches contractuelles sur le même jeu documentaire et vérifier que l’exigence change selon le contrat. Preuves : E05, E06, E08.</w:t>
      </w:r>
    </w:p>
    <w:p>
      <w:pPr>
        <w:pStyle w:val="Heading2"/>
      </w:pPr>
      <w:r>
        <w:t>G07 — Dérogations contractuelles sans mécanisme applicatif</w:t>
      </w:r>
    </w:p>
    <w:p>
      <w:pPr/>
      <w:r>
        <w:rPr>
          <w:b/>
        </w:rPr>
        <w:t>Récapitulatif :</w:t>
      </w:r>
      <w:r>
        <w:t xml:space="preserve"> absent ; règles d’activation à préciser. Priorité P1. Exigence R13.</w:t>
      </w:r>
    </w:p>
    <w:p>
      <w:pPr/>
      <w:r>
        <w:rPr>
          <w:b/>
        </w:rPr>
        <w:t>Besoin :</w:t>
      </w:r>
      <w:r>
        <w:t xml:space="preserve"> vérifier et activer les dérogations contractuelles applicables, comme demandé dans la phase 2. Une dérogation doit être reliée au contrat et au contrôle concerné.</w:t>
      </w:r>
    </w:p>
    <w:p>
      <w:pPr/>
      <w:r>
        <w:rPr>
          <w:b/>
        </w:rPr>
        <w:t>POC :</w:t>
      </w:r>
      <w:r>
        <w:t xml:space="preserve"> aucune entité, API ou interface de dérogation. Cocher une vérification manuelle conforme ne constitue pas une dérogation contractuelle.</w:t>
      </w:r>
    </w:p>
    <w:p>
      <w:pPr/>
      <w:r>
        <w:rPr>
          <w:b/>
        </w:rPr>
        <w:t>Scénario :</w:t>
      </w:r>
      <w:r>
        <w:t xml:space="preserve"> un contrat prévoit une exception à une pièce requise. Aujourd’hui, l’application ne peut ni la charger ni expliquer pourquoi une absence serait admise. Attendu : afficher l’exception applicable, conserver son motif et son effet sur le contrôle.</w:t>
      </w:r>
    </w:p>
    <w:p>
      <w:pPr/>
      <w:r>
        <w:rPr>
          <w:b/>
        </w:rPr>
        <w:t>À préciser avec la MOA :</w:t>
      </w:r>
      <w:r>
        <w:t xml:space="preserve"> catalogue, bénéficiaires, durée, habilitation d’activation et règles autorisées. Ne pas déduire du document une autorisation générale de contourner tous les contrôles. Preuves : E05, E06, E18.</w:t>
      </w:r>
    </w:p>
    <w:p>
      <w:pPr>
        <w:pStyle w:val="Heading2"/>
      </w:pPr>
      <w:r>
        <w:t>G08 — Les écarts OCR/NLP ne disposent pas de parcours de correction et de reprise</w:t>
      </w:r>
    </w:p>
    <w:p>
      <w:pPr/>
      <w:r>
        <w:rPr>
          <w:b/>
        </w:rPr>
        <w:t>Récapitulatif :</w:t>
      </w:r>
      <w:r>
        <w:t xml:space="preserve"> absent. Priorité P0. Exigence R09.</w:t>
      </w:r>
    </w:p>
    <w:p>
      <w:pPr/>
      <w:r>
        <w:rPr>
          <w:b/>
        </w:rPr>
        <w:t>Besoin :</w:t>
      </w:r>
      <w:r>
        <w:t xml:space="preserve"> corriger les écarts de reconnaissance, confirmer la bonne identité et recalculer les contrôles après intervention humaine.</w:t>
      </w:r>
    </w:p>
    <w:p>
      <w:pPr/>
      <w:r>
        <w:rPr>
          <w:b/>
        </w:rPr>
        <w:t>POC :</w:t>
      </w:r>
      <w:r>
        <w:t xml:space="preserve"> les champs OCR et rapprochements sont consultables, mais aucune route de correction ou confirmation d’identité n’existe. Seuls les statuts des quatre contrôles et le montant d’avoirs ont des routes PATCH. L’analyse ne démarre qu’au statut À traiter ; une traite en Écarts à traiter ne peut pas être relancée.</w:t>
      </w:r>
    </w:p>
    <w:p>
      <w:pPr/>
      <w:r>
        <w:rPr>
          <w:b/>
        </w:rPr>
        <w:t>Scénario :</w:t>
      </w:r>
      <w:r>
        <w:t xml:space="preserve"> un chiffre du RIB est mal lu ; le caissier voit la bonne valeur sur le scan. Il ne peut pas la corriger puis reprendre le traitement. Après une panne du fournisseur OCR, la même limitation bloque également une reprise normale.</w:t>
      </w:r>
    </w:p>
    <w:p>
      <w:pPr/>
      <w:r>
        <w:rPr>
          <w:b/>
        </w:rPr>
        <w:t>À réaliser :</w:t>
      </w:r>
      <w:r>
        <w:t xml:space="preserve"> conserver valeur source, valeur corrigée, auteur et motif ; recalculer les règles ; permettre une nouvelle tentative contrôlée. Recette : correction d’un chiffre, confirmation d’un homonyme, nouvel échec OCR et relance réussie sans créer une seconde traite. Preuves : E06, E10.</w:t>
      </w:r>
    </w:p>
    <w:p>
      <w:pPr>
        <w:pStyle w:val="Heading2"/>
      </w:pPr>
      <w:r>
        <w:t>G09 — Seuil de 95 % et variantes des noms non respectés uniformément</w:t>
      </w:r>
    </w:p>
    <w:p>
      <w:pPr/>
      <w:r>
        <w:rPr>
          <w:b/>
        </w:rPr>
        <w:t>Récapitulatif :</w:t>
      </w:r>
      <w:r>
        <w:t xml:space="preserve"> partiel pour le seuil ; absent pour les variantes. Priorité P0. Exigences R19–R20.</w:t>
      </w:r>
    </w:p>
    <w:p>
      <w:pPr/>
      <w:r>
        <w:rPr>
          <w:b/>
        </w:rPr>
        <w:t>Besoin :</w:t>
      </w:r>
      <w:r>
        <w:t xml:space="preserve"> comparer noms du tiré et du tireur aux références IMX avec le seuil de 95 % annoncé ; prendre en compte les trois variantes citées dans la synthèse.</w:t>
      </w:r>
    </w:p>
    <w:p>
      <w:pPr/>
      <w:r>
        <w:rPr>
          <w:b/>
        </w:rPr>
        <w:t>POC :</w:t>
      </w:r>
      <w:r>
        <w:t xml:space="preserve"> RapidFuzz calcule un meilleur score sur une raison sociale par entité. Le paramètre nlp_match_threshold=95 existe, mais n’est pas utilisé par la décision d’analyse. Après identification exacte par RIB, le tiré n’est en alerte que sous rib_corroboration_min_score=50 par défaut ; le score du tireur ne participe pas au critère clean. Le frontend colore pourtant les scores à partir de 95 %.</w:t>
      </w:r>
    </w:p>
    <w:p>
      <w:pPr/>
      <w:r>
        <w:rPr>
          <w:b/>
        </w:rPr>
        <w:t>Scénario déduit du code :</w:t>
      </w:r>
      <w:r>
        <w:t xml:space="preserve"> RIB exact, nom du tiré à 70 %, adhérent relié, aucune divergence ; l’analyse peut demander uniquement les contrôles manuels. Le score reste visuellement inférieur à 95 %. Attendu : appliquer une politique unique et documentée, ou faire approuver explicitement cette dérogation RIB-first.</w:t>
      </w:r>
    </w:p>
    <w:p>
      <w:pPr/>
      <w:r>
        <w:rPr>
          <w:b/>
        </w:rPr>
        <w:t>Recette :</w:t>
      </w:r>
      <w:r>
        <w:t xml:space="preserve"> scores 94,99 %, 95 % et 95,01 %, variantes d’un même nom, homonymes, tireur incompatible. Preuves : E03, E11, E12.</w:t>
      </w:r>
    </w:p>
    <w:p>
      <w:pPr>
        <w:pStyle w:val="Heading2"/>
      </w:pPr>
      <w:r>
        <w:t>G10 — Le bénéficiaire n’est pas vérifié contre le contrat</w:t>
      </w:r>
    </w:p>
    <w:p>
      <w:pPr/>
      <w:r>
        <w:rPr>
          <w:b/>
        </w:rPr>
        <w:t>Récapitulatif :</w:t>
      </w:r>
      <w:r>
        <w:t xml:space="preserve"> partiel. Priorité P1. Exigence R21.</w:t>
      </w:r>
    </w:p>
    <w:p>
      <w:pPr/>
      <w:r>
        <w:rPr>
          <w:b/>
        </w:rPr>
        <w:t>Besoin :</w:t>
      </w:r>
      <w:r>
        <w:t xml:space="preserve"> contrôler « payer à l’ordre de », vérifier la correspondance avec l’adhérent et la cohérence avec le contrat IMX.</w:t>
      </w:r>
    </w:p>
    <w:p>
      <w:pPr/>
      <w:r>
        <w:rPr>
          <w:b/>
        </w:rPr>
        <w:t>POC :</w:t>
      </w:r>
      <w:r>
        <w:t xml:space="preserve"> le rôle ORDRE est extrait et comparé à la raison sociale de l’adhérent résolu. Aucun contrat n’est consulté. Le résultat est informatif et ne participe pas au statut clean. Le libellé d’endossement « à l’ordre de SPG » est figé dans l’interface et n’est pas dérivé d’un contrat.</w:t>
      </w:r>
    </w:p>
    <w:p>
      <w:pPr/>
      <w:r>
        <w:rPr>
          <w:b/>
        </w:rPr>
        <w:t>Scénario :</w:t>
      </w:r>
      <w:r>
        <w:t xml:space="preserve"> le RIB et le tiré sont corrects mais le bénéficiaire est une autre société. Le score ORDRE peut être nul sans blocage propre à ce contrôle. Attendu : verdict de cohérence contractuelle et traitement métier explicite de l’écart.</w:t>
      </w:r>
    </w:p>
    <w:p>
      <w:pPr/>
      <w:r>
        <w:rPr>
          <w:b/>
        </w:rPr>
        <w:t>À préciser :</w:t>
      </w:r>
      <w:r>
        <w:t xml:space="preserve"> quels bénéficiaires sont autorisés et quel écart impose blocage ou validation justifiée. Le rapport n’invente pas de règle légale sur le bénéficiaire. Preuves : E03, E08, E12 ; Q03.</w:t>
      </w:r>
    </w:p>
    <w:p>
      <w:pPr>
        <w:pStyle w:val="Heading2"/>
      </w:pPr>
      <w:r>
        <w:t>G11 — Montant en lettres : comparaison textuelle au lieu d’une conversion complète</w:t>
      </w:r>
    </w:p>
    <w:p>
      <w:pPr/>
      <w:r>
        <w:rPr>
          <w:b/>
        </w:rPr>
        <w:t>Récapitulatif :</w:t>
      </w:r>
      <w:r>
        <w:t xml:space="preserve"> partiel. Priorité P1. Exigence R22.</w:t>
      </w:r>
    </w:p>
    <w:p>
      <w:pPr/>
      <w:r>
        <w:rPr>
          <w:b/>
        </w:rPr>
        <w:t>Besoin :</w:t>
      </w:r>
      <w:r>
        <w:t xml:space="preserve"> convertir le montant écrit en lettres vers une valeur numérique et vérifier son égalité stricte avec les chiffres, tout en conservant le texte lu.</w:t>
      </w:r>
    </w:p>
    <w:p>
      <w:pPr/>
      <w:r>
        <w:rPr>
          <w:b/>
        </w:rPr>
        <w:t>POC :</w:t>
      </w:r>
      <w:r>
        <w:t xml:space="preserve"> le programme génère une formule française à partir du montant numérique puis compare les textes après une normalisation limitée. Il ne parse pas réellement les lettres. Le contrôle ne s’exécute que si les deux occurrences chiffres et les deux occurrences lettres sont cohérentes et exploitables.</w:t>
      </w:r>
    </w:p>
    <w:p>
      <w:pPr/>
      <w:r>
        <w:rPr>
          <w:b/>
        </w:rPr>
        <w:t>Scénario reproduit au niveau de la fonction :</w:t>
      </w:r>
      <w:r>
        <w:t xml:space="preserve"> 754,508 et « Sept cent cinquante-quatre dinars et cinq cent huit millimes » produisent un écart, alors que les valeurs numériques correspondent ; la forme générée attend « 508 millimes ». Une unique zone de lettres lisible avec une seconde absente peut aussi empêcher la comparaison.</w:t>
      </w:r>
    </w:p>
    <w:p>
      <w:pPr/>
      <w:r>
        <w:rPr>
          <w:b/>
        </w:rPr>
        <w:t>Recette :</w:t>
      </w:r>
      <w:r>
        <w:t xml:space="preserve"> variantes françaises, millimes en chiffres et en lettres, zéros, vrais désaccords et zone unique. Le support de l’arabe doit être convenu avec la MOA, car le formulaire est bilingue mais les langues acceptées ne sont pas définies précisément. Preuves : E03, E13.</w:t>
      </w:r>
    </w:p>
    <w:p>
      <w:pPr>
        <w:pStyle w:val="Heading2"/>
      </w:pPr>
      <w:r>
        <w:t>G12 — Absence d’information et divergence sont confondues dans certains verdicts</w:t>
      </w:r>
    </w:p>
    <w:p>
      <w:pPr/>
      <w:r>
        <w:rPr>
          <w:b/>
        </w:rPr>
        <w:t>Récapitulatif :</w:t>
      </w:r>
      <w:r>
        <w:t xml:space="preserve"> partiel. Priorité P0. Exigence R16 ; vigilance sur R18 et R23.</w:t>
      </w:r>
    </w:p>
    <w:p>
      <w:pPr/>
      <w:r>
        <w:rPr>
          <w:b/>
        </w:rPr>
        <w:t>Besoin :</w:t>
      </w:r>
      <w:r>
        <w:t xml:space="preserve"> conserver les occurrences réellement présentes et distinguer concordant, divergent, manquant et illisible. La présence obligatoire du lieu ne doit pas être satisfaite par deux valeurs absentes.</w:t>
      </w:r>
    </w:p>
    <w:p>
      <w:pPr/>
      <w:r>
        <w:rPr>
          <w:b/>
        </w:rPr>
        <w:t>POC :</w:t>
      </w:r>
      <w:r>
        <w:t xml:space="preserve"> compute_inconsistencies détecte des valeurs différentes, mais [null, null] ne crée aucun écart. L’écran compare également occ1 === occ2. Les contrôles de présence restent séparés du blocage final. À l’inverse, « 754,508 » et « 754.508 » sont signalés différents malgré une même valeur numérique. Ces deux comportements ont été reproduits sur la fonction.</w:t>
      </w:r>
    </w:p>
    <w:p>
      <w:pPr/>
      <w:r>
        <w:t>Le modèle vision reconstruit un RIB puis peut remplir des composants de seconde occurrence à partir du RIB reconstruit. Ces composants sont dérivés, pas de nouvelles preuves OCR indépendantes ; le modèle de persistance ne les distingue pas par une provenance dédiée.</w:t>
      </w:r>
    </w:p>
    <w:p>
      <w:pPr/>
      <w:r>
        <w:rPr>
          <w:b/>
        </w:rPr>
        <w:t>Recette :</w:t>
      </w:r>
      <w:r>
        <w:t xml:space="preserve"> deux lieux absents, date lisible une seule fois, montants équivalents avec formats différents et segments bancaires dérivés. Attendu : verdict à trois ou quatre états, comparaison typée et provenance claire. Preuves : E03, E12, E14.</w:t>
      </w:r>
    </w:p>
    <w:p>
      <w:pPr>
        <w:pStyle w:val="Heading2"/>
      </w:pPr>
      <w:r>
        <w:t>G13 — Vérification indépendante du code-barres incomplète</w:t>
      </w:r>
    </w:p>
    <w:p>
      <w:pPr/>
      <w:r>
        <w:rPr>
          <w:b/>
        </w:rPr>
        <w:t>Récapitulatif :</w:t>
      </w:r>
      <w:r>
        <w:t xml:space="preserve"> partiel. Priorité P1. Exigence R17.</w:t>
      </w:r>
    </w:p>
    <w:p>
      <w:pPr/>
      <w:r>
        <w:rPr>
          <w:b/>
        </w:rPr>
        <w:t>Besoin :</w:t>
      </w:r>
      <w:r>
        <w:t xml:space="preserve"> vérifier le numéro L-CN par deux sources, texte haut droit et code-barres inférieur, et expliquer les cas où cette double preuve n’est pas disponible.</w:t>
      </w:r>
    </w:p>
    <w:p>
      <w:pPr/>
      <w:r>
        <w:rPr>
          <w:b/>
        </w:rPr>
        <w:t>POC :</w:t>
      </w:r>
      <w:r>
        <w:t xml:space="preserve"> le décodage réel zxing-cpp existe. La comparaison indépendante n’est cependant réalisée que lorsque les deux valeurs du numéro retournées par le VLM sont déjà cohérentes et que le décodeur lit un code. Si le code-barres est absent ou illisible, il est traité comme un signal facultatif ; son absence n’est pas un écart dédié. La valeur décodée n’a pas de champ de résultat distinct exposé à l’utilisateur.</w:t>
      </w:r>
    </w:p>
    <w:p>
      <w:pPr/>
      <w:r>
        <w:rPr>
          <w:b/>
        </w:rPr>
        <w:t>Scénario :</w:t>
      </w:r>
      <w:r>
        <w:t xml:space="preserve"> le texte est correct mais le VLM ne lit pas sa seconde occurrence ; un décodeur peut avoir une lecture valide qui n’est pas utilisée pour résoudre ce cas. Attendu : deux sources séparées avec état de lecture, résultat de comparaison et politique des cas incomplets.</w:t>
      </w:r>
    </w:p>
    <w:p>
      <w:pPr/>
      <w:r>
        <w:rPr>
          <w:b/>
        </w:rPr>
        <w:t>Recette :</w:t>
      </w:r>
      <w:r>
        <w:t xml:space="preserve"> concordance, désaccord, code rogné, absence de code et plusieurs codes présents. La règle de blocage en cas de code illisible reste à faire valider. Preuves : E03, E15.</w:t>
      </w:r>
    </w:p>
    <w:p>
      <w:pPr>
        <w:pStyle w:val="Heading2"/>
      </w:pPr>
      <w:r>
        <w:t>G14 — Contrôles de dates présents mais rattachement facture insuffisant</w:t>
      </w:r>
    </w:p>
    <w:p>
      <w:pPr/>
      <w:r>
        <w:rPr>
          <w:b/>
        </w:rPr>
        <w:t>Récapitulatif :</w:t>
      </w:r>
      <w:r>
        <w:t xml:space="preserve"> partiel. Priorité P0 pour les conséquences sur le verdict. Exigences R23–R24.</w:t>
      </w:r>
    </w:p>
    <w:p>
      <w:pPr/>
      <w:r>
        <w:rPr>
          <w:b/>
        </w:rPr>
        <w:t>Besoin :</w:t>
      </w:r>
      <w:r>
        <w:t xml:space="preserve"> vérifier création ≤ aujourd’hui ≤ échéance et détecter une création antérieure à la facture. La synthèse relie également l’échéance attendue aux conditions de règlement de la facture.</w:t>
      </w:r>
    </w:p>
    <w:p>
      <w:pPr/>
      <w:r>
        <w:rPr>
          <w:b/>
        </w:rPr>
        <w:t>POC :</w:t>
      </w:r>
      <w:r>
        <w:t xml:space="preserve"> les quatre comparaisons de dates sont calculées et affichées. La facture est choisie par proximité de montant parmi les factures du couple adhérent/débiteur, sans lien métier persistant ni filtre de statut. Le modèle ne contient pas de conditions de règlement à comparer. Une donnée inconnue retourne null ; le bilan agrégé ignore ces null et peut donc afficher la rubrique dates conforme.</w:t>
      </w:r>
    </w:p>
    <w:p>
      <w:pPr/>
      <w:r>
        <w:rPr>
          <w:b/>
        </w:rPr>
        <w:t>Scénario :</w:t>
      </w:r>
      <w:r>
        <w:t xml:space="preserve"> deux factures ont le même montant mais des dates différentes. Le POC choisit une candidate sans confirmation de rattachement ; le risque d’avance peut être évalué sur la mauvaise facture. L’exemple de la spécification à échéance du 30/01/2019 doit aujourd’hui être détecté comme échu ; ce n’est pas un scénario positif actuel.</w:t>
      </w:r>
    </w:p>
    <w:p>
      <w:pPr/>
      <w:r>
        <w:rPr>
          <w:b/>
        </w:rPr>
        <w:t>Recette :</w:t>
      </w:r>
      <w:r>
        <w:t xml:space="preserve"> rattacher explicitement plusieurs factures, traiter l’ambiguïté, tester dates inconnues et échéance dépassée. Le blocage final est détaillé en G20. Preuves : E16, E17, E08.</w:t>
      </w:r>
    </w:p>
    <w:p>
      <w:pPr>
        <w:pStyle w:val="Heading2"/>
      </w:pPr>
      <w:r>
        <w:t>G15 — Couverture calculée sur un périmètre différent de celui de la remise</w:t>
      </w:r>
    </w:p>
    <w:p>
      <w:pPr/>
      <w:r>
        <w:rPr>
          <w:b/>
        </w:rPr>
        <w:t>Récapitulatif :</w:t>
      </w:r>
      <w:r>
        <w:t xml:space="preserve"> partiel. Priorité P0. Exigences R32–R33.</w:t>
      </w:r>
    </w:p>
    <w:p>
      <w:pPr/>
      <w:r>
        <w:rPr>
          <w:b/>
        </w:rPr>
        <w:t>Besoin :</w:t>
      </w:r>
      <w:r>
        <w:t xml:space="preserve"> comparer, par débiteur de la remise, la somme des IP avec les factures concernées nettes des avoirs, en appliquant Seuil_Ecart_Couverture.</w:t>
      </w:r>
    </w:p>
    <w:p>
      <w:pPr/>
      <w:r>
        <w:rPr>
          <w:b/>
        </w:rPr>
        <w:t>POC :</w:t>
      </w:r>
      <w:r>
        <w:t xml:space="preserve"> le calcul agrège toutes les traites connues d’un débiteur, sans remise, filtre d’adhérent explicite ou exclusion par statut. Il ne somme que les factures choisies par proximité de montant pour au moins une traite. Une facture non rapprochée peut ainsi disparaître de la couverture. Les factures sont dédupliquées par numéro, ce qui est utile mais ne remplace pas une affectation explicite. Le seuil par défaut vaut 10,000 DT et utilise abs(écart) ≤ seuil ; la spécification ne donne ni sa valeur ni toutes ses modalités.</w:t>
      </w:r>
    </w:p>
    <w:p>
      <w:pPr/>
      <w:r>
        <w:rPr>
          <w:b/>
        </w:rPr>
        <w:t>Scénario :</w:t>
      </w:r>
      <w:r>
        <w:t xml:space="preserve"> D1 a F1=1 000 DT et F2=500 DT dans sa remise ; seule une traite de 1 000 DT existe. Si seul F1 est retenu, le calcul peut donner un écart nul alors que 500 DT restent à couvrir. Autre cas : une traite ancienne renvoyée contribue au total d’une nouvelle remise.</w:t>
      </w:r>
    </w:p>
    <w:p>
      <w:pPr/>
      <w:r>
        <w:rPr>
          <w:b/>
        </w:rPr>
        <w:t>Recette :</w:t>
      </w:r>
      <w:r>
        <w:t xml:space="preserve"> factures non couvertes, deux remises simultanées, paiements partiels, plusieurs adhérents, IP rejetés, surcouverture et frontière du seuil. Attendu : population métier exhaustive et explicable. Preuves : E17, E16, E11.</w:t>
      </w:r>
    </w:p>
    <w:p>
      <w:pPr>
        <w:pStyle w:val="Heading2"/>
      </w:pPr>
      <w:r>
        <w:t>G16 — Saisie des avoirs développée côté API mais masquée côté utilisateur</w:t>
      </w:r>
    </w:p>
    <w:p>
      <w:pPr/>
      <w:r>
        <w:rPr>
          <w:b/>
        </w:rPr>
        <w:t>Récapitulatif :</w:t>
      </w:r>
      <w:r>
        <w:t xml:space="preserve"> partiel. Priorité P1. Exigence R31.</w:t>
      </w:r>
    </w:p>
    <w:p>
      <w:pPr/>
      <w:r>
        <w:rPr>
          <w:b/>
        </w:rPr>
        <w:t>Besoin :</w:t>
      </w:r>
      <w:r>
        <w:t xml:space="preserve"> saisir les avoirs par débiteur lorsque nécessaire et les déduire une seule fois du bon ensemble de factures.</w:t>
      </w:r>
    </w:p>
    <w:p>
      <w:pPr/>
      <w:r>
        <w:rPr>
          <w:b/>
        </w:rPr>
        <w:t>POC :</w:t>
      </w:r>
      <w:r>
        <w:t xml:space="preserve"> PATCH /traites/{id}/montant-avoirs, stockage et audit existent. Le composant AvoirsCard existe également, mais son appel JSX est commenté dans AnalysisPage. CoverageSummary étant rendu à l’intérieur, la couverture est elle aussi absente de l’écran actuel. La donnée est stockée par traite puis sommée par débiteur, en plus des avoirs déjà déduits dans montant_net des factures IMX.</w:t>
      </w:r>
    </w:p>
    <w:p>
      <w:pPr/>
      <w:r>
        <w:rPr>
          <w:b/>
        </w:rPr>
        <w:t>Scénario :</w:t>
      </w:r>
      <w:r>
        <w:t xml:space="preserve"> un avoir de 100 DT déjà intégré à IMX est ressaisi via l’API ; le calcul le déduit de nouveau. S’il est saisi sur deux traites d’un même débiteur, il peut être compté deux fois supplémentaires. L’interface normale ne permet actuellement aucune de ces saisies.</w:t>
      </w:r>
    </w:p>
    <w:p>
      <w:pPr/>
      <w:r>
        <w:rPr>
          <w:b/>
        </w:rPr>
        <w:t>Recette :</w:t>
      </w:r>
      <w:r>
        <w:t xml:space="preserve"> rendre la fonction accessible, définir avoir complémentaire versus avoir IMX, identifier l’avoir et le rattacher à la remise/débiteur/facture sans doublon. Vérifier un affichage TTC/avoirs/net lisible. Preuves : E06, E12, E17.</w:t>
      </w:r>
    </w:p>
    <w:p>
      <w:pPr>
        <w:pStyle w:val="Heading2"/>
      </w:pPr>
      <w:r>
        <w:t>G17 — Synthèse OK/KO absente de l’écran principal</w:t>
      </w:r>
    </w:p>
    <w:p>
      <w:pPr/>
      <w:r>
        <w:rPr>
          <w:b/>
        </w:rPr>
        <w:t>Récapitulatif :</w:t>
      </w:r>
      <w:r>
        <w:t xml:space="preserve"> partiel, disponible seulement comme calcul/API. Priorité P1. Exigence R14.</w:t>
      </w:r>
    </w:p>
    <w:p>
      <w:pPr/>
      <w:r>
        <w:rPr>
          <w:b/>
        </w:rPr>
        <w:t>Besoin :</w:t>
      </w:r>
      <w:r>
        <w:t xml:space="preserve"> visualiser les résultats OK/KO par rubrique sur l’écran principal de la remise et identifier les éléments responsables d’un KO.</w:t>
      </w:r>
    </w:p>
    <w:p>
      <w:pPr/>
      <w:r>
        <w:rPr>
          <w:b/>
        </w:rPr>
        <w:t>POC :</w:t>
      </w:r>
      <w:r>
        <w:t xml:space="preserve"> calculate_debtor_control_rollup produit cinq booléens exposés dans la réponse de détail, mais aucun rendu de control_rollup n’a été trouvé dans le frontend. La liste affiche des statuts de traites, pas un bilan des rubriques d’une remise. Le calcul porte sur toutes les traites du débiteur ; il ignore les dates inconnues et ne reprend pas le contrôle indépendant du code-barres dans la rubrique de cohérence.</w:t>
      </w:r>
    </w:p>
    <w:p>
      <w:pPr/>
      <w:r>
        <w:rPr>
          <w:b/>
        </w:rPr>
        <w:t>Scénario :</w:t>
      </w:r>
      <w:r>
        <w:t xml:space="preserve"> un débiteur a une traite avec code-barres divergent et une facture sans pièce. L’écran principal ne fournit pas le tableau d’ensemble attendu. Un bilan API de cohérence peut ignorer la divergence de code-barres, même si la traite est bloquée ailleurs.</w:t>
      </w:r>
    </w:p>
    <w:p>
      <w:pPr/>
      <w:r>
        <w:rPr>
          <w:b/>
        </w:rPr>
        <w:t>Recette :</w:t>
      </w:r>
      <w:r>
        <w:t xml:space="preserve"> un tableau par remise/débiteur, des états OK/KO/à contrôler, une navigation vers les causes et une logique commune avec les contrôles unitaires. Preuves : E17, E06, E07, E12.</w:t>
      </w:r>
    </w:p>
    <w:p>
      <w:pPr>
        <w:pStyle w:val="Heading2"/>
      </w:pPr>
      <w:r>
        <w:t>G18 — Référentiel de cachets et comparaison avec l’historique absents</w:t>
      </w:r>
    </w:p>
    <w:p>
      <w:pPr/>
      <w:r>
        <w:rPr>
          <w:b/>
        </w:rPr>
        <w:t>Récapitulatif :</w:t>
      </w:r>
      <w:r>
        <w:t xml:space="preserve"> absent ; détail des règles à préciser. Priorité P1. Exigences R29–R30.</w:t>
      </w:r>
    </w:p>
    <w:p>
      <w:pPr/>
      <w:r>
        <w:rPr>
          <w:b/>
        </w:rPr>
        <w:t>Besoin :</w:t>
      </w:r>
      <w:r>
        <w:t xml:space="preserve"> comparer le cachet du débiteur à une image de référence disponible et enregistrer cette référence à la première transaction. Le texte cite aussi des usages UC-10 conditionnels pour le tireur et l’adhérent au verso.</w:t>
      </w:r>
    </w:p>
    <w:p>
      <w:pPr/>
      <w:r>
        <w:rPr>
          <w:b/>
        </w:rPr>
        <w:t>POC :</w:t>
      </w:r>
      <w:r>
        <w:t xml:space="preserve"> quatre contrôles manuels permettent de statuer sur les zones, et six booléens IA détectent la présence de marques au recto. Aucun modèle de référence par tiers, stockage dédié, consultation comparative ou workflow de première référence n’existe. La détection de présence ne prouve pas l’identité ou l’authenticité du cachet.</w:t>
      </w:r>
    </w:p>
    <w:p>
      <w:pPr/>
      <w:r>
        <w:rPr>
          <w:b/>
        </w:rPr>
        <w:t>Scénario :</w:t>
      </w:r>
      <w:r>
        <w:t xml:space="preserve"> une première traite du débiteur D1 est validée. Lors de sa seconde opération, le caissier ne peut pas retrouver automatiquement le cachet de référence ni comparer les deux images. Attendu : référence approuvée, liée au bon tiers, accessible pendant la vérification.</w:t>
      </w:r>
    </w:p>
    <w:p>
      <w:pPr/>
      <w:r>
        <w:rPr>
          <w:b/>
        </w:rPr>
        <w:t>Recette :</w:t>
      </w:r>
      <w:r>
        <w:t xml:space="preserve"> première référence, référence existante, changement de cachet et refus. Préciser manuellement ou automatiquement la comparaison, ainsi que le périmètre des signatures ; UC-10 n’est pas détaillé dans le document. Preuves : E04, E05, E14 ; Q04.</w:t>
      </w:r>
    </w:p>
    <w:p>
      <w:pPr>
        <w:pStyle w:val="Heading2"/>
      </w:pPr>
      <w:r>
        <w:t>G19 — Adresse structurée, débordements de zones et précision OCR à établir</w:t>
      </w:r>
    </w:p>
    <w:p>
      <w:pPr/>
      <w:r>
        <w:rPr>
          <w:b/>
        </w:rPr>
        <w:t>Récapitulatif :</w:t>
      </w:r>
      <w:r>
        <w:t xml:space="preserve"> partiel pour les données ; non démontré pour la robustesse. Priorité P1. Exigences R25–R26, R39.</w:t>
      </w:r>
    </w:p>
    <w:p>
      <w:pPr/>
      <w:r>
        <w:rPr>
          <w:b/>
        </w:rPr>
        <w:t>Besoin :</w:t>
      </w:r>
      <w:r>
        <w:t xml:space="preserve"> lire tous les champs annoncés, dont le nom/adresse du tiré et la domiciliation, y compris un nom d’agence débordant du cadre ; vérifier les mentions d’entreprise dans les documents concernés.</w:t>
      </w:r>
    </w:p>
    <w:p>
      <w:pPr/>
      <w:r>
        <w:rPr>
          <w:b/>
        </w:rPr>
        <w:t>POC :</w:t>
      </w:r>
      <w:r>
        <w:t xml:space="preserve"> domiciliation_texte et tire_texte sont des blocs libres ; il n’existe pas d’adresse OCR autonome à rapprocher. Un mélange nom/adresse peut entrer dans le score NLP du nom. Les images entières sont envoyées au modèle, ce qui peut permettre la lecture hors cadre, mais aucune garantie ni recette ciblée n’a été trouvée. Des tests simulent les réponses du fournisseur ; un script de pilote et des essais historiques existent, sans constituer une mesure représentative de la version actuelle.</w:t>
      </w:r>
    </w:p>
    <w:p>
      <w:pPr/>
      <w:r>
        <w:rPr>
          <w:b/>
        </w:rPr>
        <w:t>Scénario :</w:t>
      </w:r>
      <w:r>
        <w:t xml:space="preserve"> l’agence déborde dans une zone voisine ; le nom du tiré est remplacé par son adresse. Le modèle peut conserver le bloc, mais le contrôle ne distingue pas nécessairement les deux informations. Attendu : champs séparés, lectures incertaines signalées et jeux de vérité terrain.</w:t>
      </w:r>
    </w:p>
    <w:p>
      <w:pPr/>
      <w:r>
        <w:rPr>
          <w:b/>
        </w:rPr>
        <w:t>Recette :</w:t>
      </w:r>
      <w:r>
        <w:t xml:space="preserve"> scans IORT réels annotés, manuscrit, faible contraste, rotations, variantes de formulaires et textes FR/AR convenus. Publier précision par champ et taux de faux « conformes », pas seulement un taux de JSON valide. Preuves : E02, E14, E19.</w:t>
      </w:r>
    </w:p>
    <w:p>
      <w:pPr>
        <w:pStyle w:val="Heading2"/>
      </w:pPr>
      <w:r>
        <w:t>G20 — Le verdict final ne couvre pas tous les contrôles affichés</w:t>
      </w:r>
    </w:p>
    <w:p>
      <w:pPr/>
      <w:r>
        <w:rPr>
          <w:b/>
        </w:rPr>
        <w:t>Récapitulatif :</w:t>
      </w:r>
      <w:r>
        <w:t xml:space="preserve"> écart transversal de comportement. Priorité P0. Exigences R16, R19, R21–R24, R32.</w:t>
      </w:r>
    </w:p>
    <w:p>
      <w:pPr/>
      <w:r>
        <w:rPr>
          <w:b/>
        </w:rPr>
        <w:t>Besoin :</w:t>
      </w:r>
      <w:r>
        <w:t xml:space="preserve"> définir un verdict métier cohérent avec les contrôles obligatoires et une politique explicite pour KO et données inconnues. Le document demande ces contrôles, mais ne définit pas une table complète des décisions ; cette table reste à valider avec la MOA.</w:t>
      </w:r>
    </w:p>
    <w:p>
      <w:pPr/>
      <w:r>
        <w:rPr>
          <w:b/>
        </w:rPr>
        <w:t>POC :</w:t>
      </w:r>
      <w:r>
        <w:t xml:space="preserve"> evaluate_verifications bloque les contrôles manuels incomplets/anormaux et le statut Écarts à traiter. Il ne recalcule pas les dates, mentions, couverture ou cohérence contractuelle. Le critère clean d’analyse ne les comprend pas tous non plus. Le texte peut pourtant annoncer que tous les contrôles automatiques et manuels sont levés.</w:t>
      </w:r>
    </w:p>
    <w:p>
      <w:pPr/>
      <w:r>
        <w:rPr>
          <w:b/>
        </w:rPr>
        <w:t>Observation exécutée :</w:t>
      </w:r>
      <w:r>
        <w:t xml:space="preserve"> les règles détectent une échéance dépassée, tandis que le garde de validation retourne non bloqué pour quatre zones conformes au statut Contrôle manuel requis. Autre observation : avec quatre zones conformes, ce garde ne bloque pas le statut À traiter ; la route de décision n’impose pas elle-même une analyse réussie préalable. Ce second cas concerne surtout un appel direct API et n’a pas été reproduit en HTTP.</w:t>
      </w:r>
    </w:p>
    <w:p>
      <w:pPr/>
      <w:r>
        <w:rPr>
          <w:b/>
        </w:rPr>
        <w:t>Recette :</w:t>
      </w:r>
      <w:r>
        <w:t xml:space="preserve"> combiner un seul KO automatique avec quatre contrôles humains conformes ; rejouer avec une donnée obligatoire inconnue et avec une analyse jamais lancée. Attendu : refus ou exception métier tracée selon la politique approuvée, jamais un message global trompeur. Preuves : E03, E06, E10, E16.</w:t>
      </w:r>
    </w:p>
    <w:p>
      <w:pPr>
        <w:pStyle w:val="Heading2"/>
      </w:pPr>
      <w:r>
        <w:t>G21 — Cycle de vie et historique seulement partiellement accessibles</w:t>
      </w:r>
    </w:p>
    <w:p>
      <w:pPr/>
      <w:r>
        <w:rPr>
          <w:b/>
        </w:rPr>
        <w:t>Récapitulatif :</w:t>
      </w:r>
      <w:r>
        <w:t xml:space="preserve"> partiel. Priorité P1. Exigences R34–R35.</w:t>
      </w:r>
    </w:p>
    <w:p>
      <w:pPr/>
      <w:r>
        <w:rPr>
          <w:b/>
        </w:rPr>
        <w:t>Besoin :</w:t>
      </w:r>
      <w:r>
        <w:t xml:space="preserve"> suivre les statuts, les interventions et l’historique du dossier jusqu’à une issue compréhensible par l’utilisateur.</w:t>
      </w:r>
    </w:p>
    <w:p>
      <w:pPr/>
      <w:r>
        <w:rPr>
          <w:b/>
        </w:rPr>
        <w:t>POC :</w:t>
      </w:r>
      <w:r>
        <w:t xml:space="preserve"> statuts, décisions et audit sont persistés. Le backend propose validation, renvoi et fraude, mais l’écran actuel ne rend que le bouton Valider. Les textes de recommandation peuvent demander un renvoi ou un signalement sans offrir l’action correspondante. Aucun écran ou endpoint dédié de consultation du journal d’audit n’a été trouvé. La présence d’une décision est affichée, sans restituer une chronologie complète.</w:t>
      </w:r>
    </w:p>
    <w:p>
      <w:pPr/>
      <w:r>
        <w:rPr>
          <w:b/>
        </w:rPr>
        <w:t>Scénario :</w:t>
      </w:r>
      <w:r>
        <w:t xml:space="preserve"> une signature est en anomalie. Le système recommande un signalement ; le caissier ne trouve pas le bouton dans le POC. Il ne peut pas non plus consulter une chronologie complète des corrections et analyses, d’autant que ces corrections ne sont pas implémentées.</w:t>
      </w:r>
    </w:p>
    <w:p>
      <w:pPr/>
      <w:r>
        <w:rPr>
          <w:b/>
        </w:rPr>
        <w:t>Recette :</w:t>
      </w:r>
      <w:r>
        <w:t xml:space="preserve"> exposer les issues retenues par la MOA, leur commentaire, auteur et date, puis l’historique par traite/remise. Les notifications externes ne sont pas comptées comme exigence explicite de cette spécification. Preuves : E06, E10, E12, E20.</w:t>
      </w:r>
    </w:p>
    <w:p>
      <w:pPr>
        <w:pStyle w:val="Heading2"/>
      </w:pPr>
      <w:r>
        <w:t>G22 — Acteurs présents dans le besoin, sans distinction applicative des responsabilités</w:t>
      </w:r>
    </w:p>
    <w:p>
      <w:pPr/>
      <w:r>
        <w:rPr>
          <w:b/>
        </w:rPr>
        <w:t>Récapitulatif :</w:t>
      </w:r>
      <w:r>
        <w:t xml:space="preserve"> partiel. Priorité P2. Exigence R36.</w:t>
      </w:r>
    </w:p>
    <w:p>
      <w:pPr/>
      <w:r>
        <w:rPr>
          <w:b/>
        </w:rPr>
        <w:t>Besoin :</w:t>
      </w:r>
      <w:r>
        <w:t xml:space="preserve"> organiser les étapes du gestionnaire et du caissier identifiés dans les tableaux et swimlanes. La spécification ne fournit pas une matrice détaillée des droits ni une obligation explicite de double validation.</w:t>
      </w:r>
    </w:p>
    <w:p>
      <w:pPr/>
      <w:r>
        <w:rPr>
          <w:b/>
        </w:rPr>
        <w:t>POC :</w:t>
      </w:r>
      <w:r>
        <w:t xml:space="preserve"> authentification réelle, utilisateurs actifs et mots de passe hachés, mais aucune propriété de rôle ni affectation de dossier. Les routes traites demandent un utilisateur authentifié sans distinction gestionnaire/caissier.</w:t>
      </w:r>
    </w:p>
    <w:p>
      <w:pPr/>
      <w:r>
        <w:rPr>
          <w:b/>
        </w:rPr>
        <w:t>Scénario :</w:t>
      </w:r>
      <w:r>
        <w:t xml:space="preserve"> deux collaborateurs accèdent au même dossier ; le POC ne matérialise pas la transmission entre préparation, identification et contrôle par le caissier. Attendu : responsabilités et droits correspondant au processus approuvé.</w:t>
      </w:r>
    </w:p>
    <w:p>
      <w:pPr/>
      <w:r>
        <w:rPr>
          <w:b/>
        </w:rPr>
        <w:t>Recette :</w:t>
      </w:r>
      <w:r>
        <w:t xml:space="preserve"> faire confirmer si un profil unique suffit au POC ou si des rôles/affectations sont requis. Ensuite tester accès et transitions par profil. Ne pas présenter une séparation stricte des tâches comme déjà exigée textuellement. Preuves : E01, E05.</w:t>
      </w:r>
    </w:p>
    <w:p>
      <w:pPr>
        <w:pStyle w:val="Heading2"/>
      </w:pPr>
      <w:r>
        <w:t>G23 — Objectifs de 24 h, volume et reprise après incident non démontrés</w:t>
      </w:r>
    </w:p>
    <w:p>
      <w:pPr/>
      <w:r>
        <w:rPr>
          <w:b/>
        </w:rPr>
        <w:t>Récapitulatif :</w:t>
      </w:r>
      <w:r>
        <w:t xml:space="preserve"> non démontré ; absence de traitement durable en lot. Priorité P1. Exigences R37–R39.</w:t>
      </w:r>
    </w:p>
    <w:p>
      <w:pPr/>
      <w:r>
        <w:rPr>
          <w:b/>
        </w:rPr>
        <w:t>Besoin :</w:t>
      </w:r>
      <w:r>
        <w:t xml:space="preserve"> soutenir 10 000 à 20 000 remises/an, le contexte de 27 000 IP traités en 2025 et l’objectif de traitement en 24 heures, avec disponibilité et performances adaptées.</w:t>
      </w:r>
    </w:p>
    <w:p>
      <w:pPr/>
      <w:r>
        <w:rPr>
          <w:b/>
        </w:rPr>
        <w:t>POC :</w:t>
      </w:r>
      <w:r>
        <w:t xml:space="preserve"> un indicateur SLA de 24 h et un tri par réception existent, mais aucune preuve de respect du délai global. La réception enregistrée correspond à la création de la traite dans l’application, pas nécessairement à la réception physique. L’analyse utilise une tâche en mémoire du processus backend ; une interruption peut perdre le travail. La route refuse ensuite une relance hors À traiter. Les calculs de détail parcourent les traites et factures du débiteur, sans mesure de coût à grande échelle.</w:t>
      </w:r>
    </w:p>
    <w:p>
      <w:pPr/>
      <w:r>
        <w:rPr>
          <w:b/>
        </w:rPr>
        <w:t>Scénario :</w:t>
      </w:r>
      <w:r>
        <w:t xml:space="preserve"> redémarrer le backend pendant une analyse peut laisser une traite En cours OCR sans reprise automatique. Une arrivée simultanée de nombreuses remises n’est pas un parcours batch pris en charge.</w:t>
      </w:r>
    </w:p>
    <w:p>
      <w:pPr/>
      <w:r>
        <w:rPr>
          <w:b/>
        </w:rPr>
        <w:t>Recette :</w:t>
      </w:r>
      <w:r>
        <w:t xml:space="preserve"> définir point de départ du SLA, pointes journalières, concurrence et délais attendus ; tester une charge représentative et un redémarrage ; mesurer latences, échecs et reprises. Une architecture multi-agents ou Celery n’est pas imposée par le texte : le résultat opérationnel doit être démontré. Preuves : E07, E17, E21.</w:t>
      </w:r>
    </w:p>
    <w:p>
      <w:pPr>
        <w:pStyle w:val="Heading2"/>
      </w:pPr>
      <w:r>
        <w:t>G24 — Adaptation des contrôles limitée à des paramètres techniques</w:t>
      </w:r>
    </w:p>
    <w:p>
      <w:pPr/>
      <w:r>
        <w:rPr>
          <w:b/>
        </w:rPr>
        <w:t>Récapitulatif :</w:t>
      </w:r>
      <w:r>
        <w:t xml:space="preserve"> partiel. Priorité P2. Exigence R40.</w:t>
      </w:r>
    </w:p>
    <w:p>
      <w:pPr/>
      <w:r>
        <w:rPr>
          <w:b/>
        </w:rPr>
        <w:t>Besoin :</w:t>
      </w:r>
      <w:r>
        <w:t xml:space="preserve"> pouvoir adapter les contrôles au contexte métier et à son évolution, objectif SI explicitement mentionné en §1.3.</w:t>
      </w:r>
    </w:p>
    <w:p>
      <w:pPr/>
      <w:r>
        <w:rPr>
          <w:b/>
        </w:rPr>
        <w:t>POC :</w:t>
      </w:r>
      <w:r>
        <w:t xml:space="preserve"> certaines valeurs sont configurables par environnement, mais les règles et leurs priorités sont codées. Le seuil NLP affiché est fixé à 95 dans le frontend et n’est pas la règle de décision effective après RIB. Il n’existe pas de version de jeu de règles associée à une décision.</w:t>
      </w:r>
    </w:p>
    <w:p>
      <w:pPr/>
      <w:r>
        <w:rPr>
          <w:b/>
        </w:rPr>
        <w:t>Scénario :</w:t>
      </w:r>
      <w:r>
        <w:t xml:space="preserve"> la MOA modifie le seuil de couverture. Un redéploiement peut changer les résultats calculés à la consultation, sans exposer quel seuil a servi lors d’une décision antérieure. Attendu : paramètres cohérents, traçables et testables.</w:t>
      </w:r>
    </w:p>
    <w:p>
      <w:pPr/>
      <w:r>
        <w:rPr>
          <w:b/>
        </w:rPr>
        <w:t>Recette :</w:t>
      </w:r>
      <w:r>
        <w:t xml:space="preserve"> enregistrer la configuration appliquée à une décision et vérifier le changement contrôlé d’un seuil. Un moteur de règles complet ou un écran d’administration n’est pas prescrit par le document ; une solution plus simple peut répondre au besoin. Preuves : E11, E12, E17, E20.</w:t>
      </w:r>
    </w:p>
    <w:p>
      <w:pPr>
        <w:pStyle w:val="Heading1"/>
        <w:pageBreakBefore/>
      </w:pPr>
      <w:r>
        <w:t>4. Points à clarifier avant de compléter le périmètre</w:t>
      </w:r>
    </w:p>
    <w:p>
      <w:pPr>
        <w:pStyle w:val="Heading2"/>
      </w:pPr>
      <w:r>
        <w:t>Q01 — Case Protestable</w:t>
      </w:r>
    </w:p>
    <w:p>
      <w:pPr/>
      <w:r>
        <w:t>La spécification indique explicitement qu’elle n’est pas couverte et doit être clarifiée avec la MOA. Son absence de traitement n’est donc pas comptée comme une règle définie mais oubliée. Décider les valeurs à extraire, l’effet métier, les cas illisibles et le besoin éventuel de contrôle humain.</w:t>
      </w:r>
    </w:p>
    <w:p>
      <w:pPr>
        <w:pStyle w:val="Heading2"/>
      </w:pPr>
      <w:r>
        <w:t>Q02 — Seuil de couverture et définition de l’écart</w:t>
      </w:r>
    </w:p>
    <w:p>
      <w:pPr/>
      <w:r>
        <w:t>Confirmer la valeur, l’unité, l’arrondi, la tolérance absolue ou relative, le comportement en surcouverture et la frontière du seuil. Les 10,000 DT actuels sont une hypothèse technique. Définir aussi les factures éligibles, les traites rejetées, les couvertures partielles, les avoirs déjà comptabilisés et ceux à ajouter.</w:t>
      </w:r>
    </w:p>
    <w:p>
      <w:pPr>
        <w:pStyle w:val="Heading2"/>
      </w:pPr>
      <w:r>
        <w:t>Q03 — Noms, RIB et bénéficiaire</w:t>
      </w:r>
    </w:p>
    <w:p>
      <w:pPr/>
      <w:r>
        <w:t>Faire approuver ou corriger la priorité donnée au RIB et le seuil secondaire de 50 %. Le document énonce 95 %. Définir les trois variantes IMX et le comportement si le débiteur dépend de plusieurs adhérents. Confirmer le bénéficiaire/endossataire attendu au lieu de figer « SPG » sans règle de contrat.</w:t>
      </w:r>
    </w:p>
    <w:p>
      <w:pPr>
        <w:pStyle w:val="Heading2"/>
      </w:pPr>
      <w:r>
        <w:t>Q04 — Références de signatures et cachets</w:t>
      </w:r>
    </w:p>
    <w:p>
      <w:pPr/>
      <w:r>
        <w:t>Les cases humaines sont clairement demandées. La comparaison avec une référence est conditionnelle et UC-10 n’est pas détaillé. Définir qui approuve la première référence, les remplacements, les contrôles manuels/automatiques et les tiers concernés. La présence IA ne doit pas être confondue avec une comparaison à une référence.</w:t>
      </w:r>
    </w:p>
    <w:p>
      <w:pPr>
        <w:pStyle w:val="Heading2"/>
      </w:pPr>
      <w:r>
        <w:t>Q05 — Cohérence éditoriale et références absentes</w:t>
      </w:r>
    </w:p>
    <w:p>
      <w:pPr/>
      <w:r>
        <w:t>Harmoniser Phase 3/Phase 4, les numéros UC-08/10/13, la référence « specs IV.9 » non fournie et les rubriques Prérequis/Intégration SI peu renseignées. Ces lacunes empêchent de certifier la conformité à des documents non transmis.</w:t>
      </w:r>
    </w:p>
    <w:p>
      <w:pPr>
        <w:pStyle w:val="Heading2"/>
      </w:pPr>
      <w:r>
        <w:t>Q06 — Champs, occurrences et exemples de référence</w:t>
      </w:r>
    </w:p>
    <w:p>
      <w:pPr/>
      <w:r>
        <w:t>La liste « tous les champs » doit être rapprochée d’un dictionnaire approuvé : nom/adresse, banque/agence, textes obligatoires, champs de formulaire visibles mais non décrits comme Aval, valeur en ou nom du cédant. Leur simple présence dans l’image ne suffit pas à inventer une règle métier. La dénomination « lettre de change » et le mandat de payer, cités dans des commentaires du POC, ne sont pas détaillés comme contrôles explicites de la synthèse fournie.</w:t>
      </w:r>
    </w:p>
    <w:p>
      <w:pPr/>
      <w:r>
        <w:t>Le document cite SOCOPAR, LA MÉDITERRANÉENNE, 754,508 DT, L-CN 0952389 et l’échéance 30/01/2019 comme exemple. Les seeds actuels utilisent notamment ADACTIM et un montant net de 8 117,504 DT : ils ne constituent pas une recette de l’exemple de la spécification. Constituer un jeu d’essai dédié ; ne pas remplacer les données de staging. Vérifier aussi le nombre réel de zones de montant en lettres sur les formulaires acceptés.</w:t>
      </w:r>
    </w:p>
    <w:p>
      <w:pPr>
        <w:pStyle w:val="Heading1"/>
      </w:pPr>
      <w:r>
        <w:t>5. Risques complémentaires constatés dans le POC</w:t>
      </w:r>
    </w:p>
    <w:p>
      <w:pPr/>
      <w:r>
        <w:t>Ces constats sont des recommandations de fiabilisation, distinctes des exigences explicites de la matrice.</w:t>
      </w:r>
    </w:p>
    <w:p>
      <w:pPr/>
      <w:r>
        <w:t>H01 — Un document peut être remplacé après analyse, voire après décision : upload_document n’applique pas le garde des statuts finaux et n’invalide pas les résultats existants. Un utilisateur API peut ainsi substituer le recto sans recalculer les contrôles. Lier toute analyse/décision à une version immuable du scan ; bloquer ou réouvrir explicitement le dossier lors d’un remplacement. Preuve E06.</w:t>
      </w:r>
    </w:p>
    <w:p>
      <w:pPr/>
      <w:r>
        <w:t>H02 — Lorsqu’un numéro L-CN extrait existe déjà, la promotion de l’identité conserve l’identifiant provisoire et écrit un avertissement. La collision n’est pas ajoutée aux incohérences métier. Deux scans du même IP peuvent donc rester deux traites distinctes avec un montant contributif à la couverture. Recette : importer deux fois un même IP et vérifier un résultat de doublon explicite. Preuve E03.</w:t>
      </w:r>
    </w:p>
    <w:p>
      <w:pPr/>
      <w:r>
        <w:t>H03 — Les transitions analyse/décision lisent le statut puis écrivent sans verrou explicite ni condition atomique visible. Deux requêtes concurrentes méritent une recette dédiée pour éviter analyses ou décisions en double. Le rapport ne prétend pas avoir reproduit cette course en staging. Preuve E06.</w:t>
      </w:r>
    </w:p>
    <w:p>
      <w:pPr>
        <w:pStyle w:val="Heading1"/>
        <w:pageBreakBefore/>
      </w:pPr>
      <w:r>
        <w:t>6. Plan de complétion proposé et scénarios de recette</w:t>
      </w:r>
    </w:p>
    <w:p>
      <w:pPr>
        <w:pStyle w:val="Heading2"/>
      </w:pPr>
      <w:r>
        <w:t>Lot A — Fiabiliser le contrôle unitaire</w:t>
      </w:r>
    </w:p>
    <w:p>
      <w:pPr/>
      <w:r>
        <w:t>Traiter G08–G14 et G20 : correction/reprise, règle unique des seuils, valeurs inconnues, comparaison numérique des montants, sources OCR/code-barres, rattachement facture et verdict final. Sécuriser la version des documents. Livrable : une traite ne peut être déclarée conforme sur la base d’informations manquantes ou de contrôles obligatoires KO, sauf exception métier autorisée et tracée.</w:t>
      </w:r>
    </w:p>
    <w:p>
      <w:pPr>
        <w:pStyle w:val="Heading2"/>
      </w:pPr>
      <w:r>
        <w:t>Lot B — Construire la remise et ses rattachements</w:t>
      </w:r>
    </w:p>
    <w:p>
      <w:pPr/>
      <w:r>
        <w:t>Traiter G01 et G04–G07 : contrat, remise, pièces, débiteurs, factures, identifiants SI et complétude. Cela conditionne une couverture exacte en G15 et une saisie d’avoirs sans doublon en G16. Le report de périmètre documenté dans todo-list.md devra être réexaminé avant développement ; ce rapport ne modifie pas cette décision.</w:t>
      </w:r>
    </w:p>
    <w:p>
      <w:pPr>
        <w:pStyle w:val="Heading2"/>
      </w:pPr>
      <w:r>
        <w:t>Lot C — Compléter le parcours documentaire et caissier</w:t>
      </w:r>
    </w:p>
    <w:p>
      <w:pPr/>
      <w:r>
        <w:t>Traiter G02–G03 et G16–G18, G21–G22 : PDF et classification, saisie accessible, synthèse OK/KO, références de cachets, issues de dossier et historique. Préserver la distinction entre détection automatique et vérification humaine.</w:t>
      </w:r>
    </w:p>
    <w:p>
      <w:pPr>
        <w:pStyle w:val="Heading2"/>
      </w:pPr>
      <w:r>
        <w:t>Lot D — Démontrer la qualité et l’exploitation</w:t>
      </w:r>
    </w:p>
    <w:p>
      <w:pPr/>
      <w:r>
        <w:t>Traiter G19, G23 et G24 : corpus annoté, seuils approuvés, suivi des versions de règles, reprise et charge réaliste. Ne pas déduire le respect des 24 h d’un simple indicateur visuel.</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7DDE3"/>
          <w:left w:val="single" w:sz="4" w:color="D7DDE3"/>
          <w:bottom w:val="single" w:sz="4" w:color="D7DDE3"/>
          <w:right w:val="single" w:sz="4" w:color="D7DDE3"/>
          <w:insideH w:val="single" w:sz="4" w:color="D7DDE3"/>
          <w:insideV w:val="single" w:sz="4" w:color="D7DDE3"/>
        </w:tblBorders>
      </w:tblPr>
      <w:tblGrid>
        <w:gridCol w:w="1900"/>
        <w:gridCol w:w="3900"/>
        <w:gridCol w:w="3560"/>
      </w:tblGrid>
      <w:tr>
        <w:trPr>
          <w:cantSplit/>
          <w:tblHeader/>
        </w:trPr>
        <w:tc>
          <w:tcPr>
            <w:tcW w:type="dxa" w:w="1900"/>
            <w:vAlign w:val="center"/>
            <w:shd w:fill="F2F4F7"/>
          </w:tcPr>
          <w:p>
            <w:pPr>
              <w:pStyle w:val="MatrixText"/>
            </w:pPr>
            <w:r>
              <w:rPr>
                <w:b/>
              </w:rPr>
              <w:t>Test proposé</w:t>
            </w:r>
          </w:p>
        </w:tc>
        <w:tc>
          <w:tcPr>
            <w:tcW w:type="dxa" w:w="3900"/>
            <w:vAlign w:val="center"/>
            <w:shd w:fill="F2F4F7"/>
          </w:tcPr>
          <w:p>
            <w:pPr>
              <w:pStyle w:val="MatrixText"/>
            </w:pPr>
            <w:r>
              <w:rPr>
                <w:b/>
              </w:rPr>
              <w:t>Jeu de données / action</w:t>
            </w:r>
          </w:p>
        </w:tc>
        <w:tc>
          <w:tcPr>
            <w:tcW w:type="dxa" w:w="3560"/>
            <w:vAlign w:val="center"/>
            <w:shd w:fill="F2F4F7"/>
          </w:tcPr>
          <w:p>
            <w:pPr>
              <w:pStyle w:val="MatrixText"/>
            </w:pPr>
            <w:r>
              <w:rPr>
                <w:b/>
              </w:rPr>
              <w:t>Résultat attendu</w:t>
            </w:r>
          </w:p>
        </w:tc>
      </w:tr>
      <w:tr>
        <w:trPr>
          <w:cantSplit/>
        </w:trPr>
        <w:tc>
          <w:tcPr>
            <w:tcW w:type="dxa" w:w="1900"/>
            <w:vAlign w:val="center"/>
          </w:tcPr>
          <w:p>
            <w:pPr>
              <w:pStyle w:val="MatrixText"/>
            </w:pPr>
            <w:r>
              <w:t>T01 Parcours unitaire conforme</w:t>
            </w:r>
          </w:p>
        </w:tc>
        <w:tc>
          <w:tcPr>
            <w:tcW w:type="dxa" w:w="3900"/>
            <w:vAlign w:val="center"/>
          </w:tcPr>
          <w:p>
            <w:pPr>
              <w:pStyle w:val="MatrixText"/>
            </w:pPr>
            <w:r>
              <w:t>Images lisibles, RIB et identités corrects, dates actuelles, quatre zones conformes</w:t>
            </w:r>
          </w:p>
        </w:tc>
        <w:tc>
          <w:tcPr>
            <w:tcW w:type="dxa" w:w="3560"/>
            <w:vAlign w:val="center"/>
          </w:tcPr>
          <w:p>
            <w:pPr>
              <w:pStyle w:val="MatrixText"/>
            </w:pPr>
            <w:r>
              <w:t>Verdict cohérent et décision tracée</w:t>
            </w:r>
          </w:p>
        </w:tc>
      </w:tr>
      <w:tr>
        <w:trPr>
          <w:cantSplit/>
        </w:trPr>
        <w:tc>
          <w:tcPr>
            <w:tcW w:type="dxa" w:w="1900"/>
            <w:vAlign w:val="center"/>
          </w:tcPr>
          <w:p>
            <w:pPr>
              <w:pStyle w:val="MatrixText"/>
            </w:pPr>
            <w:r>
              <w:t>T02 Données obligatoires absentes</w:t>
            </w:r>
          </w:p>
        </w:tc>
        <w:tc>
          <w:tcPr>
            <w:tcW w:type="dxa" w:w="3900"/>
            <w:vAlign w:val="center"/>
          </w:tcPr>
          <w:p>
            <w:pPr>
              <w:pStyle w:val="MatrixText"/>
            </w:pPr>
            <w:r>
              <w:t>Deux lieux nuls ; date ou montant illisible</w:t>
            </w:r>
          </w:p>
        </w:tc>
        <w:tc>
          <w:tcPr>
            <w:tcW w:type="dxa" w:w="3560"/>
            <w:vAlign w:val="center"/>
          </w:tcPr>
          <w:p>
            <w:pPr>
              <w:pStyle w:val="MatrixText"/>
            </w:pPr>
            <w:r>
              <w:t>À contrôler ; aucun faux conforme</w:t>
            </w:r>
          </w:p>
        </w:tc>
      </w:tr>
      <w:tr>
        <w:trPr>
          <w:cantSplit/>
        </w:trPr>
        <w:tc>
          <w:tcPr>
            <w:tcW w:type="dxa" w:w="1900"/>
            <w:vAlign w:val="center"/>
          </w:tcPr>
          <w:p>
            <w:pPr>
              <w:pStyle w:val="MatrixText"/>
            </w:pPr>
            <w:r>
              <w:t>T03 Seuil NLP</w:t>
            </w:r>
          </w:p>
        </w:tc>
        <w:tc>
          <w:tcPr>
            <w:tcW w:type="dxa" w:w="3900"/>
            <w:vAlign w:val="center"/>
          </w:tcPr>
          <w:p>
            <w:pPr>
              <w:pStyle w:val="MatrixText"/>
            </w:pPr>
            <w:r>
              <w:t>Scores autour de 95 %, variantes et homonymes</w:t>
            </w:r>
          </w:p>
        </w:tc>
        <w:tc>
          <w:tcPr>
            <w:tcW w:type="dxa" w:w="3560"/>
            <w:vAlign w:val="center"/>
          </w:tcPr>
          <w:p>
            <w:pPr>
              <w:pStyle w:val="MatrixText"/>
            </w:pPr>
            <w:r>
              <w:t>Même règle dans API et écran</w:t>
            </w:r>
          </w:p>
        </w:tc>
      </w:tr>
      <w:tr>
        <w:trPr>
          <w:cantSplit/>
        </w:trPr>
        <w:tc>
          <w:tcPr>
            <w:tcW w:type="dxa" w:w="1900"/>
            <w:vAlign w:val="center"/>
          </w:tcPr>
          <w:p>
            <w:pPr>
              <w:pStyle w:val="MatrixText"/>
            </w:pPr>
            <w:r>
              <w:t>T04 Date et facture</w:t>
            </w:r>
          </w:p>
        </w:tc>
        <w:tc>
          <w:tcPr>
            <w:tcW w:type="dxa" w:w="3900"/>
            <w:vAlign w:val="center"/>
          </w:tcPr>
          <w:p>
            <w:pPr>
              <w:pStyle w:val="MatrixText"/>
            </w:pPr>
            <w:r>
              <w:t>Échéance dépassée ; création avant facture ; deux factures de même montant</w:t>
            </w:r>
          </w:p>
        </w:tc>
        <w:tc>
          <w:tcPr>
            <w:tcW w:type="dxa" w:w="3560"/>
            <w:vAlign w:val="center"/>
          </w:tcPr>
          <w:p>
            <w:pPr>
              <w:pStyle w:val="MatrixText"/>
            </w:pPr>
            <w:r>
              <w:t>Bonne facture, risque visible et décision conforme à la politique</w:t>
            </w:r>
          </w:p>
        </w:tc>
      </w:tr>
      <w:tr>
        <w:trPr>
          <w:cantSplit/>
        </w:trPr>
        <w:tc>
          <w:tcPr>
            <w:tcW w:type="dxa" w:w="1900"/>
            <w:vAlign w:val="center"/>
          </w:tcPr>
          <w:p>
            <w:pPr>
              <w:pStyle w:val="MatrixText"/>
            </w:pPr>
            <w:r>
              <w:t>T05 Correction/reprise</w:t>
            </w:r>
          </w:p>
        </w:tc>
        <w:tc>
          <w:tcPr>
            <w:tcW w:type="dxa" w:w="3900"/>
            <w:vAlign w:val="center"/>
          </w:tcPr>
          <w:p>
            <w:pPr>
              <w:pStyle w:val="MatrixText"/>
            </w:pPr>
            <w:r>
              <w:t>OCR faux puis correction ; panne puis nouvelle tentative</w:t>
            </w:r>
          </w:p>
        </w:tc>
        <w:tc>
          <w:tcPr>
            <w:tcW w:type="dxa" w:w="3560"/>
            <w:vAlign w:val="center"/>
          </w:tcPr>
          <w:p>
            <w:pPr>
              <w:pStyle w:val="MatrixText"/>
            </w:pPr>
            <w:r>
              <w:t>Recalcul traçable, sans doublon</w:t>
            </w:r>
          </w:p>
        </w:tc>
      </w:tr>
      <w:tr>
        <w:trPr>
          <w:cantSplit/>
        </w:trPr>
        <w:tc>
          <w:tcPr>
            <w:tcW w:type="dxa" w:w="1900"/>
            <w:vAlign w:val="center"/>
          </w:tcPr>
          <w:p>
            <w:pPr>
              <w:pStyle w:val="MatrixText"/>
            </w:pPr>
            <w:r>
              <w:t>T06 Couverture exhaustive</w:t>
            </w:r>
          </w:p>
        </w:tc>
        <w:tc>
          <w:tcPr>
            <w:tcW w:type="dxa" w:w="3900"/>
            <w:vAlign w:val="center"/>
          </w:tcPr>
          <w:p>
            <w:pPr>
              <w:pStyle w:val="MatrixText"/>
            </w:pPr>
            <w:r>
              <w:t>F1=1 000, F2=500, IP=1 000 pour la même remise</w:t>
            </w:r>
          </w:p>
        </w:tc>
        <w:tc>
          <w:tcPr>
            <w:tcW w:type="dxa" w:w="3560"/>
            <w:vAlign w:val="center"/>
          </w:tcPr>
          <w:p>
            <w:pPr>
              <w:pStyle w:val="MatrixText"/>
            </w:pPr>
            <w:r>
              <w:t>Manque de 500 DT signalé</w:t>
            </w:r>
          </w:p>
        </w:tc>
      </w:tr>
      <w:tr>
        <w:trPr>
          <w:cantSplit/>
        </w:trPr>
        <w:tc>
          <w:tcPr>
            <w:tcW w:type="dxa" w:w="1900"/>
            <w:vAlign w:val="center"/>
          </w:tcPr>
          <w:p>
            <w:pPr>
              <w:pStyle w:val="MatrixText"/>
            </w:pPr>
            <w:r>
              <w:t>T07 Avoir unique</w:t>
            </w:r>
          </w:p>
        </w:tc>
        <w:tc>
          <w:tcPr>
            <w:tcW w:type="dxa" w:w="3900"/>
            <w:vAlign w:val="center"/>
          </w:tcPr>
          <w:p>
            <w:pPr>
              <w:pStyle w:val="MatrixText"/>
            </w:pPr>
            <w:r>
              <w:t>Même avoir présent dans IMX puis proposé à la saisie</w:t>
            </w:r>
          </w:p>
        </w:tc>
        <w:tc>
          <w:tcPr>
            <w:tcW w:type="dxa" w:w="3560"/>
            <w:vAlign w:val="center"/>
          </w:tcPr>
          <w:p>
            <w:pPr>
              <w:pStyle w:val="MatrixText"/>
            </w:pPr>
            <w:r>
              <w:t>Pas de double déduction</w:t>
            </w:r>
          </w:p>
        </w:tc>
      </w:tr>
      <w:tr>
        <w:trPr>
          <w:cantSplit/>
        </w:trPr>
        <w:tc>
          <w:tcPr>
            <w:tcW w:type="dxa" w:w="1900"/>
            <w:vAlign w:val="center"/>
          </w:tcPr>
          <w:p>
            <w:pPr>
              <w:pStyle w:val="MatrixText"/>
            </w:pPr>
            <w:r>
              <w:t>T08 Isolation des remises</w:t>
            </w:r>
          </w:p>
        </w:tc>
        <w:tc>
          <w:tcPr>
            <w:tcW w:type="dxa" w:w="3900"/>
            <w:vAlign w:val="center"/>
          </w:tcPr>
          <w:p>
            <w:pPr>
              <w:pStyle w:val="MatrixText"/>
            </w:pPr>
            <w:r>
              <w:t>Même débiteur dans deux remises, dont une rejetée</w:t>
            </w:r>
          </w:p>
        </w:tc>
        <w:tc>
          <w:tcPr>
            <w:tcW w:type="dxa" w:w="3560"/>
            <w:vAlign w:val="center"/>
          </w:tcPr>
          <w:p>
            <w:pPr>
              <w:pStyle w:val="MatrixText"/>
            </w:pPr>
            <w:r>
              <w:t>Totaux isolés selon règles d’éligibilité</w:t>
            </w:r>
          </w:p>
        </w:tc>
      </w:tr>
      <w:tr>
        <w:trPr>
          <w:cantSplit/>
        </w:trPr>
        <w:tc>
          <w:tcPr>
            <w:tcW w:type="dxa" w:w="1900"/>
            <w:vAlign w:val="center"/>
          </w:tcPr>
          <w:p>
            <w:pPr>
              <w:pStyle w:val="MatrixText"/>
            </w:pPr>
            <w:r>
              <w:t>T09 Complétude contrat</w:t>
            </w:r>
          </w:p>
        </w:tc>
        <w:tc>
          <w:tcPr>
            <w:tcW w:type="dxa" w:w="3900"/>
            <w:vAlign w:val="center"/>
          </w:tcPr>
          <w:p>
            <w:pPr>
              <w:pStyle w:val="MatrixText"/>
            </w:pPr>
            <w:r>
              <w:t>Une facture sans BC ; un débiteur sans IP</w:t>
            </w:r>
          </w:p>
        </w:tc>
        <w:tc>
          <w:tcPr>
            <w:tcW w:type="dxa" w:w="3560"/>
            <w:vAlign w:val="center"/>
          </w:tcPr>
          <w:p>
            <w:pPr>
              <w:pStyle w:val="MatrixText"/>
            </w:pPr>
            <w:r>
              <w:t>Bonne branche avec/sans recouvrement</w:t>
            </w:r>
          </w:p>
        </w:tc>
      </w:tr>
      <w:tr>
        <w:trPr>
          <w:cantSplit/>
        </w:trPr>
        <w:tc>
          <w:tcPr>
            <w:tcW w:type="dxa" w:w="1900"/>
            <w:vAlign w:val="center"/>
          </w:tcPr>
          <w:p>
            <w:pPr>
              <w:pStyle w:val="MatrixText"/>
            </w:pPr>
            <w:r>
              <w:t>T10 PDF/classification</w:t>
            </w:r>
          </w:p>
        </w:tc>
        <w:tc>
          <w:tcPr>
            <w:tcW w:type="dxa" w:w="3900"/>
            <w:vAlign w:val="center"/>
          </w:tcPr>
          <w:p>
            <w:pPr>
              <w:pStyle w:val="MatrixText"/>
            </w:pPr>
            <w:r>
              <w:t>Dépôt multipage avec bordereau, factures, BL/BC et IP</w:t>
            </w:r>
          </w:p>
        </w:tc>
        <w:tc>
          <w:tcPr>
            <w:tcW w:type="dxa" w:w="3560"/>
            <w:vAlign w:val="center"/>
          </w:tcPr>
          <w:p>
            <w:pPr>
              <w:pStyle w:val="MatrixText"/>
            </w:pPr>
            <w:r>
              <w:t>Documents séparés et rattachés</w:t>
            </w:r>
          </w:p>
        </w:tc>
      </w:tr>
      <w:tr>
        <w:trPr>
          <w:cantSplit/>
        </w:trPr>
        <w:tc>
          <w:tcPr>
            <w:tcW w:type="dxa" w:w="1900"/>
            <w:vAlign w:val="center"/>
          </w:tcPr>
          <w:p>
            <w:pPr>
              <w:pStyle w:val="MatrixText"/>
            </w:pPr>
            <w:r>
              <w:t>T11 Cachet/historique</w:t>
            </w:r>
          </w:p>
        </w:tc>
        <w:tc>
          <w:tcPr>
            <w:tcW w:type="dxa" w:w="3900"/>
            <w:vAlign w:val="center"/>
          </w:tcPr>
          <w:p>
            <w:pPr>
              <w:pStyle w:val="MatrixText"/>
            </w:pPr>
            <w:r>
              <w:t>Première puis seconde transaction du débiteur</w:t>
            </w:r>
          </w:p>
        </w:tc>
        <w:tc>
          <w:tcPr>
            <w:tcW w:type="dxa" w:w="3560"/>
            <w:vAlign w:val="center"/>
          </w:tcPr>
          <w:p>
            <w:pPr>
              <w:pStyle w:val="MatrixText"/>
            </w:pPr>
            <w:r>
              <w:t>Référence contrôlée et historique consultable</w:t>
            </w:r>
          </w:p>
        </w:tc>
      </w:tr>
      <w:tr>
        <w:trPr>
          <w:cantSplit/>
        </w:trPr>
        <w:tc>
          <w:tcPr>
            <w:tcW w:type="dxa" w:w="1900"/>
            <w:vAlign w:val="center"/>
          </w:tcPr>
          <w:p>
            <w:pPr>
              <w:pStyle w:val="MatrixText"/>
            </w:pPr>
            <w:r>
              <w:t>T12 Exploitation</w:t>
            </w:r>
          </w:p>
        </w:tc>
        <w:tc>
          <w:tcPr>
            <w:tcW w:type="dxa" w:w="3900"/>
            <w:vAlign w:val="center"/>
          </w:tcPr>
          <w:p>
            <w:pPr>
              <w:pStyle w:val="MatrixText"/>
            </w:pPr>
            <w:r>
              <w:t>Charge de pointe et redémarrage pendant OCR</w:t>
            </w:r>
          </w:p>
        </w:tc>
        <w:tc>
          <w:tcPr>
            <w:tcW w:type="dxa" w:w="3560"/>
            <w:vAlign w:val="center"/>
          </w:tcPr>
          <w:p>
            <w:pPr>
              <w:pStyle w:val="MatrixText"/>
            </w:pPr>
            <w:r>
              <w:t>Reprise, aucun dossier orphelin, délais mesurés</w:t>
            </w:r>
          </w:p>
        </w:tc>
      </w:tr>
    </w:tbl>
    <w:p>
      <w:pPr>
        <w:spacing w:after="80"/>
      </w:pPr>
    </w:p>
    <w:p>
      <w:pPr/>
      <w:r>
        <w:t>Ces scénarios sont à exécuter après définition des règles et préparation d’une base de recette isolée. Ils ne sont pas déclarés réussis par le présent rapport.</w:t>
      </w:r>
    </w:p>
    <w:p>
      <w:pPr>
        <w:pStyle w:val="Heading1"/>
        <w:pageBreakBefore/>
      </w:pPr>
      <w:r>
        <w:t>7. Références de preuve dans le dépôt</w:t>
      </w:r>
    </w:p>
    <w:p>
      <w:pPr/>
      <w:r>
        <w:t>Les références ci-dessous pointent vers les fichiers et fonctions consultés. Les numéros de ligne correspondent à l’état local de l’audit ; ils peuvent évoluer après modification. Les tests cités attestent d’une intention de couverture, pas d’une nouvelle exécution de la suite pendant cet audit.</w:t>
      </w:r>
    </w:p>
    <w:p>
      <w:pPr>
        <w:pStyle w:val="Evidence"/>
      </w:pPr>
      <w:r>
        <w:t>E01 : back/app/api/routes/auth.py:9 — router = ; back/app/api/deps.py:9 — async def get_current_user ; back/app/db/models/user.py:17 — class User.</w:t>
      </w:r>
    </w:p>
    <w:p>
      <w:pPr>
        <w:pStyle w:val="Evidence"/>
      </w:pPr>
      <w:r>
        <w:t>E02 : back/app/services/vlm_extraction.py:60 — _PROMPT = ; back/app/services/vlm_extraction.py:135 — class VlmExtractor ; back/app/services/vision_images.py:10 — def normalize_image.</w:t>
      </w:r>
    </w:p>
    <w:p>
      <w:pPr>
        <w:pStyle w:val="Evidence"/>
      </w:pPr>
      <w:r>
        <w:t>E03 : back/app/services/traite_processing.py:207 — def compute_inconsistencies ; back/app/services/traite_processing.py:294 — def execute_analysis ; back/app/services/nlp_matching.py:71 — def match_debiteur_by_rib.</w:t>
      </w:r>
    </w:p>
    <w:p>
      <w:pPr>
        <w:pStyle w:val="Evidence"/>
      </w:pPr>
      <w:r>
        <w:t>E04 : back/app/db/models/traite.py:69 — class VerificationCode ; front/src/pages/AnalysisPage.tsx:65 — sigTire:.</w:t>
      </w:r>
    </w:p>
    <w:p>
      <w:pPr>
        <w:pStyle w:val="Evidence"/>
      </w:pPr>
      <w:r>
        <w:t>E05 : back/app/db/models/traite.py:87 — class Traite(Base) ; back/app/schemas/traite.py:28 — class TraiteCreate.</w:t>
      </w:r>
    </w:p>
    <w:p>
      <w:pPr>
        <w:pStyle w:val="Evidence"/>
      </w:pPr>
      <w:r>
        <w:t>E06 : back/app/api/routes/traites.py:212 — async def create_traite ; back/app/api/routes/traites.py:260 — async def upload_document ; back/app/api/routes/traites.py:437 — async def create_decision ; back/app/api/routes/traites.py:497 — async def lancer_analyse.</w:t>
      </w:r>
    </w:p>
    <w:p>
      <w:pPr>
        <w:pStyle w:val="Evidence"/>
      </w:pPr>
      <w:r>
        <w:t>E07 : front/src/pages/QueuePage.tsx:59 — const launchMutation ; front/src/pages/QueuePage.tsx:142 — accept=.</w:t>
      </w:r>
    </w:p>
    <w:p>
      <w:pPr>
        <w:pStyle w:val="Evidence"/>
      </w:pPr>
      <w:r>
        <w:t>E08 : back/app/db/models/imx.py:34 — class Adherent ; back/app/db/models/imx.py:53 — class Debiteur ; back/app/db/models/imx.py:73 — class Facture.</w:t>
      </w:r>
    </w:p>
    <w:p>
      <w:pPr>
        <w:pStyle w:val="Evidence"/>
      </w:pPr>
      <w:r>
        <w:t>E09 : back/app/db/session.py:16 — engine = ; back/scripts/seed.py:55 — def run.</w:t>
      </w:r>
    </w:p>
    <w:p>
      <w:pPr>
        <w:pStyle w:val="Evidence"/>
      </w:pPr>
      <w:r>
        <w:t>E10 : back/app/services/verification_rules.py:42 — def evaluate_verifications.</w:t>
      </w:r>
    </w:p>
    <w:p>
      <w:pPr>
        <w:pStyle w:val="Evidence"/>
      </w:pPr>
      <w:r>
        <w:t>E11 : back/app/core/config.py:36 — nlp_match_threshold: ; back/app/core/config.py:45 — rib_corroboration_min_score: ; back/app/core/config.py:55 — coverage_gap_threshold:.</w:t>
      </w:r>
    </w:p>
    <w:p>
      <w:pPr>
        <w:pStyle w:val="Evidence"/>
      </w:pPr>
      <w:r>
        <w:t>E12 : front/src/pages/AnalysisPage.tsx:247 — {/* &lt;AvoirsCard ; front/src/pages/AnalysisPage.tsx:429 — function VerdictCard ; front/src/pages/AnalysisPage.tsx:821 — const ok = score &gt;= 95.</w:t>
      </w:r>
    </w:p>
    <w:p>
      <w:pPr>
        <w:pStyle w:val="Evidence"/>
      </w:pPr>
      <w:r>
        <w:t>E13 : back/app/services/nombres.py:79 — def amount_to_words.</w:t>
      </w:r>
    </w:p>
    <w:p>
      <w:pPr>
        <w:pStyle w:val="Evidence"/>
      </w:pPr>
      <w:r>
        <w:t>E14 : back/app/services/vision_document.py:24 — class VisionDocument ; back/app/services/vision_document.py:52 — def with_reconstructed_rib.</w:t>
      </w:r>
    </w:p>
    <w:p>
      <w:pPr>
        <w:pStyle w:val="Evidence"/>
      </w:pPr>
      <w:r>
        <w:t>E15 : back/app/services/barcode_reading.py:26 — def decode_barcode.</w:t>
      </w:r>
    </w:p>
    <w:p>
      <w:pPr>
        <w:pStyle w:val="Evidence"/>
      </w:pPr>
      <w:r>
        <w:t>E16 : back/app/services/mentions_rules.py:114 — def evaluate_date_rules ; back/app/services/mentions_rules.py:146 — async def find_matching_invoice ; back/app/services/mentions_rules.py:65 — def evaluate_mandatory_mentions.</w:t>
      </w:r>
    </w:p>
    <w:p>
      <w:pPr>
        <w:pStyle w:val="Evidence"/>
      </w:pPr>
      <w:r>
        <w:t>E17 : back/app/services/coverage.py:42 — async def calculate_debtor_coverage ; back/app/services/control_rollup.py:40 — async def calculate_debtor_control_rollup.</w:t>
      </w:r>
    </w:p>
    <w:p>
      <w:pPr>
        <w:pStyle w:val="Evidence"/>
      </w:pPr>
      <w:r>
        <w:t>E18 : todo-list.md:11 — ## Batch / remise-level.</w:t>
      </w:r>
    </w:p>
    <w:p>
      <w:pPr>
        <w:pStyle w:val="Evidence"/>
      </w:pPr>
      <w:r>
        <w:t>E19 : back/scripts/accuracy_pilot.py:1 ; BACKLOG.md:514 — ### ✅ Sprint 12.</w:t>
      </w:r>
    </w:p>
    <w:p>
      <w:pPr>
        <w:pStyle w:val="Evidence"/>
      </w:pPr>
      <w:r>
        <w:t>E20 : back/app/services/audit.py:20 — async def log_action ; back/app/db/models/traite.py:262 — class Decision ; back/app/db/models/traite.py:277 — class AuditLogEntry.</w:t>
      </w:r>
    </w:p>
    <w:p>
      <w:pPr>
        <w:pStyle w:val="Evidence"/>
      </w:pPr>
      <w:r>
        <w:t>E21 : back/app/tasks/traite_processing.py:39 — def run_traite_analysis ; front/src/lib/format.ts:38 — const SLA_HOURS.</w:t>
      </w:r>
    </w:p>
    <w:p>
      <w:pPr>
        <w:pStyle w:val="Heading2"/>
      </w:pPr>
      <w:r>
        <w:t>7.1 Tests et éléments historiques examinés</w:t>
      </w:r>
    </w:p>
    <w:p>
      <w:pPr/>
      <w:r>
        <w:t>back/tests/test_traite_processing.py : rapprochement RIB, score de corroboration, bénéficiaire non bloquant, montants et code-barres. back/tests/test_verification_rules.py et test_verification_and_decision_api.py : garde de validation et contrôles manuels. back/tests/test_mentions_rules.py : mentions et dates. back/tests/test_coverage.py et test_control_rollup.py : couverture et bilan API. back/tests/test_vlm_extraction.py : parsing et fournisseur simulé. front/src/pages/AnalysisPage.test.tsx et QueuePage.test.tsx : éléments des écrans.</w:t>
      </w:r>
    </w:p>
    <w:p>
      <w:pPr/>
      <w:r>
        <w:t>Les tests de AnalysisPage attendent encore le champ de saisie des avoirs et les badges de couverture, alors que leur composant parent est commenté dans le rendu actuel. Cette contradiction est constatée par lecture ; elle renforce la nécessité de relancer et réaligner la recette frontend.</w:t>
      </w:r>
    </w:p>
    <w:p>
      <w:pPr/>
      <w:r>
        <w:t>BACKLOG.md décrit des essais réels historiques et des suites réussies à des dates antérieures. Ces résultats ne sont pas repris comme preuve de recette de la révision courante. Le rapport constate l’existence d’un pilote, pas une précision OCR validée à grande échelle.</w:t>
      </w:r>
    </w:p>
    <w:p>
      <w:pPr>
        <w:pStyle w:val="Heading2"/>
      </w:pPr>
      <w:r>
        <w:t>7.2 Conclusion de recette</w:t>
      </w:r>
    </w:p>
    <w:p>
      <w:pPr/>
      <w:r>
        <w:t>L’UC-01 est partiellement implémenté et le workflow global de remise comporte des fonctions absentes. La décision de poursuivre peut s’appuyer sur la base existante, en validant d’abord les règles ouvertes puis les écarts P0. Une recette complète devra couvrir autant les chemins conformes que les pièces manquantes, les identités ambiguës, les montants mal interprétés, les incidents et les remises multiples.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urniture"/>
      <w:jc w:val="right"/>
    </w:pPr>
    <w:r>
      <w:t xml:space="preserve">16/09/2026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urniture"/>
    </w:pPr>
    <w:r>
      <w:t>TRAIT-AI  |  Analyse des exigences et des écarts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b w:val="0"/>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64" w:lineRule="auto" w:before="0"/>
      <w:contextualSpacing/>
    </w:pPr>
    <w:rPr>
      <w:rFonts w:asciiTheme="majorHAnsi" w:eastAsiaTheme="majorEastAsia" w:hAnsiTheme="majorHAnsi" w:cstheme="majorBidi" w:ascii="Calibri" w:hAnsi="Calibr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64" w:lineRule="auto"/>
    </w:pPr>
    <w:rPr>
      <w:rFonts w:asciiTheme="majorHAnsi" w:eastAsiaTheme="majorEastAsia" w:hAnsiTheme="majorHAnsi" w:cstheme="majorBidi" w:ascii="Calibri" w:hAnsi="Calibri"/>
      <w:b w:val="0"/>
      <w:i/>
      <w:iCs/>
      <w:color w:val="56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trixText">
    <w:name w:val="Matrix Text"/>
    <w:basedOn w:val="Normal"/>
    <w:pPr>
      <w:spacing w:after="80" w:before="0" w:line="264" w:lineRule="auto"/>
    </w:pPr>
    <w:rPr>
      <w:rFonts w:ascii="Calibri" w:hAnsi="Calibri"/>
      <w:color w:val="222222"/>
      <w:sz w:val="19"/>
    </w:rPr>
  </w:style>
  <w:style w:type="paragraph" w:customStyle="1" w:styleId="Evidence">
    <w:name w:val="Evidence"/>
    <w:basedOn w:val="Normal"/>
    <w:pPr>
      <w:spacing w:after="80" w:before="0" w:line="264" w:lineRule="auto"/>
    </w:pPr>
    <w:rPr>
      <w:rFonts w:ascii="Calibri" w:hAnsi="Calibri"/>
      <w:color w:val="536170"/>
      <w:sz w:val="18"/>
    </w:rPr>
  </w:style>
  <w:style w:type="paragraph" w:customStyle="1" w:styleId="Furniture">
    <w:name w:val="Furniture"/>
    <w:basedOn w:val="Normal"/>
    <w:pPr>
      <w:spacing w:after="80" w:before="0" w:line="264" w:lineRule="auto"/>
    </w:pPr>
    <w:rPr>
      <w:rFonts w:ascii="Calibri" w:hAnsi="Calibri"/>
      <w:color w:val="66778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TRAIT-AI — Analyse de couverture fonctionnelle et rapport des écarts</dc:title>
  <dc:subject>Comparaison de la spécification du 07/07/2026 avec le POC</dc:subject>
  <dc:creator/>
  <cp:keywords>UC-01, remise, traite, couverture, écarts, recette</cp:keywords>
  <dc:description>generated by python-docx</dc:description>
  <cp:lastModifiedBy/>
  <cp:revision>1</cp:revision>
  <dcterms:created xsi:type="dcterms:W3CDTF">2013-12-23T23:15:00Z</dcterms:created>
  <dcterms:modified xsi:type="dcterms:W3CDTF">2013-12-23T23:15:00Z</dcterms:modified>
  <cp:category/>
</cp:coreProperties>
</file>