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1A6DD4"/>
          <w:sz w:val="28"/>
          <w:szCs w:val="28"/>
        </w:rPr>
        <w:t xml:space="preserve">JIO PLATFORMS LIMITED</w:t>
      </w:r>
    </w:p>
    <w:p>
      <w:pPr>
        <w:spacing w:after="240" w:before="0"/>
        <w:jc w:val="center"/>
      </w:pPr>
      <w:r>
        <w:rPr>
          <w:rFonts w:ascii="Arial" w:cs="Arial" w:eastAsia="Arial" w:hAnsi="Arial"/>
          <w:color w:val="3E5778"/>
          <w:sz w:val="22"/>
          <w:szCs w:val="22"/>
        </w:rPr>
        <w:t xml:space="preserve">HR Analytics — Internal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A44" w:val="clear"/>
            <w:tcMar>
              <w:top w:type="dxa" w:w="400"/>
              <w:left w:type="dxa" w:w="400"/>
              <w:bottom w:type="dxa" w:w="400"/>
              <w:right w:type="dxa" w:w="400"/>
            </w:tcMar>
          </w:tcPr>
          <w:p>
            <w:pPr>
              <w:spacing w:after="80" w:before="0"/>
              <w:jc w:val="center"/>
            </w:pPr>
            <w:r>
              <w:rPr>
                <w:rFonts w:ascii="Arial" w:cs="Arial" w:eastAsia="Arial" w:hAnsi="Arial"/>
                <w:b/>
                <w:bCs/>
                <w:color w:val="FFFFFF"/>
                <w:sz w:val="48"/>
                <w:szCs w:val="48"/>
              </w:rPr>
              <w:t xml:space="preserve">PERFORMANCE PREDICTION &amp;</w:t>
            </w:r>
          </w:p>
          <w:p>
            <w:pPr>
              <w:spacing w:after="120" w:before="0"/>
              <w:jc w:val="center"/>
            </w:pPr>
            <w:r>
              <w:rPr>
                <w:rFonts w:ascii="Arial" w:cs="Arial" w:eastAsia="Arial" w:hAnsi="Arial"/>
                <w:b/>
                <w:bCs/>
                <w:color w:val="FFFFFF"/>
                <w:sz w:val="48"/>
                <w:szCs w:val="48"/>
              </w:rPr>
              <w:t xml:space="preserve">SUCCESS PROFILE ANALYSIS</w:t>
            </w:r>
          </w:p>
          <w:p>
            <w:pPr>
              <w:spacing w:after="200" w:before="0"/>
              <w:jc w:val="center"/>
            </w:pPr>
            <w:r>
              <w:rPr>
                <w:rFonts w:ascii="Arial" w:cs="Arial" w:eastAsia="Arial" w:hAnsi="Arial"/>
                <w:i/>
                <w:iCs/>
                <w:color w:val="A8C8F0"/>
                <w:sz w:val="26"/>
                <w:szCs w:val="26"/>
              </w:rPr>
              <w:t xml:space="preserve">Phase 0: All-Employee Survey — Complete Methodology &amp; Framework Report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Project</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Performance Prediction &amp; Success Profile Analysis</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Phase</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Phase 0 — Pre-Study Survey Design &amp; Implementation</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Organization</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Jio Platforms Ltd (JPL) — JioCX Business Unit</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Department</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Human Resources — HR Analytics</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Intern / Project Lead</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Mr. Vivek Kumar Kohli (Intern ID: m2025anl036)</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Project Mentor</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Ms. Anisha Sharma (Mentor) | Ms. Arya Khamparia (Guide)</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Project Sponsor</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Mr. Bharat Bhushan (HR Head)</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Document Version</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v4.0 (Final — Enhanced)</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Date</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June 22, 2026</w:t>
            </w:r>
          </w:p>
        </w:tc>
      </w:tr>
      <w:tr>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Classification</w:t>
            </w:r>
          </w:p>
        </w:tc>
        <w:tc>
          <w:tcPr>
            <w:tcW w:type="dxa" w:w="6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Internal / Confidential</w:t>
            </w:r>
          </w:p>
        </w:tc>
      </w:tr>
    </w:tbl>
    <w:p>
      <w:r>
        <w:br w:type="page"/>
      </w:r>
    </w:p>
    <w:p>
      <w:pPr>
        <w:pStyle w:val="Heading1"/>
        <w:spacing w:after="160" w:before="400"/>
      </w:pPr>
      <w:r>
        <w:rPr>
          <w:rFonts w:ascii="Arial" w:cs="Arial" w:eastAsia="Arial" w:hAnsi="Arial"/>
          <w:b/>
          <w:bCs/>
          <w:color w:val="0B2A44"/>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DD4" w:sz="4"/>
              <w:left w:val="single" w:color="1A6DD4" w:sz="12"/>
              <w:bottom w:val="single" w:color="CCDDEF" w:sz="1"/>
              <w:right w:val="single" w:color="CCDDEF" w:sz="1"/>
            </w:tcBorders>
            <w:shd w:fill="E8F0FB" w:val="clear"/>
            <w:tcMar>
              <w:top w:type="dxa" w:w="140"/>
              <w:left w:type="dxa" w:w="200"/>
              <w:bottom w:type="dxa" w:w="140"/>
              <w:right w:type="dxa" w:w="200"/>
            </w:tcMar>
          </w:tcPr>
          <w:p>
            <w:pPr>
              <w:spacing w:after="60" w:before="0"/>
            </w:pPr>
            <w:r>
              <w:rPr>
                <w:rFonts w:ascii="Arial" w:cs="Arial" w:eastAsia="Arial" w:hAnsi="Arial"/>
                <w:b/>
                <w:bCs/>
                <w:color w:val="1A6DD4"/>
                <w:sz w:val="22"/>
                <w:szCs w:val="22"/>
              </w:rPr>
              <w:t xml:space="preserve">Project Snapshot</w:t>
            </w:r>
          </w:p>
          <w:p>
            <w:pPr>
              <w:spacing w:after="40" w:before="40"/>
            </w:pPr>
            <w:r>
              <w:rPr>
                <w:rFonts w:ascii="Arial" w:cs="Arial" w:eastAsia="Arial" w:hAnsi="Arial"/>
                <w:color w:val="0B2A44"/>
                <w:sz w:val="20"/>
                <w:szCs w:val="20"/>
              </w:rPr>
              <w:t xml:space="preserve">Organization: Jio Platforms Ltd (JioCX Business Unit)  |  176 employees mapped, 920 in OLP pool</w:t>
            </w:r>
          </w:p>
          <w:p>
            <w:pPr>
              <w:spacing w:after="40" w:before="40"/>
            </w:pPr>
            <w:r>
              <w:rPr>
                <w:rFonts w:ascii="Arial" w:cs="Arial" w:eastAsia="Arial" w:hAnsi="Arial"/>
                <w:color w:val="0B2A44"/>
                <w:sz w:val="20"/>
                <w:szCs w:val="20"/>
              </w:rPr>
              <w:t xml:space="preserve">Intern: Vivek Kumar Kohli (m2025anl036)  |  Mentor: Ms. Anisha Sharma  |  Sponsor: Mr. Bharat Bhushan</w:t>
            </w:r>
          </w:p>
          <w:p>
            <w:pPr>
              <w:spacing w:after="40" w:before="40"/>
            </w:pPr>
            <w:r>
              <w:rPr>
                <w:rFonts w:ascii="Arial" w:cs="Arial" w:eastAsia="Arial" w:hAnsi="Arial"/>
                <w:color w:val="0B2A44"/>
                <w:sz w:val="20"/>
                <w:szCs w:val="20"/>
              </w:rPr>
              <w:t xml:space="preserve">Survey Target: 150 complete responses  |  Deployment: Microsoft Forms  |  Expected Time: ~36 min</w:t>
            </w:r>
          </w:p>
          <w:p>
            <w:pPr>
              <w:spacing w:after="40" w:before="40"/>
            </w:pPr>
            <w:r>
              <w:rPr>
                <w:rFonts w:ascii="Arial" w:cs="Arial" w:eastAsia="Arial" w:hAnsi="Arial"/>
                <w:color w:val="0B2A44"/>
                <w:sz w:val="20"/>
                <w:szCs w:val="20"/>
              </w:rPr>
              <w:t xml:space="preserve">Survey Instrument: 81 fields across 4 sections, 3 job levels (Junior / Manager / Leader/VP+)</w:t>
            </w:r>
          </w:p>
        </w:tc>
      </w:tr>
    </w:tbl>
    <w:p>
      <w:pPr>
        <w:spacing w:after="120" w:before="0"/>
      </w:pPr>
    </w:p>
    <w:p>
      <w:pPr>
        <w:spacing w:after="60" w:before="60"/>
        <w:jc w:val="left"/>
      </w:pPr>
      <w:r>
        <w:rPr>
          <w:rFonts w:ascii="Arial" w:cs="Arial" w:eastAsia="Arial" w:hAnsi="Arial"/>
          <w:b w:val="false"/>
          <w:bCs w:val="false"/>
          <w:i w:val="false"/>
          <w:iCs w:val="false"/>
          <w:color w:val="000000"/>
          <w:sz w:val="22"/>
          <w:szCs w:val="22"/>
        </w:rPr>
        <w:t xml:space="preserve">This report documents the complete design, methodology, and analytical framework for the Phase 0 All-Employee Behavioral Survey — the foundational step of the Performance Prediction &amp; Success Profile Analysis project at Jio Platforms Limited.</w:t>
      </w:r>
    </w:p>
    <w:p>
      <w:pPr>
        <w:spacing w:after="60" w:before="0"/>
      </w:pPr>
    </w:p>
    <w:p>
      <w:pPr>
        <w:spacing w:after="60" w:before="60"/>
        <w:jc w:val="left"/>
      </w:pPr>
      <w:r>
        <w:rPr>
          <w:rFonts w:ascii="Arial" w:cs="Arial" w:eastAsia="Arial" w:hAnsi="Arial"/>
          <w:b w:val="false"/>
          <w:bCs w:val="false"/>
          <w:i w:val="false"/>
          <w:iCs w:val="false"/>
          <w:color w:val="000000"/>
          <w:sz w:val="22"/>
          <w:szCs w:val="22"/>
        </w:rPr>
        <w:t xml:space="preserve">The project was initiated due to a critical gap: the organization lacks historical competency data to build a predictive performance model. Five years of OLP performance ratings (FY2021–22 through FY2025–26) exist for 920 employees, enabling identification of top performers by quantitative composite score. However, no data exists on the specific behaviors and competencies that explain why those employees outperform their peers. Traditional competency modeling approaches — which rely on retrospective behavioral assessments, manager nominations, or benchmarked external frameworks — were either unavailable or insufficiently context-specific for Jio Platforms. This survey was therefore designed de novo.</w:t>
      </w:r>
    </w:p>
    <w:p>
      <w:pPr>
        <w:spacing w:after="60" w:before="0"/>
      </w:pPr>
    </w:p>
    <w:p>
      <w:pPr>
        <w:spacing w:after="60" w:before="60"/>
        <w:jc w:val="left"/>
      </w:pPr>
      <w:r>
        <w:rPr>
          <w:rFonts w:ascii="Arial" w:cs="Arial" w:eastAsia="Arial" w:hAnsi="Arial"/>
          <w:b w:val="false"/>
          <w:bCs w:val="false"/>
          <w:i w:val="false"/>
          <w:iCs w:val="false"/>
          <w:color w:val="000000"/>
          <w:sz w:val="22"/>
          <w:szCs w:val="22"/>
        </w:rPr>
        <w:t xml:space="preserve">The survey instrument employs a rigorous mixed-method design combining:</w:t>
      </w:r>
    </w:p>
    <w:p>
      <w:pPr>
        <w:pStyle w:val="ListParagraph"/>
        <w:numPr>
          <w:ilvl w:val="0"/>
          <w:numId w:val="2"/>
        </w:numPr>
        <w:spacing w:after="40" w:before="40"/>
      </w:pPr>
      <w:r>
        <w:rPr>
          <w:rFonts w:ascii="Arial" w:cs="Arial" w:eastAsia="Arial" w:hAnsi="Arial"/>
          <w:sz w:val="22"/>
          <w:szCs w:val="22"/>
        </w:rPr>
        <w:t xml:space="preserve">40 Semantic Differential items across 3 job levels (measuring self-perceived behavioral frequency on bipolar pairs)</w:t>
      </w:r>
    </w:p>
    <w:p>
      <w:pPr>
        <w:pStyle w:val="ListParagraph"/>
        <w:numPr>
          <w:ilvl w:val="0"/>
          <w:numId w:val="2"/>
        </w:numPr>
        <w:spacing w:after="40" w:before="40"/>
      </w:pPr>
      <w:r>
        <w:rPr>
          <w:rFonts w:ascii="Arial" w:cs="Arial" w:eastAsia="Arial" w:hAnsi="Arial"/>
          <w:sz w:val="22"/>
          <w:szCs w:val="22"/>
        </w:rPr>
        <w:t xml:space="preserve">10 Forced-Ranking items with a Top 3 Cross-Check (measuring the mental model of what drives success)</w:t>
      </w:r>
    </w:p>
    <w:p>
      <w:pPr>
        <w:pStyle w:val="ListParagraph"/>
        <w:numPr>
          <w:ilvl w:val="0"/>
          <w:numId w:val="2"/>
        </w:numPr>
        <w:spacing w:after="40" w:before="40"/>
      </w:pPr>
      <w:r>
        <w:rPr>
          <w:rFonts w:ascii="Arial" w:cs="Arial" w:eastAsia="Arial" w:hAnsi="Arial"/>
          <w:sz w:val="22"/>
          <w:szCs w:val="22"/>
        </w:rPr>
        <w:t xml:space="preserve">3 Scenario-Based Ranking exercises per level (measuring behavioral default under situational pressure)</w:t>
      </w:r>
    </w:p>
    <w:p>
      <w:pPr>
        <w:pStyle w:val="ListParagraph"/>
        <w:numPr>
          <w:ilvl w:val="0"/>
          <w:numId w:val="2"/>
        </w:numPr>
        <w:spacing w:after="40" w:before="40"/>
      </w:pPr>
      <w:r>
        <w:rPr>
          <w:rFonts w:ascii="Arial" w:cs="Arial" w:eastAsia="Arial" w:hAnsi="Arial"/>
          <w:sz w:val="22"/>
          <w:szCs w:val="22"/>
        </w:rPr>
        <w:t xml:space="preserve">5 Open-Ended Narrative questions (measuring agency, attribution style, and generating interview language)</w:t>
      </w:r>
    </w:p>
    <w:p>
      <w:pPr>
        <w:pStyle w:val="ListParagraph"/>
        <w:numPr>
          <w:ilvl w:val="0"/>
          <w:numId w:val="2"/>
        </w:numPr>
        <w:spacing w:after="40" w:before="40"/>
      </w:pPr>
      <w:r>
        <w:rPr>
          <w:rFonts w:ascii="Arial" w:cs="Arial" w:eastAsia="Arial" w:hAnsi="Arial"/>
          <w:sz w:val="22"/>
          <w:szCs w:val="22"/>
        </w:rPr>
        <w:t xml:space="preserve">4 Contextual demographic controls (job level, work hours, direct reports, cross-functional involvement)</w:t>
      </w:r>
    </w:p>
    <w:p>
      <w:pPr>
        <w:spacing w:after="80" w:before="0"/>
      </w:pPr>
    </w:p>
    <w:p>
      <w:pPr>
        <w:spacing w:after="60" w:before="60"/>
        <w:jc w:val="left"/>
      </w:pPr>
      <w:r>
        <w:rPr>
          <w:rFonts w:ascii="Arial" w:cs="Arial" w:eastAsia="Arial" w:hAnsi="Arial"/>
          <w:b w:val="false"/>
          <w:bCs w:val="false"/>
          <w:i w:val="false"/>
          <w:iCs w:val="false"/>
          <w:color w:val="000000"/>
          <w:sz w:val="22"/>
          <w:szCs w:val="22"/>
        </w:rPr>
        <w:t xml:space="preserve">This methodology is grounded in established Industrial-Organizational Psychology research (Campbell, 1990; Borman &amp; Motowidlo, 1993; Sackett &amp; Lievens, 2008) and is the first of four sequential phases. Following Phase 0 data collection, a rigorous five-step analysis will extract a Differentiator Index — a ranked list of the competencies that most distinguish top performers — which will directly inform Phase 1 STAR interviews with 18 shortlisted employees. Findings from those interviews will be converted into a targeted Phase 2 quantitative survey, and finally into a validated Phase 3 predictive scoring model linked to OLP composite performance data.</w:t>
      </w:r>
    </w:p>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2.  Project Context &amp; Conceptual Framework</w:t>
      </w:r>
    </w:p>
    <w:p>
      <w:pPr>
        <w:pStyle w:val="Heading2"/>
        <w:spacing w:after="120" w:before="280"/>
      </w:pPr>
      <w:r>
        <w:rPr>
          <w:rFonts w:ascii="Arial" w:cs="Arial" w:eastAsia="Arial" w:hAnsi="Arial"/>
          <w:b/>
          <w:bCs/>
          <w:color w:val="1A6DD4"/>
          <w:sz w:val="26"/>
          <w:szCs w:val="26"/>
        </w:rPr>
        <w:t xml:space="preserve">2.1  Problem Statement</w:t>
      </w:r>
    </w:p>
    <w:p>
      <w:pPr>
        <w:spacing w:after="60" w:before="60"/>
        <w:jc w:val="left"/>
      </w:pPr>
      <w:r>
        <w:rPr>
          <w:rFonts w:ascii="Arial" w:cs="Arial" w:eastAsia="Arial" w:hAnsi="Arial"/>
          <w:b w:val="false"/>
          <w:bCs w:val="false"/>
          <w:i w:val="false"/>
          <w:iCs w:val="false"/>
          <w:color w:val="000000"/>
          <w:sz w:val="22"/>
          <w:szCs w:val="22"/>
        </w:rPr>
        <w:t xml:space="preserve">Jio Platforms lacks a validated, context-specific competency model that can predict employee performance for HR Manager and HRBP roles in the JioCX business unit. Without such a model, the organization faces three interconnected challenges:</w:t>
      </w:r>
    </w:p>
    <w:p>
      <w:pPr>
        <w:pStyle w:val="ListParagraph"/>
        <w:numPr>
          <w:ilvl w:val="0"/>
          <w:numId w:val="2"/>
        </w:numPr>
        <w:spacing w:after="40" w:before="40"/>
      </w:pPr>
      <w:r>
        <w:rPr>
          <w:rFonts w:ascii="Arial" w:cs="Arial" w:eastAsia="Arial" w:hAnsi="Arial"/>
          <w:sz w:val="22"/>
          <w:szCs w:val="22"/>
        </w:rPr>
        <w:t xml:space="preserve">Inefficient talent selection: Hiring decisions based on generic traits rather than performance-predictive behaviors specific to Jio's operating context.</w:t>
      </w:r>
    </w:p>
    <w:p>
      <w:pPr>
        <w:pStyle w:val="ListParagraph"/>
        <w:numPr>
          <w:ilvl w:val="0"/>
          <w:numId w:val="2"/>
        </w:numPr>
        <w:spacing w:after="40" w:before="40"/>
      </w:pPr>
      <w:r>
        <w:rPr>
          <w:rFonts w:ascii="Arial" w:cs="Arial" w:eastAsia="Arial" w:hAnsi="Arial"/>
          <w:sz w:val="22"/>
          <w:szCs w:val="22"/>
        </w:rPr>
        <w:t xml:space="preserve">Suboptimal development investments: L&amp;D programs targeting the wrong competencies because the right ones have never been empirically identified.</w:t>
      </w:r>
    </w:p>
    <w:p>
      <w:pPr>
        <w:pStyle w:val="ListParagraph"/>
        <w:numPr>
          <w:ilvl w:val="0"/>
          <w:numId w:val="2"/>
        </w:numPr>
        <w:spacing w:after="40" w:before="40"/>
      </w:pPr>
      <w:r>
        <w:rPr>
          <w:rFonts w:ascii="Arial" w:cs="Arial" w:eastAsia="Arial" w:hAnsi="Arial"/>
          <w:sz w:val="22"/>
          <w:szCs w:val="22"/>
        </w:rPr>
        <w:t xml:space="preserve">Limited succession planning: Inability to identify future leaders based on behavioral data, forcing reliance on manager judgment and recency bias.</w:t>
      </w:r>
    </w:p>
    <w:p>
      <w:pPr>
        <w:spacing w:after="80" w:before="0"/>
      </w:pPr>
    </w:p>
    <w:p>
      <w:pPr>
        <w:spacing w:after="60" w:before="60"/>
        <w:jc w:val="left"/>
      </w:pPr>
      <w:r>
        <w:rPr>
          <w:rFonts w:ascii="Arial" w:cs="Arial" w:eastAsia="Arial" w:hAnsi="Arial"/>
          <w:b w:val="false"/>
          <w:bCs w:val="false"/>
          <w:i w:val="false"/>
          <w:iCs w:val="false"/>
          <w:color w:val="000000"/>
          <w:sz w:val="22"/>
          <w:szCs w:val="22"/>
        </w:rPr>
        <w:t xml:space="preserve">The core structural challenge is the absence of historical behavioral data. OLP composite scores exist for 920 employees across five rating years. However, these scores measure output (performance rating) — not the behavioral inputs that produce those outputs. This project bridges that gap.</w:t>
      </w:r>
    </w:p>
    <w:p>
      <w:pPr>
        <w:spacing w:after="120" w:before="0"/>
      </w:pPr>
    </w:p>
    <w:p>
      <w:pPr>
        <w:pStyle w:val="Heading2"/>
        <w:spacing w:after="120" w:before="280"/>
      </w:pPr>
      <w:r>
        <w:rPr>
          <w:rFonts w:ascii="Arial" w:cs="Arial" w:eastAsia="Arial" w:hAnsi="Arial"/>
          <w:b/>
          <w:bCs/>
          <w:color w:val="1A6DD4"/>
          <w:sz w:val="26"/>
          <w:szCs w:val="26"/>
        </w:rPr>
        <w:t xml:space="preserve">2.2  Project Phases Overview</w:t>
      </w:r>
    </w:p>
    <w:p>
      <w:pPr>
        <w:spacing w:after="60" w:before="60"/>
        <w:jc w:val="left"/>
      </w:pPr>
      <w:r>
        <w:rPr>
          <w:rFonts w:ascii="Arial" w:cs="Arial" w:eastAsia="Arial" w:hAnsi="Arial"/>
          <w:b w:val="false"/>
          <w:bCs w:val="false"/>
          <w:i w:val="false"/>
          <w:iCs w:val="false"/>
          <w:color w:val="000000"/>
          <w:sz w:val="22"/>
          <w:szCs w:val="22"/>
        </w:rPr>
        <w:t xml:space="preserve">The project is structured as a four-phase sequential design. Phase 0 (this report) generates the hypotheses; each subsequent phase tests and refines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 &amp; Timeline</w:t>
            </w:r>
          </w:p>
        </w:tc>
        <w:tc>
          <w:tcPr>
            <w:tcW w:type="dxa" w:w="48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1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1A6DD4"/>
                <w:sz w:val="18"/>
                <w:szCs w:val="18"/>
              </w:rPr>
              <w:t xml:space="preserve">Phase 0
(This Report)</w:t>
            </w:r>
          </w:p>
        </w:tc>
        <w:tc>
          <w:tcPr>
            <w:tcW w:type="dxa" w:w="3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All-Employee Behavioral Survey
(Jun 21 – Jun 30, 2026)</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Broad signal capture across 3 levels (Junior, Manager, Leader/VP+). Quantitative + qualitative hypotheses about which competencies differentiate performance.</w:t>
            </w:r>
          </w:p>
        </w:tc>
      </w:tr>
      <w:tr>
        <w:tc>
          <w:tcPr>
            <w:tcW w:type="dxa" w:w="1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1A6DD4"/>
                <w:sz w:val="18"/>
                <w:szCs w:val="18"/>
              </w:rPr>
              <w:t xml:space="preserve">Phase 1</w:t>
            </w:r>
          </w:p>
        </w:tc>
        <w:tc>
          <w:tcPr>
            <w:tcW w:type="dxa" w:w="3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STAR Interviews — Top &amp; Average Performers
(Jul 1 – Jul 11, 2026)</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Deep-dive validation with 18 shortlisted employees (13 top + 5 contrast). Survey-derived questions probe specific behaviors; generate precise behavioral indicators.</w:t>
            </w:r>
          </w:p>
        </w:tc>
      </w:tr>
      <w:tr>
        <w:tc>
          <w:tcPr>
            <w:tcW w:type="dxa" w:w="1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1A6DD4"/>
                <w:sz w:val="18"/>
                <w:szCs w:val="18"/>
              </w:rPr>
              <w:t xml:space="preserve">Phase 2</w:t>
            </w:r>
          </w:p>
        </w:tc>
        <w:tc>
          <w:tcPr>
            <w:tcW w:type="dxa" w:w="3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Targeted Competency Survey — Wider Cohort
(Jul 12 – Jul 18, 2026)</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Quantitatively measure refined competencies on a larger cohort using closed-ended Likert scales derived from Phase 1 interview findings.</w:t>
            </w:r>
          </w:p>
        </w:tc>
      </w:tr>
      <w:tr>
        <w:tc>
          <w:tcPr>
            <w:tcW w:type="dxa" w:w="1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1A6DD4"/>
                <w:sz w:val="18"/>
                <w:szCs w:val="18"/>
              </w:rPr>
              <w:t xml:space="preserve">Phase 3</w:t>
            </w:r>
          </w:p>
        </w:tc>
        <w:tc>
          <w:tcPr>
            <w:tcW w:type="dxa" w:w="3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Scoring &amp; Predictive Model Build
(Jul 19 – Jul 31, 2026)</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Final validation. Build a scoring model linking Phase 2 competency profiles to OLP performance composites. Calibrate, validate, and present final dashboard.</w:t>
            </w:r>
          </w:p>
        </w:tc>
      </w:tr>
    </w:tbl>
    <w:p>
      <w:pPr>
        <w:spacing w:after="120" w:before="0"/>
      </w:pPr>
    </w:p>
    <w:p>
      <w:pPr>
        <w:pStyle w:val="Heading2"/>
        <w:spacing w:after="120" w:before="280"/>
      </w:pPr>
      <w:r>
        <w:rPr>
          <w:rFonts w:ascii="Arial" w:cs="Arial" w:eastAsia="Arial" w:hAnsi="Arial"/>
          <w:b/>
          <w:bCs/>
          <w:color w:val="1A6DD4"/>
          <w:sz w:val="26"/>
          <w:szCs w:val="26"/>
        </w:rPr>
        <w:t xml:space="preserve">2.3  Conceptual Foundation: The 3 Pillars of Performance</w:t>
      </w:r>
    </w:p>
    <w:p>
      <w:pPr>
        <w:spacing w:after="60" w:before="60"/>
        <w:jc w:val="left"/>
      </w:pPr>
      <w:r>
        <w:rPr>
          <w:rFonts w:ascii="Arial" w:cs="Arial" w:eastAsia="Arial" w:hAnsi="Arial"/>
          <w:b w:val="false"/>
          <w:bCs w:val="false"/>
          <w:i w:val="false"/>
          <w:iCs w:val="false"/>
          <w:color w:val="000000"/>
          <w:sz w:val="22"/>
          <w:szCs w:val="22"/>
        </w:rPr>
        <w:t xml:space="preserve">The survey is grounded in the empirically validated I-O Psychology framework that job performance is multi-dimensional. This report adopts the three-pillar model established by Borman &amp; Motowidlo (1993) and extended by Pulakos et al. (2000) for adaptive performance: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Performance Pillar</w:t>
            </w:r>
          </w:p>
        </w:tc>
        <w:tc>
          <w:tcPr>
            <w:tcW w:type="dxa" w:w="39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36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Mapped Competencies</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Task Performance</w:t>
            </w:r>
          </w:p>
        </w:tc>
        <w:tc>
          <w:tcPr>
            <w:tcW w:type="dxa" w:w="3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Proficiency with which the employee performs core technical and functional role requirements.</w:t>
            </w:r>
          </w:p>
        </w:tc>
        <w:tc>
          <w:tcPr>
            <w:tcW w:type="dxa" w:w="3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EE (Execution Excellence), PS (Problem Solving), DI (Drive &amp; Initiative)</w:t>
            </w:r>
          </w:p>
        </w:tc>
      </w:tr>
      <w:tr>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Contextual Performance</w:t>
            </w:r>
          </w:p>
        </w:tc>
        <w:tc>
          <w:tcPr>
            <w:tcW w:type="dxa" w:w="39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Behaviors that support the organizational, social, and psychological environment — cooperation, helping others, team cohesion.</w:t>
            </w:r>
          </w:p>
        </w:tc>
        <w:tc>
          <w:tcPr>
            <w:tcW w:type="dxa" w:w="3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CI (Collaboration &amp; Influence), PL (People Leadership), CO (Customer Orientation)</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Adaptive Performance</w:t>
            </w:r>
          </w:p>
        </w:tc>
        <w:tc>
          <w:tcPr>
            <w:tcW w:type="dxa" w:w="3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Ability to handle change, learn from experience, and respond effectively to novel or ambiguous situations.</w:t>
            </w:r>
          </w:p>
        </w:tc>
        <w:tc>
          <w:tcPr>
            <w:tcW w:type="dxa" w:w="3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LA (Learning Agility), RE (Resilience), ST (Strategic Thinking), CM (Communication)</w:t>
            </w:r>
          </w:p>
        </w:tc>
      </w:tr>
    </w:tbl>
    <w:p>
      <w:pPr>
        <w:spacing w:after="80" w:before="0"/>
      </w:pPr>
    </w:p>
    <w:p>
      <w:pPr>
        <w:spacing w:after="60" w:before="60"/>
        <w:jc w:val="left"/>
      </w:pPr>
      <w:r>
        <w:rPr>
          <w:rFonts w:ascii="Arial" w:cs="Arial" w:eastAsia="Arial" w:hAnsi="Arial"/>
          <w:b w:val="false"/>
          <w:bCs w:val="false"/>
          <w:i w:val="false"/>
          <w:iCs w:val="false"/>
          <w:color w:val="000000"/>
          <w:sz w:val="22"/>
          <w:szCs w:val="22"/>
        </w:rPr>
        <w:t xml:space="preserve">This tripartite model was selected because it covers both what an employee does (task performance) and how they do it (contextual and adaptive), and because all three pillars are empirically validated across diverse occupations and industries. Critically, the three pillars map cleanly to the 10 competencies selected for this survey (see Section 4.3), ensuring the measurement framework is theoretically coherent and does not over-index on task performance alone.</w:t>
      </w:r>
    </w:p>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3.  Survey Architecture Overview</w:t>
      </w:r>
    </w:p>
    <w:p>
      <w:pPr>
        <w:pStyle w:val="Heading2"/>
        <w:spacing w:after="120" w:before="280"/>
      </w:pPr>
      <w:r>
        <w:rPr>
          <w:rFonts w:ascii="Arial" w:cs="Arial" w:eastAsia="Arial" w:hAnsi="Arial"/>
          <w:b/>
          <w:bCs/>
          <w:color w:val="1A6DD4"/>
          <w:sz w:val="26"/>
          <w:szCs w:val="26"/>
        </w:rPr>
        <w:t xml:space="preserve">3.1  Multi-Method Design Philosophy</w:t>
      </w:r>
    </w:p>
    <w:p>
      <w:pPr>
        <w:spacing w:after="60" w:before="60"/>
        <w:jc w:val="left"/>
      </w:pPr>
      <w:r>
        <w:rPr>
          <w:rFonts w:ascii="Arial" w:cs="Arial" w:eastAsia="Arial" w:hAnsi="Arial"/>
          <w:b w:val="false"/>
          <w:bCs w:val="false"/>
          <w:i w:val="false"/>
          <w:iCs w:val="false"/>
          <w:color w:val="000000"/>
          <w:sz w:val="22"/>
          <w:szCs w:val="22"/>
        </w:rPr>
        <w:t xml:space="preserve">The survey employs four different response formats to capture complementary types of data about the same underlying behavioral constructs. This redundancy serves two distinct purposes: (a) it increases the reliability of measurement for each competency by triangulating across multiple methods, and (b) it provides built-in cross-validation, making it possible to detect low-quality, socially desirable, or inconsistent responses before they contaminate the analysis.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25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2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Bias Mitigation</w:t>
            </w:r>
          </w:p>
        </w:tc>
        <w:tc>
          <w:tcPr>
            <w:tcW w:type="dxa" w:w="20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Bias Risk</w:t>
            </w:r>
          </w:p>
        </w:tc>
      </w:tr>
      <w:tr>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Semantic Differential
(Section A)</w:t>
            </w:r>
          </w:p>
        </w:tc>
        <w:tc>
          <w:tcPr>
            <w:tcW w:type="dxa" w:w="2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Self-perceived behavioral frequency across 40 bipolar pairs</w:t>
            </w:r>
          </w:p>
        </w:tc>
        <w:tc>
          <w:tcPr>
            <w:tcW w:type="dxa" w:w="2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Provides scaled baseline; partially mitigated by Section B and C cross-checks</w:t>
            </w:r>
          </w:p>
        </w:tc>
        <w:tc>
          <w:tcPr>
            <w:tcW w:type="dxa" w:w="20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Central tendency, Acquiescence bias</w:t>
            </w:r>
          </w:p>
        </w:tc>
      </w:tr>
      <w:tr>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Forced Ranking
(Section B)</w:t>
            </w:r>
          </w:p>
        </w:tc>
        <w:tc>
          <w:tcPr>
            <w:tcW w:type="dxa" w:w="2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Mental model of what drives success — eliminates 'All 5s' problem</w:t>
            </w:r>
          </w:p>
        </w:tc>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Cannot be gamed with uniform responses; must produce unique distribution</w:t>
            </w:r>
          </w:p>
        </w:tc>
        <w:tc>
          <w:tcPr>
            <w:tcW w:type="dxa" w:w="20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Straight-lining, Central tendency</w:t>
            </w:r>
          </w:p>
        </w:tc>
      </w:tr>
      <w:tr>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Scenario Ranking
(Section C)</w:t>
            </w:r>
          </w:p>
        </w:tc>
        <w:tc>
          <w:tcPr>
            <w:tcW w:type="dxa" w:w="2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Default behavioral autopilot under realistic situational pressure</w:t>
            </w:r>
          </w:p>
        </w:tc>
        <w:tc>
          <w:tcPr>
            <w:tcW w:type="dxa" w:w="2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No single obviously 'correct' answer; bypasses most social desirability</w:t>
            </w:r>
          </w:p>
        </w:tc>
        <w:tc>
          <w:tcPr>
            <w:tcW w:type="dxa" w:w="20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Framing bias (mitigated by neutral language)</w:t>
            </w:r>
          </w:p>
        </w:tc>
      </w:tr>
      <w:tr>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Open-Ended Narratives
(Section D)</w:t>
            </w:r>
          </w:p>
        </w:tc>
        <w:tc>
          <w:tcPr>
            <w:tcW w:type="dxa" w:w="2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Agency, attribution style, and authentic language for interview design</w:t>
            </w:r>
          </w:p>
        </w:tc>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Reveals genuine mental models; provides coding corpus for Phase 1</w:t>
            </w:r>
          </w:p>
        </w:tc>
        <w:tc>
          <w:tcPr>
            <w:tcW w:type="dxa" w:w="20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Social desirability (mitigated by verb-density coding)</w:t>
            </w:r>
          </w:p>
        </w:tc>
      </w:tr>
    </w:tbl>
    <w:p>
      <w:pPr>
        <w:spacing w:after="120" w:before="0"/>
      </w:pPr>
    </w:p>
    <w:p>
      <w:pPr>
        <w:pStyle w:val="Heading2"/>
        <w:spacing w:after="120" w:before="280"/>
      </w:pPr>
      <w:r>
        <w:rPr>
          <w:rFonts w:ascii="Arial" w:cs="Arial" w:eastAsia="Arial" w:hAnsi="Arial"/>
          <w:b/>
          <w:bCs/>
          <w:color w:val="1A6DD4"/>
          <w:sz w:val="26"/>
          <w:szCs w:val="26"/>
        </w:rPr>
        <w:t xml:space="preserve">3.2  Section-Level Architecture</w:t>
      </w:r>
    </w:p>
    <w:p>
      <w:pPr>
        <w:spacing w:after="60" w:before="60"/>
        <w:jc w:val="left"/>
      </w:pPr>
      <w:r>
        <w:rPr>
          <w:rFonts w:ascii="Arial" w:cs="Arial" w:eastAsia="Arial" w:hAnsi="Arial"/>
          <w:b w:val="false"/>
          <w:bCs w:val="false"/>
          <w:i w:val="false"/>
          <w:iCs w:val="false"/>
          <w:color w:val="000000"/>
          <w:sz w:val="22"/>
          <w:szCs w:val="22"/>
        </w:rPr>
        <w:t xml:space="preserve">The survey is divided into five sections. The total number of fields is 81. Expected completion time is approximately 36–37 minutes.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1200"/>
        <w:gridCol w:w="900"/>
        <w:gridCol w:w="2260"/>
      </w:tblGrid>
      <w:tr>
        <w:tc>
          <w:tcPr>
            <w:tcW w:type="dxa" w:w="7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w:t>
            </w:r>
          </w:p>
        </w:tc>
        <w:tc>
          <w:tcPr>
            <w:tcW w:type="dxa" w:w="19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 Name</w:t>
            </w:r>
          </w:p>
        </w:tc>
        <w:tc>
          <w:tcPr>
            <w:tcW w:type="dxa" w:w="24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12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Items</w:t>
            </w:r>
          </w:p>
        </w:tc>
        <w:tc>
          <w:tcPr>
            <w:tcW w:type="dxa" w:w="9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c>
          <w:tcPr>
            <w:tcW w:type="dxa" w:w="22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Captures</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A</w:t>
            </w:r>
          </w:p>
        </w:tc>
        <w:tc>
          <w:tcPr>
            <w:tcW w:type="dxa" w:w="1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Work Style Profile</w:t>
            </w:r>
          </w:p>
        </w:tc>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Semantic Differential
(1–5 bipolar, no neutral)</w:t>
            </w:r>
          </w:p>
        </w:tc>
        <w:tc>
          <w:tcPr>
            <w:tcW w:type="dxa" w:w="1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40</w:t>
            </w:r>
          </w:p>
        </w:tc>
        <w:tc>
          <w:tcPr>
            <w:tcW w:type="dxa" w:w="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~15 min</w:t>
            </w:r>
          </w:p>
        </w:tc>
        <w:tc>
          <w:tcPr>
            <w:tcW w:type="dxa" w:w="2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Self-perceived behavioral frequency</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B</w:t>
            </w:r>
          </w:p>
        </w:tc>
        <w:tc>
          <w:tcPr>
            <w:tcW w:type="dxa" w:w="19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Theory of Success</w:t>
            </w:r>
          </w:p>
        </w:tc>
        <w:tc>
          <w:tcPr>
            <w:tcW w:type="dxa" w:w="24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Forced Ranking (1–10, no ties)
+ Top 3 Cross-Check</w:t>
            </w:r>
          </w:p>
        </w:tc>
        <w:tc>
          <w:tcPr>
            <w:tcW w:type="dxa" w:w="1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10 + 3</w:t>
            </w:r>
          </w:p>
        </w:tc>
        <w:tc>
          <w:tcPr>
            <w:tcW w:type="dxa" w:w="9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~5 min</w:t>
            </w:r>
          </w:p>
        </w:tc>
        <w:tc>
          <w:tcPr>
            <w:tcW w:type="dxa" w:w="2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Mental model of what drives success</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w:t>
            </w:r>
          </w:p>
        </w:tc>
        <w:tc>
          <w:tcPr>
            <w:tcW w:type="dxa" w:w="1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Behavioral Scenarios</w:t>
            </w:r>
          </w:p>
        </w:tc>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Situational Judgment
(Rank 4 options per scenario)</w:t>
            </w:r>
          </w:p>
        </w:tc>
        <w:tc>
          <w:tcPr>
            <w:tcW w:type="dxa" w:w="1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3 scenarios
(×4 options)</w:t>
            </w:r>
          </w:p>
        </w:tc>
        <w:tc>
          <w:tcPr>
            <w:tcW w:type="dxa" w:w="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~6 min</w:t>
            </w:r>
          </w:p>
        </w:tc>
        <w:tc>
          <w:tcPr>
            <w:tcW w:type="dxa" w:w="2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Default behavior under realistic pressure</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D</w:t>
            </w:r>
          </w:p>
        </w:tc>
        <w:tc>
          <w:tcPr>
            <w:tcW w:type="dxa" w:w="19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Personal Reflections</w:t>
            </w:r>
          </w:p>
        </w:tc>
        <w:tc>
          <w:tcPr>
            <w:tcW w:type="dxa" w:w="24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Open-Ended STAR Narratives
(3–5 sentences each)</w:t>
            </w:r>
          </w:p>
        </w:tc>
        <w:tc>
          <w:tcPr>
            <w:tcW w:type="dxa" w:w="1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5</w:t>
            </w:r>
          </w:p>
        </w:tc>
        <w:tc>
          <w:tcPr>
            <w:tcW w:type="dxa" w:w="9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~10 min</w:t>
            </w:r>
          </w:p>
        </w:tc>
        <w:tc>
          <w:tcPr>
            <w:tcW w:type="dxa" w:w="2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Agency, attribution, self-awareness, and coding language</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E</w:t>
            </w:r>
          </w:p>
        </w:tc>
        <w:tc>
          <w:tcPr>
            <w:tcW w:type="dxa" w:w="1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Contextual Demographics</w:t>
            </w:r>
          </w:p>
        </w:tc>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Dropdown / Selection</w:t>
            </w:r>
          </w:p>
        </w:tc>
        <w:tc>
          <w:tcPr>
            <w:tcW w:type="dxa" w:w="1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4</w:t>
            </w:r>
          </w:p>
        </w:tc>
        <w:tc>
          <w:tcPr>
            <w:tcW w:type="dxa" w:w="9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 min</w:t>
            </w:r>
          </w:p>
        </w:tc>
        <w:tc>
          <w:tcPr>
            <w:tcW w:type="dxa" w:w="2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Work hours, direct reports, cross-functional involvement, job level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DD4" w:sz="4"/>
              <w:left w:val="single" w:color="1A6DD4" w:sz="12"/>
              <w:bottom w:val="single" w:color="CCDDEF" w:sz="1"/>
              <w:right w:val="single" w:color="CCDDEF" w:sz="1"/>
            </w:tcBorders>
            <w:shd w:fill="E8F0FB" w:val="clear"/>
            <w:tcMar>
              <w:top w:type="dxa" w:w="140"/>
              <w:left w:type="dxa" w:w="200"/>
              <w:bottom w:type="dxa" w:w="140"/>
              <w:right w:type="dxa" w:w="200"/>
            </w:tcMar>
          </w:tcPr>
          <w:p>
            <w:pPr>
              <w:spacing w:after="60" w:before="0"/>
            </w:pPr>
            <w:r>
              <w:rPr>
                <w:rFonts w:ascii="Arial" w:cs="Arial" w:eastAsia="Arial" w:hAnsi="Arial"/>
                <w:b/>
                <w:bCs/>
                <w:color w:val="1A6DD4"/>
                <w:sz w:val="22"/>
                <w:szCs w:val="22"/>
              </w:rPr>
              <w:t xml:space="preserve">Note on Deployment Platform</w:t>
            </w:r>
          </w:p>
          <w:p>
            <w:pPr>
              <w:spacing w:after="40" w:before="40"/>
            </w:pPr>
            <w:r>
              <w:rPr>
                <w:rFonts w:ascii="Arial" w:cs="Arial" w:eastAsia="Arial" w:hAnsi="Arial"/>
                <w:color w:val="0B2A44"/>
                <w:sz w:val="20"/>
                <w:szCs w:val="20"/>
              </w:rPr>
              <w:t xml:space="preserve">The HTML prototype of this survey uses a Semantic Differential format (opposing behavioral anchors on a 1–5 scale with no neutral midpoint). The live Microsoft Forms deployment adapts this to a standard Likert scale due to platform constraints. All item content — the behavioral statements and their competency mapping — is identical across both formats. The HTML prototype serves as the design specification; Microsoft Forms is the deployment vehicle.</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4.  Competency Selection Rationale</w:t>
      </w:r>
    </w:p>
    <w:p>
      <w:pPr>
        <w:pStyle w:val="Heading2"/>
        <w:spacing w:after="120" w:before="280"/>
      </w:pPr>
      <w:r>
        <w:rPr>
          <w:rFonts w:ascii="Arial" w:cs="Arial" w:eastAsia="Arial" w:hAnsi="Arial"/>
          <w:b/>
          <w:bCs/>
          <w:color w:val="1A6DD4"/>
          <w:sz w:val="26"/>
          <w:szCs w:val="26"/>
        </w:rPr>
        <w:t xml:space="preserve">4.1  Why Exactly 10 Competencies?</w:t>
      </w:r>
    </w:p>
    <w:p>
      <w:pPr>
        <w:spacing w:after="60" w:before="60"/>
        <w:jc w:val="left"/>
      </w:pPr>
      <w:r>
        <w:rPr>
          <w:rFonts w:ascii="Arial" w:cs="Arial" w:eastAsia="Arial" w:hAnsi="Arial"/>
          <w:b w:val="false"/>
          <w:bCs w:val="false"/>
          <w:i w:val="false"/>
          <w:iCs w:val="false"/>
          <w:color w:val="000000"/>
          <w:sz w:val="22"/>
          <w:szCs w:val="22"/>
        </w:rPr>
        <w:t xml:space="preserve">The selection of exactly 10 competencies reflects a deliberate balance across three considerations:</w:t>
      </w:r>
    </w:p>
    <w:p>
      <w:pPr>
        <w:pStyle w:val="ListParagraph"/>
        <w:numPr>
          <w:ilvl w:val="0"/>
          <w:numId w:val="3"/>
        </w:numPr>
        <w:spacing w:after="40" w:before="40"/>
      </w:pPr>
      <w:r>
        <w:rPr>
          <w:rFonts w:ascii="Arial" w:cs="Arial" w:eastAsia="Arial" w:hAnsi="Arial"/>
          <w:sz w:val="22"/>
          <w:szCs w:val="22"/>
        </w:rPr>
        <w:t xml:space="preserve">Statistical Reliability: Each competency is measured by 4 Section A items, providing the minimum data required to calculate Cronbach's Alpha (internal consistency reliability). Fewer than 3 items per construct makes reliability assessment unreliable. More than 5 items per competency adds respondent fatigue with negligible reliability gain.</w:t>
      </w:r>
    </w:p>
    <w:p>
      <w:pPr>
        <w:pStyle w:val="ListParagraph"/>
        <w:numPr>
          <w:ilvl w:val="0"/>
          <w:numId w:val="3"/>
        </w:numPr>
        <w:spacing w:after="40" w:before="40"/>
      </w:pPr>
      <w:r>
        <w:rPr>
          <w:rFonts w:ascii="Arial" w:cs="Arial" w:eastAsia="Arial" w:hAnsi="Arial"/>
          <w:sz w:val="22"/>
          <w:szCs w:val="22"/>
        </w:rPr>
        <w:t xml:space="preserve">Coverage of Performance Pillars: 10 competencies map comprehensively across all three performance pillars (Task / Contextual / Adaptive), ensuring no critical domain is unrepresented.</w:t>
      </w:r>
    </w:p>
    <w:p>
      <w:pPr>
        <w:pStyle w:val="ListParagraph"/>
        <w:numPr>
          <w:ilvl w:val="0"/>
          <w:numId w:val="3"/>
        </w:numPr>
        <w:spacing w:after="40" w:before="40"/>
      </w:pPr>
      <w:r>
        <w:rPr>
          <w:rFonts w:ascii="Arial" w:cs="Arial" w:eastAsia="Arial" w:hAnsi="Arial"/>
          <w:sz w:val="22"/>
          <w:szCs w:val="22"/>
        </w:rPr>
        <w:t xml:space="preserve">Cognitive Load &amp; Respondent Fatigue: Research on survey design (Miller's Law) shows that respondents can reliably differentiate among a maximum of 10–12 constructs in a single session. Beyond 12 competencies, response quality degrades measurably — each additional construct adds approximately 1–2% predictive power but costs 15–20% in respondent attention and response integrity. Ten competencies is the optimal ceiling given the 36-minute total instrument length.</w:t>
      </w:r>
    </w:p>
    <w:p>
      <w:pPr>
        <w:spacing w:after="120" w:before="0"/>
      </w:pPr>
    </w:p>
    <w:p>
      <w:pPr>
        <w:pStyle w:val="Heading2"/>
        <w:spacing w:after="120" w:before="280"/>
      </w:pPr>
      <w:r>
        <w:rPr>
          <w:rFonts w:ascii="Arial" w:cs="Arial" w:eastAsia="Arial" w:hAnsi="Arial"/>
          <w:b/>
          <w:bCs/>
          <w:color w:val="1A6DD4"/>
          <w:sz w:val="26"/>
          <w:szCs w:val="26"/>
        </w:rPr>
        <w:t xml:space="preserve">4.2  Competency Framework Definition</w:t>
      </w:r>
    </w:p>
    <w:p>
      <w:pPr>
        <w:spacing w:after="60" w:before="60"/>
        <w:jc w:val="left"/>
      </w:pPr>
      <w:r>
        <w:rPr>
          <w:rFonts w:ascii="Arial" w:cs="Arial" w:eastAsia="Arial" w:hAnsi="Arial"/>
          <w:b w:val="false"/>
          <w:bCs w:val="false"/>
          <w:i w:val="false"/>
          <w:iCs w:val="false"/>
          <w:color w:val="000000"/>
          <w:sz w:val="22"/>
          <w:szCs w:val="22"/>
        </w:rPr>
        <w:t xml:space="preserve">The 10 competencies were selected based on a synthesis of (a) the original stakeholder interview findings from File B structural plan analysis, (b) established competency literature (Lominger Leadership Architect, 67 competencies), and (c) the behavioral patterns surfaced in JioCX stay and exit interview data (INF-01 through INF-12 from Phase 1 Completion Report). Each competency is precisely defined: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860"/>
        <w:gridCol w:w="1800"/>
      </w:tblGrid>
      <w:tr>
        <w:tc>
          <w:tcPr>
            <w:tcW w:type="dxa" w:w="7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c>
          <w:tcPr>
            <w:tcW w:type="dxa" w:w="2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Competency</w:t>
            </w:r>
          </w:p>
        </w:tc>
        <w:tc>
          <w:tcPr>
            <w:tcW w:type="dxa" w:w="48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1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Pillar</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EE</w:t>
            </w:r>
          </w:p>
        </w:tc>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Execution Excellence</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Delivers results with consistent speed, quality, and personal accountability under varying conditions.</w:t>
            </w:r>
          </w:p>
        </w:tc>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Task</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ST</w:t>
            </w:r>
          </w:p>
        </w:tc>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Strategic Thinking</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Connects daily work to broader organizational goals and anticipates future developments.</w:t>
            </w:r>
          </w:p>
        </w:tc>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Adaptive</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LA</w:t>
            </w:r>
          </w:p>
        </w:tc>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Learning Agility</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Proactively acquires new skills, processes feedback, and adapts rapidly to new challenges.</w:t>
            </w:r>
          </w:p>
        </w:tc>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Adaptive</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CI</w:t>
            </w:r>
          </w:p>
        </w:tc>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Collaboration &amp; Influence</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Builds productive cross-functional relationships and achieves outcomes without formal authority.</w:t>
            </w:r>
          </w:p>
        </w:tc>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Contextual</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PS</w:t>
            </w:r>
          </w:p>
        </w:tc>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Problem Solving</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Structures ambiguous problems, evaluates alternatives, and uses evidence-based reasoning.</w:t>
            </w:r>
          </w:p>
        </w:tc>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Task</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DI</w:t>
            </w:r>
          </w:p>
        </w:tc>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Drive &amp; Initiative</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Self-starts, persists through obstacles, and consistently exceeds formal expectations.</w:t>
            </w:r>
          </w:p>
        </w:tc>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Task</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PL</w:t>
            </w:r>
          </w:p>
        </w:tc>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People Leadership</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Invests in developing others, provides candid feedback, and creates enabling conditions for team success.</w:t>
            </w:r>
          </w:p>
        </w:tc>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Contextual</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CM</w:t>
            </w:r>
          </w:p>
        </w:tc>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Communication</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Presents ideas clearly, adapts to audiences, listens actively, and delivers difficult messages directly.</w:t>
            </w:r>
          </w:p>
        </w:tc>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Adaptive</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RE</w:t>
            </w:r>
          </w:p>
        </w:tc>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Resilience</w:t>
            </w:r>
          </w:p>
        </w:tc>
        <w:tc>
          <w:tcPr>
            <w:tcW w:type="dxa" w:w="48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Maintains performance and composure under pressure and recovers rapidly from setbacks.</w:t>
            </w:r>
          </w:p>
        </w:tc>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Adaptive</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CO</w:t>
            </w:r>
          </w:p>
        </w:tc>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Customer Orientation</w:t>
            </w:r>
          </w:p>
        </w:tc>
        <w:tc>
          <w:tcPr>
            <w:tcW w:type="dxa" w:w="48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Understands and proactively serves stakeholders' underlying needs; maintains consistent reliability.</w:t>
            </w:r>
          </w:p>
        </w:tc>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Contextual</w:t>
            </w:r>
          </w:p>
        </w:tc>
      </w:tr>
    </w:tbl>
    <w:p>
      <w:pPr>
        <w:spacing w:after="120" w:before="0"/>
      </w:pPr>
    </w:p>
    <w:p>
      <w:pPr>
        <w:pStyle w:val="Heading2"/>
        <w:spacing w:after="120" w:before="280"/>
      </w:pPr>
      <w:r>
        <w:rPr>
          <w:rFonts w:ascii="Arial" w:cs="Arial" w:eastAsia="Arial" w:hAnsi="Arial"/>
          <w:b/>
          <w:bCs/>
          <w:color w:val="1A6DD4"/>
          <w:sz w:val="26"/>
          <w:szCs w:val="26"/>
        </w:rPr>
        <w:t xml:space="preserve">4.3  Mapping to Performance Pillars</w:t>
      </w:r>
    </w:p>
    <w:p>
      <w:pPr>
        <w:spacing w:after="60" w:before="60"/>
        <w:jc w:val="left"/>
      </w:pPr>
      <w:r>
        <w:rPr>
          <w:rFonts w:ascii="Arial" w:cs="Arial" w:eastAsia="Arial" w:hAnsi="Arial"/>
          <w:b w:val="false"/>
          <w:bCs w:val="false"/>
          <w:i w:val="false"/>
          <w:iCs w:val="false"/>
          <w:color w:val="000000"/>
          <w:sz w:val="22"/>
          <w:szCs w:val="22"/>
        </w:rPr>
        <w:t xml:space="preserve">The three-pillar mapping below confirms that the competency framework provides comprehensive coverage of all performance domains and does not cluster competencies within a single pillar: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Performance Pillar</w:t>
            </w:r>
          </w:p>
        </w:tc>
        <w:tc>
          <w:tcPr>
            <w:tcW w:type="dxa" w:w="39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36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Mapped Competencies</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Task Performance</w:t>
            </w:r>
          </w:p>
        </w:tc>
        <w:tc>
          <w:tcPr>
            <w:tcW w:type="dxa" w:w="3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Proficiency with which the employee performs core technical and functional role requirements.</w:t>
            </w:r>
          </w:p>
        </w:tc>
        <w:tc>
          <w:tcPr>
            <w:tcW w:type="dxa" w:w="3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EE (Execution Excellence), PS (Problem Solving), DI (Drive &amp; Initiative)</w:t>
            </w:r>
          </w:p>
        </w:tc>
      </w:tr>
      <w:tr>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Contextual Performance</w:t>
            </w:r>
          </w:p>
        </w:tc>
        <w:tc>
          <w:tcPr>
            <w:tcW w:type="dxa" w:w="39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Behaviors that support the organizational, social, and psychological environment — cooperation, helping others, team cohesion.</w:t>
            </w:r>
          </w:p>
        </w:tc>
        <w:tc>
          <w:tcPr>
            <w:tcW w:type="dxa" w:w="3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CI (Collaboration &amp; Influence), PL (People Leadership), CO (Customer Orientation)</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Adaptive Performance</w:t>
            </w:r>
          </w:p>
        </w:tc>
        <w:tc>
          <w:tcPr>
            <w:tcW w:type="dxa" w:w="3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Ability to handle change, learn from experience, and respond effectively to novel or ambiguous situations.</w:t>
            </w:r>
          </w:p>
        </w:tc>
        <w:tc>
          <w:tcPr>
            <w:tcW w:type="dxa" w:w="3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LA (Learning Agility), RE (Resilience), ST (Strategic Thinking), CM (Communication)</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5.  Item Design Methodology (Section-by-Section)</w:t>
      </w:r>
    </w:p>
    <w:p>
      <w:pPr>
        <w:pStyle w:val="Heading2"/>
        <w:spacing w:after="120" w:before="280"/>
      </w:pPr>
      <w:r>
        <w:rPr>
          <w:rFonts w:ascii="Arial" w:cs="Arial" w:eastAsia="Arial" w:hAnsi="Arial"/>
          <w:b/>
          <w:bCs/>
          <w:color w:val="1A6DD4"/>
          <w:sz w:val="26"/>
          <w:szCs w:val="26"/>
        </w:rPr>
        <w:t xml:space="preserve">5.1  Section A: Behavioral Frequency (Semantic Differential / Modified Likert)</w:t>
      </w:r>
    </w:p>
    <w:p>
      <w:pPr>
        <w:spacing w:after="80" w:before="200"/>
      </w:pPr>
      <w:r>
        <w:rPr>
          <w:rFonts w:ascii="Arial" w:cs="Arial" w:eastAsia="Arial" w:hAnsi="Arial"/>
          <w:b/>
          <w:bCs/>
          <w:color w:val="0B2A44"/>
          <w:sz w:val="22"/>
          <w:szCs w:val="22"/>
        </w:rPr>
        <w:t xml:space="preserve">Rationale for Format</w:t>
      </w:r>
    </w:p>
    <w:p>
      <w:pPr>
        <w:spacing w:after="60" w:before="60"/>
        <w:jc w:val="left"/>
      </w:pPr>
      <w:r>
        <w:rPr>
          <w:rFonts w:ascii="Arial" w:cs="Arial" w:eastAsia="Arial" w:hAnsi="Arial"/>
          <w:b w:val="false"/>
          <w:bCs w:val="false"/>
          <w:i w:val="false"/>
          <w:iCs w:val="false"/>
          <w:color w:val="000000"/>
          <w:sz w:val="22"/>
          <w:szCs w:val="22"/>
        </w:rPr>
        <w:t xml:space="preserve">The survey prototype uses a Semantic Differential format: 40 bipolar pairs where each item presents a clearly low-performance behavioral statement on the left and a clearly high-performance statement on the right. Respondents select a point on a 1–5 scale, with no neutral midpoint available ("no cop-out" instruction). This design forces commitment and dramatically reduces central tendency bias compared to a standard Likert scale.</w:t>
      </w:r>
    </w:p>
    <w:p>
      <w:pPr>
        <w:spacing w:after="60" w:before="60"/>
        <w:jc w:val="left"/>
      </w:pPr>
      <w:r>
        <w:rPr>
          <w:rFonts w:ascii="Arial" w:cs="Arial" w:eastAsia="Arial" w:hAnsi="Arial"/>
          <w:b w:val="false"/>
          <w:bCs w:val="false"/>
          <w:i w:val="false"/>
          <w:iCs w:val="false"/>
          <w:color w:val="000000"/>
          <w:sz w:val="22"/>
          <w:szCs w:val="22"/>
        </w:rPr>
        <w:t xml:space="preserve">In the Microsoft Forms live deployment, this is implemented as a 1–5 Likert scale (Strongly Disagree to Strongly Agree) due to platform limitations. The item content is identical; only the visual presentation format changes.</w:t>
      </w:r>
    </w:p>
    <w:p>
      <w:pPr>
        <w:spacing w:after="60" w:before="0"/>
      </w:pPr>
    </w:p>
    <w:p>
      <w:pPr>
        <w:spacing w:after="80" w:before="200"/>
      </w:pPr>
      <w:r>
        <w:rPr>
          <w:rFonts w:ascii="Arial" w:cs="Arial" w:eastAsia="Arial" w:hAnsi="Arial"/>
          <w:b/>
          <w:bCs/>
          <w:color w:val="0B2A44"/>
          <w:sz w:val="22"/>
          <w:szCs w:val="22"/>
        </w:rPr>
        <w:t xml:space="preserve">Why 40 Items?</w:t>
      </w:r>
    </w:p>
    <w:p>
      <w:pPr>
        <w:spacing w:after="60" w:before="60"/>
        <w:jc w:val="left"/>
      </w:pPr>
      <w:r>
        <w:rPr>
          <w:rFonts w:ascii="Arial" w:cs="Arial" w:eastAsia="Arial" w:hAnsi="Arial"/>
          <w:b w:val="false"/>
          <w:bCs w:val="false"/>
          <w:i w:val="false"/>
          <w:iCs w:val="false"/>
          <w:color w:val="000000"/>
          <w:sz w:val="22"/>
          <w:szCs w:val="22"/>
        </w:rPr>
        <w:t xml:space="preserve">Four items per competency is the minimum threshold for reliable internal consistency calculation (Cronbach's Alpha). Asking fewer than 3 items per construct makes it impossible to assess whether items are consistently measuring the same underlying behavior. Asking more than 5 items per competency adds significant respondent fatigue with diminishing returns on reliability — typically less than 0.02 improvement in Cronbach's Alpha per additional item beyond the fourth.</w:t>
      </w:r>
    </w:p>
    <w:p>
      <w:pPr>
        <w:spacing w:after="60" w:before="0"/>
      </w:pPr>
    </w:p>
    <w:p>
      <w:pPr>
        <w:spacing w:after="80" w:before="200"/>
      </w:pPr>
      <w:r>
        <w:rPr>
          <w:rFonts w:ascii="Arial" w:cs="Arial" w:eastAsia="Arial" w:hAnsi="Arial"/>
          <w:b/>
          <w:bCs/>
          <w:color w:val="0B2A44"/>
          <w:sz w:val="22"/>
          <w:szCs w:val="22"/>
        </w:rPr>
        <w:t xml:space="preserve">Item Sequencing Rationale</w:t>
      </w:r>
    </w:p>
    <w:p>
      <w:pPr>
        <w:spacing w:after="60" w:before="60"/>
        <w:jc w:val="left"/>
      </w:pPr>
      <w:r>
        <w:rPr>
          <w:rFonts w:ascii="Arial" w:cs="Arial" w:eastAsia="Arial" w:hAnsi="Arial"/>
          <w:b w:val="false"/>
          <w:bCs w:val="false"/>
          <w:i w:val="false"/>
          <w:iCs w:val="false"/>
          <w:color w:val="000000"/>
          <w:sz w:val="22"/>
          <w:szCs w:val="22"/>
        </w:rPr>
        <w:t xml:space="preserve">Items are mixed across competency groups in the survey interface — respondents do not see all Resilience items together, for example. This prevents the Halo Effect, where answering favorably on one item within a cluster biases all subsequent answers in the same cluster. Items are grouped by competency only in this methodology document for analytical clarity.</w:t>
      </w:r>
    </w:p>
    <w:p>
      <w:pPr>
        <w:spacing w:after="60" w:before="0"/>
      </w:pPr>
    </w:p>
    <w:p>
      <w:pPr>
        <w:spacing w:after="80" w:before="200"/>
      </w:pPr>
      <w:r>
        <w:rPr>
          <w:rFonts w:ascii="Arial" w:cs="Arial" w:eastAsia="Arial" w:hAnsi="Arial"/>
          <w:b/>
          <w:bCs/>
          <w:color w:val="0B2A44"/>
          <w:sz w:val="22"/>
          <w:szCs w:val="22"/>
        </w:rPr>
        <w:t xml:space="preserve">Level Adaptation</w:t>
      </w:r>
    </w:p>
    <w:p>
      <w:pPr>
        <w:spacing w:after="60" w:before="60"/>
        <w:jc w:val="left"/>
      </w:pPr>
      <w:r>
        <w:rPr>
          <w:rFonts w:ascii="Arial" w:cs="Arial" w:eastAsia="Arial" w:hAnsi="Arial"/>
          <w:b w:val="false"/>
          <w:bCs w:val="false"/>
          <w:i w:val="false"/>
          <w:iCs w:val="false"/>
          <w:color w:val="000000"/>
          <w:sz w:val="22"/>
          <w:szCs w:val="22"/>
        </w:rPr>
        <w:t xml:space="preserve">All 40 items are re-written for each of the three job levels. Junior/Executive items use first-person singular language ("I deliver...", "I anticipate..."). Manager/Team Lead items shift to team-level language ("My team consistently delivers...", "I set clear goals for my team..."). Leader/VP+ items escalate to organizational language ("I anchor decisions to the company mission...", "I drive enterprise-wide transformation..."). This ensures the behavioral benchmarks are appropriate to the respondent's actual scope of work.</w:t>
      </w:r>
    </w:p>
    <w:p>
      <w:pPr>
        <w:spacing w:after="120" w:before="0"/>
      </w:pPr>
    </w:p>
    <w:p>
      <w:pPr>
        <w:pStyle w:val="Heading2"/>
        <w:spacing w:after="120" w:before="280"/>
      </w:pPr>
      <w:r>
        <w:rPr>
          <w:rFonts w:ascii="Arial" w:cs="Arial" w:eastAsia="Arial" w:hAnsi="Arial"/>
          <w:b/>
          <w:bCs/>
          <w:color w:val="1A6DD4"/>
          <w:sz w:val="26"/>
          <w:szCs w:val="26"/>
        </w:rPr>
        <w:t xml:space="preserve">5.2  Section B: Forced Ranking (1 to 10) + Top 3 Cross-Check</w:t>
      </w:r>
    </w:p>
    <w:p>
      <w:pPr>
        <w:spacing w:after="80" w:before="200"/>
      </w:pPr>
      <w:r>
        <w:rPr>
          <w:rFonts w:ascii="Arial" w:cs="Arial" w:eastAsia="Arial" w:hAnsi="Arial"/>
          <w:b/>
          <w:bCs/>
          <w:color w:val="0B2A44"/>
          <w:sz w:val="22"/>
          <w:szCs w:val="22"/>
        </w:rPr>
        <w:t xml:space="preserve">Rationale for Format</w:t>
      </w:r>
    </w:p>
    <w:p>
      <w:pPr>
        <w:spacing w:after="60" w:before="60"/>
        <w:jc w:val="left"/>
      </w:pPr>
      <w:r>
        <w:rPr>
          <w:rFonts w:ascii="Arial" w:cs="Arial" w:eastAsia="Arial" w:hAnsi="Arial"/>
          <w:b w:val="false"/>
          <w:bCs w:val="false"/>
          <w:i w:val="false"/>
          <w:iCs w:val="false"/>
          <w:color w:val="000000"/>
          <w:sz w:val="22"/>
          <w:szCs w:val="22"/>
        </w:rPr>
        <w:t xml:space="preserve">Section B is the most critical methodological innovation in the survey. Instead of asking respondents to rate each of 10 competencies on a 1–5 scale (which reliably produces "All 5s" responses due to social desirability), respondents are forced to rank the competencies from 1 (most critical for success in their role) to 10 (least critical), with no ties permitted.</w:t>
      </w:r>
    </w:p>
    <w:p>
      <w:pPr>
        <w:pStyle w:val="ListParagraph"/>
        <w:numPr>
          <w:ilvl w:val="0"/>
          <w:numId w:val="2"/>
        </w:numPr>
        <w:spacing w:after="40" w:before="40"/>
      </w:pPr>
      <w:r>
        <w:rPr>
          <w:rFonts w:ascii="Arial" w:cs="Arial" w:eastAsia="Arial" w:hAnsi="Arial"/>
          <w:sz w:val="22"/>
          <w:szCs w:val="22"/>
        </w:rPr>
        <w:t xml:space="preserve">Eliminates Straight-Lining: Every respondent must produce a unique distribution across all 10 competencies.</w:t>
      </w:r>
    </w:p>
    <w:p>
      <w:pPr>
        <w:pStyle w:val="ListParagraph"/>
        <w:numPr>
          <w:ilvl w:val="0"/>
          <w:numId w:val="2"/>
        </w:numPr>
        <w:spacing w:after="40" w:before="40"/>
      </w:pPr>
      <w:r>
        <w:rPr>
          <w:rFonts w:ascii="Arial" w:cs="Arial" w:eastAsia="Arial" w:hAnsi="Arial"/>
          <w:sz w:val="22"/>
          <w:szCs w:val="22"/>
        </w:rPr>
        <w:t xml:space="preserve">Reveals Mental Model of Success: Shows not just what they think is important, but what they think is most important relative to everything else.</w:t>
      </w:r>
    </w:p>
    <w:p>
      <w:pPr>
        <w:pStyle w:val="ListParagraph"/>
        <w:numPr>
          <w:ilvl w:val="0"/>
          <w:numId w:val="2"/>
        </w:numPr>
        <w:spacing w:after="40" w:before="40"/>
      </w:pPr>
      <w:r>
        <w:rPr>
          <w:rFonts w:ascii="Arial" w:cs="Arial" w:eastAsia="Arial" w:hAnsi="Arial"/>
          <w:sz w:val="22"/>
          <w:szCs w:val="22"/>
        </w:rPr>
        <w:t xml:space="preserve">Belief-Behavior Gap: When Section B rank for a competency diverges from Section A behavioral score for the same competency, this is analytically significant — it identifies blind spots (high belief, low behavior) and underconfidence (low belief, high behavior).</w:t>
      </w:r>
    </w:p>
    <w:p>
      <w:pPr>
        <w:spacing w:after="60" w:before="0"/>
      </w:pPr>
    </w:p>
    <w:p>
      <w:pPr>
        <w:spacing w:after="80" w:before="200"/>
      </w:pPr>
      <w:r>
        <w:rPr>
          <w:rFonts w:ascii="Arial" w:cs="Arial" w:eastAsia="Arial" w:hAnsi="Arial"/>
          <w:b/>
          <w:bCs/>
          <w:color w:val="0B2A44"/>
          <w:sz w:val="22"/>
          <w:szCs w:val="22"/>
        </w:rPr>
        <w:t xml:space="preserve">The Top 3 Cross-Check</w:t>
      </w:r>
    </w:p>
    <w:p>
      <w:pPr>
        <w:spacing w:after="60" w:before="60"/>
        <w:jc w:val="left"/>
      </w:pPr>
      <w:r>
        <w:rPr>
          <w:rFonts w:ascii="Arial" w:cs="Arial" w:eastAsia="Arial" w:hAnsi="Arial"/>
          <w:b w:val="false"/>
          <w:bCs w:val="false"/>
          <w:i w:val="false"/>
          <w:iCs w:val="false"/>
          <w:color w:val="000000"/>
          <w:sz w:val="22"/>
          <w:szCs w:val="22"/>
        </w:rPr>
        <w:t xml:space="preserve">The forced ranking (1–10) is a reflective, effortful process. The Top 3 checkbox is a rapid, intuitive check completed immediately after. Comparing the two responses reveals cognitive inconsistency: if a respondent ranks Execution Excellence as #1 but does not include it in their Top 3 checkbox selection, this indicates either rushed responding or a genuine internal conflict about what they believe matters. These cases are flagged in data cleaning.</w:t>
      </w:r>
    </w:p>
    <w:p>
      <w:pPr>
        <w:spacing w:after="60" w:before="0"/>
      </w:pPr>
    </w:p>
    <w:p>
      <w:pPr>
        <w:spacing w:after="80" w:before="200"/>
      </w:pPr>
      <w:r>
        <w:rPr>
          <w:rFonts w:ascii="Arial" w:cs="Arial" w:eastAsia="Arial" w:hAnsi="Arial"/>
          <w:b/>
          <w:bCs/>
          <w:color w:val="0B2A44"/>
          <w:sz w:val="22"/>
          <w:szCs w:val="22"/>
        </w:rPr>
        <w:t xml:space="preserve">Sequencing Rationale</w:t>
      </w:r>
    </w:p>
    <w:p>
      <w:pPr>
        <w:spacing w:after="60" w:before="60"/>
        <w:jc w:val="left"/>
      </w:pPr>
      <w:r>
        <w:rPr>
          <w:rFonts w:ascii="Arial" w:cs="Arial" w:eastAsia="Arial" w:hAnsi="Arial"/>
          <w:b w:val="false"/>
          <w:bCs w:val="false"/>
          <w:i w:val="false"/>
          <w:iCs w:val="false"/>
          <w:color w:val="000000"/>
          <w:sz w:val="22"/>
          <w:szCs w:val="22"/>
        </w:rPr>
        <w:t xml:space="preserve">Section B is placed after Section A deliberately. Completing 40 behavioral self-assessments primes respondents to think concretely about what they actually do. Section B then immediately asks them to reflect on what they believe matters most. This sequencing maximizes the analytical contrast between actual behavior and stated beliefs.</w:t>
      </w:r>
    </w:p>
    <w:p>
      <w:pPr>
        <w:spacing w:after="120" w:before="0"/>
      </w:pPr>
    </w:p>
    <w:p>
      <w:pPr>
        <w:pStyle w:val="Heading2"/>
        <w:spacing w:after="120" w:before="280"/>
      </w:pPr>
      <w:r>
        <w:rPr>
          <w:rFonts w:ascii="Arial" w:cs="Arial" w:eastAsia="Arial" w:hAnsi="Arial"/>
          <w:b/>
          <w:bCs/>
          <w:color w:val="1A6DD4"/>
          <w:sz w:val="26"/>
          <w:szCs w:val="26"/>
        </w:rPr>
        <w:t xml:space="preserve">5.3  Section C: Scenario-Based Ranking</w:t>
      </w:r>
    </w:p>
    <w:p>
      <w:pPr>
        <w:spacing w:after="80" w:before="200"/>
      </w:pPr>
      <w:r>
        <w:rPr>
          <w:rFonts w:ascii="Arial" w:cs="Arial" w:eastAsia="Arial" w:hAnsi="Arial"/>
          <w:b/>
          <w:bCs/>
          <w:color w:val="0B2A44"/>
          <w:sz w:val="22"/>
          <w:szCs w:val="22"/>
        </w:rPr>
        <w:t xml:space="preserve">Rationale for Format</w:t>
      </w:r>
    </w:p>
    <w:p>
      <w:pPr>
        <w:spacing w:after="60" w:before="60"/>
        <w:jc w:val="left"/>
      </w:pPr>
      <w:r>
        <w:rPr>
          <w:rFonts w:ascii="Arial" w:cs="Arial" w:eastAsia="Arial" w:hAnsi="Arial"/>
          <w:b w:val="false"/>
          <w:bCs w:val="false"/>
          <w:i w:val="false"/>
          <w:iCs w:val="false"/>
          <w:color w:val="000000"/>
          <w:sz w:val="22"/>
          <w:szCs w:val="22"/>
        </w:rPr>
        <w:t xml:space="preserve">Scenarios are the most bias-resistant format in the survey. Because no single response option is obviously correct, respondents reveal their genuine default behavior — their behavioral autopilot — rather than their aspirational self-description.</w:t>
      </w:r>
    </w:p>
    <w:p>
      <w:pPr>
        <w:spacing w:after="80" w:before="200"/>
      </w:pPr>
      <w:r>
        <w:rPr>
          <w:rFonts w:ascii="Arial" w:cs="Arial" w:eastAsia="Arial" w:hAnsi="Arial"/>
          <w:b/>
          <w:bCs/>
          <w:color w:val="0B2A44"/>
          <w:sz w:val="22"/>
          <w:szCs w:val="22"/>
        </w:rPr>
        <w:t xml:space="preserve">Why Ranking Instead of Single Choice?</w:t>
      </w:r>
    </w:p>
    <w:p>
      <w:pPr>
        <w:spacing w:after="60" w:before="60"/>
        <w:jc w:val="left"/>
      </w:pPr>
      <w:r>
        <w:rPr>
          <w:rFonts w:ascii="Arial" w:cs="Arial" w:eastAsia="Arial" w:hAnsi="Arial"/>
          <w:b w:val="false"/>
          <w:bCs w:val="false"/>
          <w:i w:val="false"/>
          <w:iCs w:val="false"/>
          <w:color w:val="000000"/>
          <w:sz w:val="22"/>
          <w:szCs w:val="22"/>
        </w:rPr>
        <w:t xml:space="preserve">Single choice reveals only the respondent's first preference. Full ranking reveals their complete preference ordering, including what they actively reject (the option ranked 4th). The #4 option is often more analytically revealing than the #1 option — it shows what the respondent is fundamentally unwilling to do. Ranking also forces trade-offs between options that are all plausible, making the exercise more cognitively demanding and therefore more discriminating.</w:t>
      </w:r>
    </w:p>
    <w:p>
      <w:pPr>
        <w:spacing w:after="80" w:before="200"/>
      </w:pPr>
      <w:r>
        <w:rPr>
          <w:rFonts w:ascii="Arial" w:cs="Arial" w:eastAsia="Arial" w:hAnsi="Arial"/>
          <w:b/>
          <w:bCs/>
          <w:color w:val="0B2A44"/>
          <w:sz w:val="22"/>
          <w:szCs w:val="22"/>
        </w:rPr>
        <w:t xml:space="preserve">Competency Mapping</w:t>
      </w:r>
    </w:p>
    <w:p>
      <w:pPr>
        <w:spacing w:after="60" w:before="60"/>
        <w:jc w:val="left"/>
      </w:pPr>
      <w:r>
        <w:rPr>
          <w:rFonts w:ascii="Arial" w:cs="Arial" w:eastAsia="Arial" w:hAnsi="Arial"/>
          <w:b w:val="false"/>
          <w:bCs w:val="false"/>
          <w:i w:val="false"/>
          <w:iCs w:val="false"/>
          <w:color w:val="000000"/>
          <w:sz w:val="22"/>
          <w:szCs w:val="22"/>
        </w:rPr>
        <w:t xml:space="preserve">Each scenario maps to 2–3 of the 10 competencies. For example: Scenario 1 (Competing Priorities) maps to EE, ST, and CM. Scenario 2 (Managing Underperformance / Stakeholder Conflict) maps to PL, CM, and DI. Scenario 3 (Strategic or Stakeholder Pushback) maps to CO, CI, and PS. Scenarios are also leveled: Junior respondents face daily work dilemmas, Managers face team management dilemmas, and Leaders face strategic dilemmas.</w:t>
      </w:r>
    </w:p>
    <w:p>
      <w:pPr>
        <w:spacing w:after="80" w:before="200"/>
      </w:pPr>
      <w:r>
        <w:rPr>
          <w:rFonts w:ascii="Arial" w:cs="Arial" w:eastAsia="Arial" w:hAnsi="Arial"/>
          <w:b/>
          <w:bCs/>
          <w:color w:val="0B2A44"/>
          <w:sz w:val="22"/>
          <w:szCs w:val="22"/>
        </w:rPr>
        <w:t xml:space="preserve">Why Only 3 Scenarios?</w:t>
      </w:r>
    </w:p>
    <w:p>
      <w:pPr>
        <w:spacing w:after="60" w:before="60"/>
        <w:jc w:val="left"/>
      </w:pPr>
      <w:r>
        <w:rPr>
          <w:rFonts w:ascii="Arial" w:cs="Arial" w:eastAsia="Arial" w:hAnsi="Arial"/>
          <w:b w:val="false"/>
          <w:bCs w:val="false"/>
          <w:i w:val="false"/>
          <w:iCs w:val="false"/>
          <w:color w:val="000000"/>
          <w:sz w:val="22"/>
          <w:szCs w:val="22"/>
        </w:rPr>
        <w:t xml:space="preserve">Scenarios require the highest cognitive effort of any section. Three scenarios, each requiring 4 options to be ranked, produces 12 ranking decisions — enough to generate reliable behavioral patterns without inducing severe fatigue. Research on situational judgment tests (McDaniel &amp; Nguyen, 2001) indicates that response quality degrades significantly after 4–5 complex scenarios.</w:t>
      </w:r>
    </w:p>
    <w:p>
      <w:pPr>
        <w:spacing w:after="120" w:before="0"/>
      </w:pPr>
    </w:p>
    <w:p>
      <w:pPr>
        <w:pStyle w:val="Heading2"/>
        <w:spacing w:after="120" w:before="280"/>
      </w:pPr>
      <w:r>
        <w:rPr>
          <w:rFonts w:ascii="Arial" w:cs="Arial" w:eastAsia="Arial" w:hAnsi="Arial"/>
          <w:b/>
          <w:bCs/>
          <w:color w:val="1A6DD4"/>
          <w:sz w:val="26"/>
          <w:szCs w:val="26"/>
        </w:rPr>
        <w:t xml:space="preserve">5.4  Section D: Open-Ended Reflections</w:t>
      </w:r>
    </w:p>
    <w:p>
      <w:pPr>
        <w:spacing w:after="80" w:before="200"/>
      </w:pPr>
      <w:r>
        <w:rPr>
          <w:rFonts w:ascii="Arial" w:cs="Arial" w:eastAsia="Arial" w:hAnsi="Arial"/>
          <w:b/>
          <w:bCs/>
          <w:color w:val="0B2A44"/>
          <w:sz w:val="22"/>
          <w:szCs w:val="22"/>
        </w:rPr>
        <w:t xml:space="preserve">Rationale for Format</w:t>
      </w:r>
    </w:p>
    <w:p>
      <w:pPr>
        <w:spacing w:after="60" w:before="60"/>
        <w:jc w:val="left"/>
      </w:pPr>
      <w:r>
        <w:rPr>
          <w:rFonts w:ascii="Arial" w:cs="Arial" w:eastAsia="Arial" w:hAnsi="Arial"/>
          <w:b w:val="false"/>
          <w:bCs w:val="false"/>
          <w:i w:val="false"/>
          <w:iCs w:val="false"/>
          <w:color w:val="000000"/>
          <w:sz w:val="22"/>
          <w:szCs w:val="22"/>
        </w:rPr>
        <w:t xml:space="preserve">Quantitative scores tell us what employees do and what they believe matters. Narrative text tells us how they think about what they do — their attribution style, the situational contexts they navigate, and the specific language they use to describe success. These two types of data are often substantially different, and the gap between them is analytically revealing.</w:t>
      </w:r>
    </w:p>
    <w:p>
      <w:pPr>
        <w:spacing w:after="80" w:before="200"/>
      </w:pPr>
      <w:r>
        <w:rPr>
          <w:rFonts w:ascii="Arial" w:cs="Arial" w:eastAsia="Arial" w:hAnsi="Arial"/>
          <w:b/>
          <w:bCs/>
          <w:color w:val="0B2A44"/>
          <w:sz w:val="22"/>
          <w:szCs w:val="22"/>
        </w:rPr>
        <w:t xml:space="preserve">The 5 Questions and Their Purpose</w:t>
      </w:r>
    </w:p>
    <w:p>
      <w:pPr>
        <w:pStyle w:val="ListParagraph"/>
        <w:numPr>
          <w:ilvl w:val="0"/>
          <w:numId w:val="2"/>
        </w:numPr>
        <w:spacing w:after="40" w:before="40"/>
      </w:pPr>
      <w:r>
        <w:rPr>
          <w:rFonts w:ascii="Arial" w:cs="Arial" w:eastAsia="Arial" w:hAnsi="Arial"/>
          <w:sz w:val="22"/>
          <w:szCs w:val="22"/>
        </w:rPr>
        <w:t xml:space="preserve">D1 — Professional Achievement: Reveals what the respondent values, how they define success, and whether their framing is outcome-focused or process-focused.</w:t>
      </w:r>
    </w:p>
    <w:p>
      <w:pPr>
        <w:pStyle w:val="ListParagraph"/>
        <w:numPr>
          <w:ilvl w:val="0"/>
          <w:numId w:val="2"/>
        </w:numPr>
        <w:spacing w:after="40" w:before="40"/>
      </w:pPr>
      <w:r>
        <w:rPr>
          <w:rFonts w:ascii="Arial" w:cs="Arial" w:eastAsia="Arial" w:hAnsi="Arial"/>
          <w:sz w:val="22"/>
          <w:szCs w:val="22"/>
        </w:rPr>
        <w:t xml:space="preserve">D2 — Challenging Situation: Reveals resilience and problem-solving, and critically, their attribution style (internal vs. external locus of control).</w:t>
      </w:r>
    </w:p>
    <w:p>
      <w:pPr>
        <w:pStyle w:val="ListParagraph"/>
        <w:numPr>
          <w:ilvl w:val="0"/>
          <w:numId w:val="2"/>
        </w:numPr>
        <w:spacing w:after="40" w:before="40"/>
      </w:pPr>
      <w:r>
        <w:rPr>
          <w:rFonts w:ascii="Arial" w:cs="Arial" w:eastAsia="Arial" w:hAnsi="Arial"/>
          <w:sz w:val="22"/>
          <w:szCs w:val="22"/>
        </w:rPr>
        <w:t xml:space="preserve">D3 — Personal Differentiator: Reveals self-awareness and their unique value proposition — what they believe sets them apart.</w:t>
      </w:r>
    </w:p>
    <w:p>
      <w:pPr>
        <w:pStyle w:val="ListParagraph"/>
        <w:numPr>
          <w:ilvl w:val="0"/>
          <w:numId w:val="2"/>
        </w:numPr>
        <w:spacing w:after="40" w:before="40"/>
      </w:pPr>
      <w:r>
        <w:rPr>
          <w:rFonts w:ascii="Arial" w:cs="Arial" w:eastAsia="Arial" w:hAnsi="Arial"/>
          <w:sz w:val="22"/>
          <w:szCs w:val="22"/>
        </w:rPr>
        <w:t xml:space="preserve">D4 — Area for Improvement: Reveals growth mindset and the depth of self-insight into their own limitations.</w:t>
      </w:r>
    </w:p>
    <w:p>
      <w:pPr>
        <w:pStyle w:val="ListParagraph"/>
        <w:numPr>
          <w:ilvl w:val="0"/>
          <w:numId w:val="2"/>
        </w:numPr>
        <w:spacing w:after="40" w:before="40"/>
      </w:pPr>
      <w:r>
        <w:rPr>
          <w:rFonts w:ascii="Arial" w:cs="Arial" w:eastAsia="Arial" w:hAnsi="Arial"/>
          <w:sz w:val="22"/>
          <w:szCs w:val="22"/>
        </w:rPr>
        <w:t xml:space="preserve">D5 — Advice to a New Colleague: Reveals the implicit mental model of success in uncensored, authentic language. This is the most direct proxy for "what actually drives performance here" in the respondent's own words.</w:t>
      </w:r>
    </w:p>
    <w:p>
      <w:pPr>
        <w:spacing w:after="60" w:before="0"/>
      </w:pPr>
    </w:p>
    <w:p>
      <w:pPr>
        <w:spacing w:after="60" w:before="60"/>
        <w:jc w:val="left"/>
      </w:pPr>
      <w:r>
        <w:rPr>
          <w:rFonts w:ascii="Arial" w:cs="Arial" w:eastAsia="Arial" w:hAnsi="Arial"/>
          <w:b w:val="false"/>
          <w:bCs w:val="false"/>
          <w:i w:val="false"/>
          <w:iCs w:val="false"/>
          <w:color w:val="000000"/>
          <w:sz w:val="22"/>
          <w:szCs w:val="22"/>
        </w:rPr>
        <w:t xml:space="preserve">Together, these five questions cover the full Experiential Learning Cycle (Kolb, 1984) as adapted for workplace narratives: Concrete Experience (D1, D2), Reflective Observation (D4), Abstract Conceptualization (D5), and Active Experimentation (D3).</w:t>
      </w:r>
    </w:p>
    <w:p>
      <w:pPr>
        <w:spacing w:after="60" w:before="0"/>
      </w:pPr>
    </w:p>
    <w:p>
      <w:pPr>
        <w:spacing w:after="60" w:before="60"/>
        <w:jc w:val="left"/>
      </w:pPr>
      <w:r>
        <w:rPr>
          <w:rFonts w:ascii="Arial" w:cs="Arial" w:eastAsia="Arial" w:hAnsi="Arial"/>
          <w:b w:val="false"/>
          <w:bCs w:val="false"/>
          <w:i w:val="false"/>
          <w:iCs w:val="false"/>
          <w:color w:val="000000"/>
          <w:sz w:val="22"/>
          <w:szCs w:val="22"/>
        </w:rPr>
        <w:t xml:space="preserve">The instruction to answer in 3–5 sentences is intentional: responses long enough for thematic coding but short enough to prevent respondent fatigue. Action-verb density (first-person action verbs as a proportion of total word count) will be calculated as an Agency Score metric for each respondent.</w:t>
      </w:r>
    </w:p>
    <w:p>
      <w:pPr>
        <w:spacing w:after="120" w:before="0"/>
      </w:pPr>
    </w:p>
    <w:p>
      <w:pPr>
        <w:pStyle w:val="Heading2"/>
        <w:spacing w:after="120" w:before="280"/>
      </w:pPr>
      <w:r>
        <w:rPr>
          <w:rFonts w:ascii="Arial" w:cs="Arial" w:eastAsia="Arial" w:hAnsi="Arial"/>
          <w:b/>
          <w:bCs/>
          <w:color w:val="1A6DD4"/>
          <w:sz w:val="26"/>
          <w:szCs w:val="26"/>
        </w:rPr>
        <w:t xml:space="preserve">5.5  Section E: Contextual Demographics</w:t>
      </w:r>
    </w:p>
    <w:p>
      <w:pPr>
        <w:spacing w:after="80" w:before="200"/>
      </w:pPr>
      <w:r>
        <w:rPr>
          <w:rFonts w:ascii="Arial" w:cs="Arial" w:eastAsia="Arial" w:hAnsi="Arial"/>
          <w:b/>
          <w:bCs/>
          <w:color w:val="0B2A44"/>
          <w:sz w:val="22"/>
          <w:szCs w:val="22"/>
        </w:rPr>
        <w:t xml:space="preserve">Why Only These 4 Fields?</w:t>
      </w:r>
    </w:p>
    <w:p>
      <w:pPr>
        <w:spacing w:after="60" w:before="60"/>
        <w:jc w:val="left"/>
      </w:pPr>
      <w:r>
        <w:rPr>
          <w:rFonts w:ascii="Arial" w:cs="Arial" w:eastAsia="Arial" w:hAnsi="Arial"/>
          <w:b w:val="false"/>
          <w:bCs w:val="false"/>
          <w:i w:val="false"/>
          <w:iCs w:val="false"/>
          <w:color w:val="000000"/>
          <w:sz w:val="22"/>
          <w:szCs w:val="22"/>
        </w:rPr>
        <w:t xml:space="preserve">Job level, average weekly work hours, number of direct reports, and cross-functional project involvement are the only fields collected at the survey level. Name and email are also collected for OLP merge purposes. Function, grade, tenure, and department are intentionally excluded — these are already available in the HRMS and can be joined via the Employee ID merge. Asking respondents to re-enter HRMS data wastes their time and signals poor organizational coordination.</w:t>
      </w:r>
    </w:p>
    <w:p>
      <w:pPr>
        <w:spacing w:after="60" w:before="60"/>
        <w:jc w:val="left"/>
      </w:pPr>
      <w:r>
        <w:rPr>
          <w:rFonts w:ascii="Arial" w:cs="Arial" w:eastAsia="Arial" w:hAnsi="Arial"/>
          <w:b w:val="false"/>
          <w:bCs w:val="false"/>
          <w:i w:val="false"/>
          <w:iCs w:val="false"/>
          <w:color w:val="000000"/>
          <w:sz w:val="22"/>
          <w:szCs w:val="22"/>
        </w:rPr>
        <w:t xml:space="preserve">The four collected fields are critical for segmentation analysis:</w:t>
      </w:r>
    </w:p>
    <w:p>
      <w:pPr>
        <w:pStyle w:val="ListParagraph"/>
        <w:numPr>
          <w:ilvl w:val="0"/>
          <w:numId w:val="2"/>
        </w:numPr>
        <w:spacing w:after="40" w:before="40"/>
      </w:pPr>
      <w:r>
        <w:rPr>
          <w:rFonts w:ascii="Arial" w:cs="Arial" w:eastAsia="Arial" w:hAnsi="Arial"/>
          <w:sz w:val="22"/>
          <w:szCs w:val="22"/>
        </w:rPr>
        <w:t xml:space="preserve">Average Weekly Work Hours: A behavioral proxy for engagement, effort disposition, and willingness to invest beyond the contracted minimum.</w:t>
      </w:r>
    </w:p>
    <w:p>
      <w:pPr>
        <w:pStyle w:val="ListParagraph"/>
        <w:numPr>
          <w:ilvl w:val="0"/>
          <w:numId w:val="2"/>
        </w:numPr>
        <w:spacing w:after="40" w:before="40"/>
      </w:pPr>
      <w:r>
        <w:rPr>
          <w:rFonts w:ascii="Arial" w:cs="Arial" w:eastAsia="Arial" w:hAnsi="Arial"/>
          <w:sz w:val="22"/>
          <w:szCs w:val="22"/>
        </w:rPr>
        <w:t xml:space="preserve">Number of Direct Reports: Essential for accurately comparing Managers. A manager with 15 direct reports operates in a fundamentally different context from one with 2.</w:t>
      </w:r>
    </w:p>
    <w:p>
      <w:pPr>
        <w:pStyle w:val="ListParagraph"/>
        <w:numPr>
          <w:ilvl w:val="0"/>
          <w:numId w:val="2"/>
        </w:numPr>
        <w:spacing w:after="40" w:before="40"/>
      </w:pPr>
      <w:r>
        <w:rPr>
          <w:rFonts w:ascii="Arial" w:cs="Arial" w:eastAsia="Arial" w:hAnsi="Arial"/>
          <w:sz w:val="22"/>
          <w:szCs w:val="22"/>
        </w:rPr>
        <w:t xml:space="preserve">Cross-Functional Project Involvement: A proxy for organizational complexity exposure. Regular cross-functional work predicts stronger CI and PS competency development.</w:t>
      </w:r>
    </w:p>
    <w:p>
      <w:pPr>
        <w:pStyle w:val="ListParagraph"/>
        <w:numPr>
          <w:ilvl w:val="0"/>
          <w:numId w:val="2"/>
        </w:numPr>
        <w:spacing w:after="40" w:before="40"/>
      </w:pPr>
      <w:r>
        <w:rPr>
          <w:rFonts w:ascii="Arial" w:cs="Arial" w:eastAsia="Arial" w:hAnsi="Arial"/>
          <w:sz w:val="22"/>
          <w:szCs w:val="22"/>
        </w:rPr>
        <w:t xml:space="preserve">Job Level: The primary segmentation variable. All Section A, B, and C content is level-adaptive, so this field determines which version of the survey each respondent sees.</w:t>
      </w:r>
    </w:p>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6.  Bias Analysis &amp; Mitigation Strategy</w:t>
      </w:r>
    </w:p>
    <w:p>
      <w:pPr>
        <w:pStyle w:val="Heading2"/>
        <w:spacing w:after="120" w:before="280"/>
      </w:pPr>
      <w:r>
        <w:rPr>
          <w:rFonts w:ascii="Arial" w:cs="Arial" w:eastAsia="Arial" w:hAnsi="Arial"/>
          <w:b/>
          <w:bCs/>
          <w:color w:val="1A6DD4"/>
          <w:sz w:val="26"/>
          <w:szCs w:val="26"/>
        </w:rPr>
        <w:t xml:space="preserve">6.1  Bias Catalogue &amp; Mitigation</w:t>
      </w:r>
    </w:p>
    <w:p>
      <w:pPr>
        <w:spacing w:after="60" w:before="60"/>
        <w:jc w:val="left"/>
      </w:pPr>
      <w:r>
        <w:rPr>
          <w:rFonts w:ascii="Arial" w:cs="Arial" w:eastAsia="Arial" w:hAnsi="Arial"/>
          <w:b w:val="false"/>
          <w:bCs w:val="false"/>
          <w:i w:val="false"/>
          <w:iCs w:val="false"/>
          <w:color w:val="000000"/>
          <w:sz w:val="22"/>
          <w:szCs w:val="22"/>
        </w:rPr>
        <w:t xml:space="preserve">All self-report surveys face inherent biases. The table below catalogues the six primary biases relevant to this instrument and the specific countermeasures built into the design: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000"/>
        <w:gridCol w:w="3660"/>
      </w:tblGrid>
      <w:tr>
        <w:tc>
          <w:tcPr>
            <w:tcW w:type="dxa" w:w="2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Bias</w:t>
            </w:r>
          </w:p>
        </w:tc>
        <w:tc>
          <w:tcPr>
            <w:tcW w:type="dxa" w:w="7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w:t>
            </w:r>
          </w:p>
        </w:tc>
        <w:tc>
          <w:tcPr>
            <w:tcW w:type="dxa" w:w="3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6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 Strategy</w:t>
            </w:r>
          </w:p>
        </w:tc>
      </w:tr>
      <w:tr>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Social Desirability Bias</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 D</w:t>
            </w:r>
          </w:p>
        </w:tc>
        <w:tc>
          <w:tcPr>
            <w:tcW w:type="dxa" w:w="3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Respondents over-report desirable behaviors to impress.</w:t>
            </w:r>
          </w:p>
        </w:tc>
        <w:tc>
          <w:tcPr>
            <w:tcW w:type="dxa" w:w="36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 C scenarios have no obvious correct answer. Section D coded for specific action verbs, not trait claims.</w:t>
            </w:r>
          </w:p>
        </w:tc>
      </w:tr>
      <w:tr>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Central Tendency Bias</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w:t>
            </w:r>
          </w:p>
        </w:tc>
        <w:tc>
          <w:tcPr>
            <w:tcW w:type="dxa" w:w="3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Respondents cluster around midpoints (e.g., always selecting 3 or 4).</w:t>
            </w:r>
          </w:p>
        </w:tc>
        <w:tc>
          <w:tcPr>
            <w:tcW w:type="dxa" w:w="36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 B forced ranking eliminates this; no ties allowed. Section A has bipolar anchors that make midpoints less appealing.</w:t>
            </w:r>
          </w:p>
        </w:tc>
      </w:tr>
      <w:tr>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Acquiescence Bias</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w:t>
            </w:r>
          </w:p>
        </w:tc>
        <w:tc>
          <w:tcPr>
            <w:tcW w:type="dxa" w:w="3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Tendency to agree with positive statements regardless of content.</w:t>
            </w:r>
          </w:p>
        </w:tc>
        <w:tc>
          <w:tcPr>
            <w:tcW w:type="dxa" w:w="36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Sections B and C provide cross-validation. The forced-ranking and scenario sections cannot be satisfied by simply agreeing.</w:t>
            </w:r>
          </w:p>
        </w:tc>
      </w:tr>
      <w:tr>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Dunning-Kruger Effect</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A</w:t>
            </w:r>
          </w:p>
        </w:tc>
        <w:tc>
          <w:tcPr>
            <w:tcW w:type="dxa" w:w="3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Lower-performing employees overestimate their own ability.</w:t>
            </w:r>
          </w:p>
        </w:tc>
        <w:tc>
          <w:tcPr>
            <w:tcW w:type="dxa" w:w="36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 A scores cross-validated against Section C scenario choices. Overconfident respondents reveal a measurable A–C discrepancy.</w:t>
            </w:r>
          </w:p>
        </w:tc>
      </w:tr>
      <w:tr>
        <w:tc>
          <w:tcPr>
            <w:tcW w:type="dxa" w:w="2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Framing Bias</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C</w:t>
            </w:r>
          </w:p>
        </w:tc>
        <w:tc>
          <w:tcPr>
            <w:tcW w:type="dxa" w:w="3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Scenario wording subtly influences the preferred response.</w:t>
            </w:r>
          </w:p>
        </w:tc>
        <w:tc>
          <w:tcPr>
            <w:tcW w:type="dxa" w:w="36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Scenarios written in neutral language, focusing on organizational context rather than personal framing.</w:t>
            </w:r>
          </w:p>
        </w:tc>
      </w:tr>
      <w:tr>
        <w:tc>
          <w:tcPr>
            <w:tcW w:type="dxa" w:w="2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Rank Instability</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B</w:t>
            </w:r>
          </w:p>
        </w:tc>
        <w:tc>
          <w:tcPr>
            <w:tcW w:type="dxa" w:w="3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Small preference differences cause disproportionate rank swings.</w:t>
            </w:r>
          </w:p>
        </w:tc>
        <w:tc>
          <w:tcPr>
            <w:tcW w:type="dxa" w:w="36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The Top 3 cross-check validates reflective ranking; inconsistency between rank and top-3 flags response quality issues.</w:t>
            </w:r>
          </w:p>
        </w:tc>
      </w:tr>
    </w:tbl>
    <w:p>
      <w:pPr>
        <w:spacing w:after="120" w:before="0"/>
      </w:pPr>
    </w:p>
    <w:p>
      <w:pPr>
        <w:pStyle w:val="Heading2"/>
        <w:spacing w:after="120" w:before="280"/>
      </w:pPr>
      <w:r>
        <w:rPr>
          <w:rFonts w:ascii="Arial" w:cs="Arial" w:eastAsia="Arial" w:hAnsi="Arial"/>
          <w:b/>
          <w:bCs/>
          <w:color w:val="1A6DD4"/>
          <w:sz w:val="26"/>
          <w:szCs w:val="26"/>
        </w:rPr>
        <w:t xml:space="preserve">6.2  Data Cleaning Protocol</w:t>
      </w:r>
    </w:p>
    <w:p>
      <w:pPr>
        <w:spacing w:after="60" w:before="60"/>
        <w:jc w:val="left"/>
      </w:pPr>
      <w:r>
        <w:rPr>
          <w:rFonts w:ascii="Arial" w:cs="Arial" w:eastAsia="Arial" w:hAnsi="Arial"/>
          <w:b w:val="false"/>
          <w:bCs w:val="false"/>
          <w:i w:val="false"/>
          <w:iCs w:val="false"/>
          <w:color w:val="000000"/>
          <w:sz w:val="22"/>
          <w:szCs w:val="22"/>
        </w:rPr>
        <w:t xml:space="preserve">After collection, the following filters will be applied before any analysis begins. These rules are non-negotiable — responses that fail any filter are excluded from all analytical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Filter</w:t>
            </w:r>
          </w:p>
        </w:tc>
        <w:tc>
          <w:tcPr>
            <w:tcW w:type="dxa" w:w="69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r>
      <w:tr>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Incomplete Response</w:t>
            </w:r>
          </w:p>
        </w:tc>
        <w:tc>
          <w:tcPr>
            <w:tcW w:type="dxa" w:w="6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Exclude any respondent completing fewer than 80% of all 81 fields.</w:t>
            </w:r>
          </w:p>
        </w:tc>
      </w:tr>
      <w:tr>
        <w:tc>
          <w:tcPr>
            <w:tcW w:type="dxa" w:w="24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Straight-Liner Flag</w:t>
            </w:r>
          </w:p>
        </w:tc>
        <w:tc>
          <w:tcPr>
            <w:tcW w:type="dxa" w:w="69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For Section A, calculate the standard deviation per respondent across all 40 items. Exclude respondents with SD &lt; 0.5 — they selected the same score for virtually every item.</w:t>
            </w:r>
          </w:p>
        </w:tc>
      </w:tr>
      <w:tr>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Rank Violation</w:t>
            </w:r>
          </w:p>
        </w:tc>
        <w:tc>
          <w:tcPr>
            <w:tcW w:type="dxa" w:w="6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Exclude any Section B respondent who did not use each unique rank (1–10) exactly once. Duplicate ranks invalidate the forced-ranking design.</w:t>
            </w:r>
          </w:p>
        </w:tc>
      </w:tr>
      <w:tr>
        <w:tc>
          <w:tcPr>
            <w:tcW w:type="dxa" w:w="24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Speed Filter</w:t>
            </w:r>
          </w:p>
        </w:tc>
        <w:tc>
          <w:tcPr>
            <w:tcW w:type="dxa" w:w="69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Exclude responses completed in under 10 minutes. The expected completion time is 36–37 minutes; sub-10-minute responses indicate satisficing or bot submission.</w:t>
            </w:r>
          </w:p>
        </w:tc>
      </w:tr>
      <w:tr>
        <w:tc>
          <w:tcPr>
            <w:tcW w:type="dxa" w:w="24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Section B–C Consistency Check</w:t>
            </w:r>
          </w:p>
        </w:tc>
        <w:tc>
          <w:tcPr>
            <w:tcW w:type="dxa" w:w="69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Flag respondents whose Section B top-ranked competency does not appear in their Top 3 checkbox selection. These are reviewed manually — not auto-excluded, but noted as low-reliability cases.</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7.  Post-Survey Data Analysis Framework (Phase 0 → Phase 1 Bridge)</w:t>
      </w:r>
    </w:p>
    <w:p>
      <w:pPr>
        <w:spacing w:after="60" w:before="60"/>
        <w:jc w:val="left"/>
      </w:pPr>
      <w:r>
        <w:rPr>
          <w:rFonts w:ascii="Arial" w:cs="Arial" w:eastAsia="Arial" w:hAnsi="Arial"/>
          <w:b w:val="false"/>
          <w:bCs w:val="false"/>
          <w:i w:val="false"/>
          <w:iCs w:val="false"/>
          <w:color w:val="000000"/>
          <w:sz w:val="22"/>
          <w:szCs w:val="22"/>
        </w:rPr>
        <w:t xml:space="preserve">Following data collection, a rigorous five-step analysis framework is applied to transform 150+ raw survey responses into a prioritized competency model ready to drive Phase 1 interview design.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Analysis Action</w:t>
            </w:r>
          </w:p>
        </w:tc>
        <w:tc>
          <w:tcPr>
            <w:tcW w:type="dxa" w:w="60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1</w:t>
            </w:r>
          </w:p>
        </w:tc>
        <w:tc>
          <w:tcPr>
            <w:tcW w:type="dxa" w:w="2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Data Preparation &amp; Cleaning</w:t>
            </w:r>
          </w:p>
        </w:tc>
        <w:tc>
          <w:tcPr>
            <w:tcW w:type="dxa" w:w="60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Export raw responses from Microsoft Forms. Merge with OLP composite scores via Employee ID to assign performance tier (Top / Average / Developing). Apply data cleaning protocol (completeness, SD check, rank validation, time-to-completion filter).</w:t>
            </w:r>
          </w:p>
        </w:tc>
      </w:tr>
      <w:tr>
        <w:tc>
          <w:tcPr>
            <w:tcW w:type="dxa" w:w="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2</w:t>
            </w:r>
          </w:p>
        </w:tc>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Statistical Item Analysis (Section A)</w:t>
            </w:r>
          </w:p>
        </w:tc>
        <w:tc>
          <w:tcPr>
            <w:tcW w:type="dxa" w:w="60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Calculate mean and SD per item, split by performance tier. Run Mann-Whitney U test per item. Record effect size (r = Z / √N). Rank 10 competencies by effect size to produce the Differentiator Index. Threshold: effect size &gt; 0.30 = meaningful differentiator.</w:t>
            </w:r>
          </w:p>
        </w:tc>
      </w:tr>
      <w:tr>
        <w:tc>
          <w:tcPr>
            <w:tcW w:type="dxa" w:w="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3</w:t>
            </w:r>
          </w:p>
        </w:tc>
        <w:tc>
          <w:tcPr>
            <w:tcW w:type="dxa" w:w="2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Thematic Coding (Section D)</w:t>
            </w:r>
          </w:p>
        </w:tc>
        <w:tc>
          <w:tcPr>
            <w:tcW w:type="dxa" w:w="60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Separate D1–D5 responses by performance tier. Code for: Action Verbs (e.g., built, initiated, decided), Situational Contexts, Attribution Style (internal vs. external). Tag each response with primary competency domain. Produce Narrative Frequency Score per competency.</w:t>
            </w:r>
          </w:p>
        </w:tc>
      </w:tr>
      <w:tr>
        <w:tc>
          <w:tcPr>
            <w:tcW w:type="dxa" w:w="5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4</w:t>
            </w:r>
          </w:p>
        </w:tc>
        <w:tc>
          <w:tcPr>
            <w:tcW w:type="dxa" w:w="2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Triangulation Matrix</w:t>
            </w:r>
          </w:p>
        </w:tc>
        <w:tc>
          <w:tcPr>
            <w:tcW w:type="dxa" w:w="60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For each of 10 competencies, combine evidence across all four sections. Competencies with strong signal from ≥3 sources are classified as Confirmed Core Competencies. This is the primary output gate before Phase 1.</w:t>
            </w:r>
          </w:p>
        </w:tc>
      </w:tr>
      <w:tr>
        <w:tc>
          <w:tcPr>
            <w:tcW w:type="dxa" w:w="5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5</w:t>
            </w:r>
          </w:p>
        </w:tc>
        <w:tc>
          <w:tcPr>
            <w:tcW w:type="dxa" w:w="2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Competency Prioritization &amp; Output Package</w:t>
            </w:r>
          </w:p>
        </w:tc>
        <w:tc>
          <w:tcPr>
            <w:tcW w:type="dxa" w:w="60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Produce: Differentiator Index, Belief-Profile Matrix (avg rank per level), Behavioral Fingerprint (modal scenario patterns), Narrative Corpus (coded open-ended database), Agency Score per respondent.</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8.  Bridging to Phase 1: Individual STAR Interviews</w:t>
      </w:r>
    </w:p>
    <w:p>
      <w:pPr>
        <w:pStyle w:val="Heading2"/>
        <w:spacing w:after="120" w:before="280"/>
      </w:pPr>
      <w:r>
        <w:rPr>
          <w:rFonts w:ascii="Arial" w:cs="Arial" w:eastAsia="Arial" w:hAnsi="Arial"/>
          <w:b/>
          <w:bCs/>
          <w:color w:val="1A6DD4"/>
          <w:sz w:val="26"/>
          <w:szCs w:val="26"/>
        </w:rPr>
        <w:t xml:space="preserve">8.1  The 5-Step Interview Question Generation Process</w:t>
      </w:r>
    </w:p>
    <w:p>
      <w:pPr>
        <w:spacing w:after="60" w:before="60"/>
        <w:jc w:val="left"/>
      </w:pPr>
      <w:r>
        <w:rPr>
          <w:rFonts w:ascii="Arial" w:cs="Arial" w:eastAsia="Arial" w:hAnsi="Arial"/>
          <w:b w:val="false"/>
          <w:bCs w:val="false"/>
          <w:i w:val="false"/>
          <w:iCs w:val="false"/>
          <w:color w:val="000000"/>
          <w:sz w:val="22"/>
          <w:szCs w:val="22"/>
        </w:rPr>
        <w:t xml:space="preserve">This is the most critical translation step in the entire project. It explains exactly how survey data becomes a structured, survey-grounded interview protocol — rather than a generic competency interview.</w:t>
      </w:r>
    </w:p>
    <w:p>
      <w:pPr>
        <w:spacing w:after="80" w:before="0"/>
      </w:pPr>
    </w:p>
    <w:p>
      <w:pPr>
        <w:pStyle w:val="ListParagraph"/>
        <w:numPr>
          <w:ilvl w:val="0"/>
          <w:numId w:val="3"/>
        </w:numPr>
        <w:spacing w:after="40" w:before="40"/>
      </w:pPr>
      <w:r>
        <w:rPr>
          <w:rFonts w:ascii="Arial" w:cs="Arial" w:eastAsia="Arial" w:hAnsi="Arial"/>
          <w:sz w:val="22"/>
          <w:szCs w:val="22"/>
        </w:rPr>
        <w:t xml:space="preserve">Identify High-Signal Scenarios: Examine Section C data. Locate the scenario where the ranking pattern of top performers diverges most sharply from average performers. Example: In Scenario 2, 80% of top Managers ranked Option B (direct conversation) as #1; only 30% of average Managers did. This divergence is the interview signal.</w:t>
      </w:r>
    </w:p>
    <w:p>
      <w:pPr>
        <w:pStyle w:val="ListParagraph"/>
        <w:numPr>
          <w:ilvl w:val="0"/>
          <w:numId w:val="3"/>
        </w:numPr>
        <w:spacing w:after="40" w:before="40"/>
      </w:pPr>
      <w:r>
        <w:rPr>
          <w:rFonts w:ascii="Arial" w:cs="Arial" w:eastAsia="Arial" w:hAnsi="Arial"/>
          <w:sz w:val="22"/>
          <w:szCs w:val="22"/>
        </w:rPr>
        <w:t xml:space="preserve">Extract Behavioral Language: Read Section D responses from confirmed top performers. Highlight the exact verbs and situational contexts they describe. Example: top Managers frequently wrote 'I scheduled a private 1-on-1, listened to understand the root cause, then co-created a performance plan with clear milestones.'</w:t>
      </w:r>
    </w:p>
    <w:p>
      <w:pPr>
        <w:pStyle w:val="ListParagraph"/>
        <w:numPr>
          <w:ilvl w:val="0"/>
          <w:numId w:val="3"/>
        </w:numPr>
        <w:spacing w:after="40" w:before="40"/>
      </w:pPr>
      <w:r>
        <w:rPr>
          <w:rFonts w:ascii="Arial" w:cs="Arial" w:eastAsia="Arial" w:hAnsi="Arial"/>
          <w:sz w:val="22"/>
          <w:szCs w:val="22"/>
        </w:rPr>
        <w:t xml:space="preserve">Build the STAR Question Stem: Use the scenario divergence (Step 1) as the context; use the exact language (Step 2) as the behavioral target. Example: 'Tell me about a time you had to address a direct report who was consistently missing deadlines. What was the situation, how did you approach the conversation, and what was the outcome?'</w:t>
      </w:r>
    </w:p>
    <w:p>
      <w:pPr>
        <w:pStyle w:val="ListParagraph"/>
        <w:numPr>
          <w:ilvl w:val="0"/>
          <w:numId w:val="3"/>
        </w:numPr>
        <w:spacing w:after="40" w:before="40"/>
      </w:pPr>
      <w:r>
        <w:rPr>
          <w:rFonts w:ascii="Arial" w:cs="Arial" w:eastAsia="Arial" w:hAnsi="Arial"/>
          <w:sz w:val="22"/>
          <w:szCs w:val="22"/>
        </w:rPr>
        <w:t xml:space="preserve">Design Probing Follow-Ups for Hidden Competencies: Build probes from the narrative language to surface competencies that did not appear in the 10 explicit codes. Example: 'You mentioned you listened to their side — what did you do to demonstrate genuine listening, and how did you balance empathy with accountability?' This probes Empathetic Accountability — a nuanced competency not captured by the 10-code framework.</w:t>
      </w:r>
    </w:p>
    <w:p>
      <w:pPr>
        <w:pStyle w:val="ListParagraph"/>
        <w:numPr>
          <w:ilvl w:val="0"/>
          <w:numId w:val="3"/>
        </w:numPr>
        <w:spacing w:after="40" w:before="40"/>
      </w:pPr>
      <w:r>
        <w:rPr>
          <w:rFonts w:ascii="Arial" w:cs="Arial" w:eastAsia="Arial" w:hAnsi="Arial"/>
          <w:sz w:val="22"/>
          <w:szCs w:val="22"/>
        </w:rPr>
        <w:t xml:space="preserve">Build the Behavioral Rating Rubric: Anchored directly in Section D language from real respondents. Avoids generic anchors by grounding every rating level in actual Jio-context behavioral evidence. Example rubric for Underperformance Management: Score 1 = avoided the conversation or escalated immediately to HR; Score 3 = held a conversation and communicated expectations; Score 5 = scheduled a structured 1-on-1, diagnosed the root cause, co-created a development plan with milestones, followed up consistently — the individual exceeded expectations within 2 months.</w:t>
      </w:r>
    </w:p>
    <w:p>
      <w:pPr>
        <w:spacing w:after="120" w:before="0"/>
      </w:pPr>
    </w:p>
    <w:p>
      <w:pPr>
        <w:pStyle w:val="Heading2"/>
        <w:spacing w:after="120" w:before="280"/>
      </w:pPr>
      <w:r>
        <w:rPr>
          <w:rFonts w:ascii="Arial" w:cs="Arial" w:eastAsia="Arial" w:hAnsi="Arial"/>
          <w:b/>
          <w:bCs/>
          <w:color w:val="1A6DD4"/>
          <w:sz w:val="26"/>
          <w:szCs w:val="26"/>
        </w:rPr>
        <w:t xml:space="preserve">8.2  Phase 1 Interview Structure</w:t>
      </w:r>
    </w:p>
    <w:p>
      <w:pPr>
        <w:spacing w:after="60" w:before="60"/>
        <w:jc w:val="left"/>
      </w:pPr>
      <w:r>
        <w:rPr>
          <w:rFonts w:ascii="Arial" w:cs="Arial" w:eastAsia="Arial" w:hAnsi="Arial"/>
          <w:b w:val="false"/>
          <w:bCs w:val="false"/>
          <w:i w:val="false"/>
          <w:iCs w:val="false"/>
          <w:color w:val="000000"/>
          <w:sz w:val="22"/>
          <w:szCs w:val="22"/>
        </w:rPr>
        <w:t xml:space="preserve">Based on the survey architecture and the interview question generation process, the following structure is recommended for all Phase 1 interviews. Total duration: 60–70 minutes.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 &amp; Duration</w:t>
            </w:r>
          </w:p>
        </w:tc>
        <w:tc>
          <w:tcPr>
            <w:tcW w:type="dxa" w:w="40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35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Opening
(5 min)</w:t>
            </w:r>
          </w:p>
        </w:tc>
        <w:tc>
          <w:tcPr>
            <w:tcW w:type="dxa" w:w="4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Warm-up question about current role context and recent projects.</w:t>
            </w:r>
          </w:p>
        </w:tc>
        <w:tc>
          <w:tcPr>
            <w:tcW w:type="dxa" w:w="35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Not scored; establishes rapport and calibrates the respondent.</w:t>
            </w:r>
          </w:p>
        </w:tc>
      </w:tr>
      <w:tr>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Core Competencies: Anchor
(25 min)</w:t>
            </w:r>
          </w:p>
        </w:tc>
        <w:tc>
          <w:tcPr>
            <w:tcW w:type="dxa" w:w="4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Two STAR questions each for the top 2–3 highest-signal competencies. These carry the most scoring weight.</w:t>
            </w:r>
          </w:p>
        </w:tc>
        <w:tc>
          <w:tcPr>
            <w:tcW w:type="dxa" w:w="3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4–6 questions. Derived directly from Section C scenario divergence data.</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Core Competencies: Strong
(15 min)</w:t>
            </w:r>
          </w:p>
        </w:tc>
        <w:tc>
          <w:tcPr>
            <w:tcW w:type="dxa" w:w="4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One STAR question per remaining strong competency.</w:t>
            </w:r>
          </w:p>
        </w:tc>
        <w:tc>
          <w:tcPr>
            <w:tcW w:type="dxa" w:w="35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3–4 questions. Balanced coverage of all Confirmed Core Competencies.</w:t>
            </w:r>
          </w:p>
        </w:tc>
      </w:tr>
      <w:tr>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Belief Probe
(5 min)</w:t>
            </w:r>
          </w:p>
        </w:tc>
        <w:tc>
          <w:tcPr>
            <w:tcW w:type="dxa" w:w="4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One Section B-derived question on the interviewee's theory of success.</w:t>
            </w:r>
          </w:p>
        </w:tc>
        <w:tc>
          <w:tcPr>
            <w:tcW w:type="dxa" w:w="3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The gap between top and average performer answers here is typically the most memorable finding.</w:t>
            </w:r>
          </w:p>
        </w:tc>
      </w:tr>
      <w:tr>
        <w:tc>
          <w:tcPr>
            <w:tcW w:type="dxa" w:w="1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Self-Awareness Probe
(5 min)</w:t>
            </w:r>
          </w:p>
        </w:tc>
        <w:tc>
          <w:tcPr>
            <w:tcW w:type="dxa" w:w="40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 D4-derived: 'What is one area you could be significantly better at? What specifically holds you back?'</w:t>
            </w:r>
          </w:p>
        </w:tc>
        <w:tc>
          <w:tcPr>
            <w:tcW w:type="dxa" w:w="35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Tests growth mindset, humility, and self-insight — three traits Section A cannot capture.</w:t>
            </w:r>
          </w:p>
        </w:tc>
      </w:tr>
      <w:tr>
        <w:tc>
          <w:tcPr>
            <w:tcW w:type="dxa" w:w="1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Closing / Legacy
(5 min)</w:t>
            </w:r>
          </w:p>
        </w:tc>
        <w:tc>
          <w:tcPr>
            <w:tcW w:type="dxa" w:w="40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Section D5-derived: 'If a talented new colleague asked what it takes to truly excel here, what would you tell them?'</w:t>
            </w:r>
          </w:p>
        </w:tc>
        <w:tc>
          <w:tcPr>
            <w:tcW w:type="dxa" w:w="3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Reveals the implicit success theory in the interviewee's own, uncensored words.</w:t>
            </w:r>
          </w:p>
        </w:tc>
      </w:tr>
    </w:tbl>
    <w:p>
      <w:pPr>
        <w:spacing w:after="120" w:before="0"/>
      </w:pPr>
    </w:p>
    <w:p>
      <w:pPr>
        <w:pStyle w:val="Heading2"/>
        <w:spacing w:after="120" w:before="280"/>
      </w:pPr>
      <w:r>
        <w:rPr>
          <w:rFonts w:ascii="Arial" w:cs="Arial" w:eastAsia="Arial" w:hAnsi="Arial"/>
          <w:b/>
          <w:bCs/>
          <w:color w:val="1A6DD4"/>
          <w:sz w:val="26"/>
          <w:szCs w:val="26"/>
        </w:rPr>
        <w:t xml:space="preserve">8.3  Interview Shortlist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DD4" w:sz="4"/>
              <w:left w:val="single" w:color="1A6DD4" w:sz="12"/>
              <w:bottom w:val="single" w:color="CCDDEF" w:sz="1"/>
              <w:right w:val="single" w:color="CCDDEF" w:sz="1"/>
            </w:tcBorders>
            <w:shd w:fill="E8F0FB" w:val="clear"/>
            <w:tcMar>
              <w:top w:type="dxa" w:w="140"/>
              <w:left w:type="dxa" w:w="200"/>
              <w:bottom w:type="dxa" w:w="140"/>
              <w:right w:type="dxa" w:w="200"/>
            </w:tcMar>
          </w:tcPr>
          <w:p>
            <w:pPr>
              <w:spacing w:after="60" w:before="0"/>
            </w:pPr>
            <w:r>
              <w:rPr>
                <w:rFonts w:ascii="Arial" w:cs="Arial" w:eastAsia="Arial" w:hAnsi="Arial"/>
                <w:b/>
                <w:bCs/>
                <w:color w:val="1A6DD4"/>
                <w:sz w:val="22"/>
                <w:szCs w:val="22"/>
              </w:rPr>
              <w:t xml:space="preserve">Phase 1 Shortlist Design</w:t>
            </w:r>
          </w:p>
          <w:p>
            <w:pPr>
              <w:spacing w:after="40" w:before="40"/>
            </w:pPr>
            <w:r>
              <w:rPr>
                <w:rFonts w:ascii="Arial" w:cs="Arial" w:eastAsia="Arial" w:hAnsi="Arial"/>
                <w:color w:val="0B2A44"/>
                <w:sz w:val="20"/>
                <w:szCs w:val="20"/>
              </w:rPr>
              <w:t xml:space="preserve">Total interviews: 18 (from Phase 1 Completion Report findings)</w:t>
            </w:r>
          </w:p>
          <w:p>
            <w:pPr>
              <w:spacing w:after="40" w:before="40"/>
            </w:pPr>
            <w:r>
              <w:rPr>
                <w:rFonts w:ascii="Arial" w:cs="Arial" w:eastAsia="Arial" w:hAnsi="Arial"/>
                <w:color w:val="0B2A44"/>
                <w:sz w:val="20"/>
                <w:szCs w:val="20"/>
              </w:rPr>
              <w:t xml:space="preserve">Composition: 13 confirmed top performers (is_top_performer = 1, composite score ≥ 80th percentile = 69.148) + 5 contrast performers (Meets Expectation tier)</w:t>
            </w:r>
          </w:p>
          <w:p>
            <w:pPr>
              <w:spacing w:after="40" w:before="40"/>
            </w:pPr>
            <w:r>
              <w:rPr>
                <w:rFonts w:ascii="Arial" w:cs="Arial" w:eastAsia="Arial" w:hAnsi="Arial"/>
                <w:color w:val="0B2A44"/>
                <w:sz w:val="20"/>
                <w:szCs w:val="20"/>
              </w:rPr>
              <w:t xml:space="preserve">Shortlist drawn from the JioCX-specific OLP_Scored_Output.xlsx subset (153 employees)</w:t>
            </w:r>
          </w:p>
          <w:p>
            <w:pPr>
              <w:spacing w:after="40" w:before="40"/>
            </w:pPr>
            <w:r>
              <w:rPr>
                <w:rFonts w:ascii="Arial" w:cs="Arial" w:eastAsia="Arial" w:hAnsi="Arial"/>
                <w:color w:val="0B2A44"/>
                <w:sz w:val="20"/>
                <w:szCs w:val="20"/>
              </w:rPr>
              <w:t xml:space="preserve">All interviews to be conducted by the intern (Ms. Arya Khamparia as guide) in Weeks 4–5 (Jul 1–Jul 11, 2026)</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9.  Bridging to Phase 2: Targeted Competency Survey</w:t>
      </w:r>
    </w:p>
    <w:p>
      <w:pPr>
        <w:pStyle w:val="Heading2"/>
        <w:spacing w:after="120" w:before="280"/>
      </w:pPr>
      <w:r>
        <w:rPr>
          <w:rFonts w:ascii="Arial" w:cs="Arial" w:eastAsia="Arial" w:hAnsi="Arial"/>
          <w:b/>
          <w:bCs/>
          <w:color w:val="1A6DD4"/>
          <w:sz w:val="26"/>
          <w:szCs w:val="26"/>
        </w:rPr>
        <w:t xml:space="preserve">9.1  Purpose of Phase 2</w:t>
      </w:r>
    </w:p>
    <w:p>
      <w:pPr>
        <w:spacing w:after="60" w:before="60"/>
        <w:jc w:val="left"/>
      </w:pPr>
      <w:r>
        <w:rPr>
          <w:rFonts w:ascii="Arial" w:cs="Arial" w:eastAsia="Arial" w:hAnsi="Arial"/>
          <w:b w:val="false"/>
          <w:bCs w:val="false"/>
          <w:i w:val="false"/>
          <w:iCs w:val="false"/>
          <w:color w:val="000000"/>
          <w:sz w:val="22"/>
          <w:szCs w:val="22"/>
        </w:rPr>
        <w:t xml:space="preserve">Phase 1 interviews provide rich qualitative data on the specific behaviors that differentiate top performers. However, interviews are time-intensive and cannot be scaled. Phase 2 converts these qualitative insights into a quantitative survey instrument that can be deployed to a broader cohort — targeting 150–300 employees — to validate the competency framework at statistical scale.</w:t>
      </w:r>
    </w:p>
    <w:p>
      <w:pPr>
        <w:spacing w:after="80" w:before="0"/>
      </w:pPr>
    </w:p>
    <w:p>
      <w:pPr>
        <w:pStyle w:val="Heading2"/>
        <w:spacing w:after="120" w:before="280"/>
      </w:pPr>
      <w:r>
        <w:rPr>
          <w:rFonts w:ascii="Arial" w:cs="Arial" w:eastAsia="Arial" w:hAnsi="Arial"/>
          <w:b/>
          <w:bCs/>
          <w:color w:val="1A6DD4"/>
          <w:sz w:val="26"/>
          <w:szCs w:val="26"/>
        </w:rPr>
        <w:t xml:space="preserve">9.2  Survey Design for Phase 2</w:t>
      </w:r>
    </w:p>
    <w:p>
      <w:pPr>
        <w:pStyle w:val="ListParagraph"/>
        <w:numPr>
          <w:ilvl w:val="0"/>
          <w:numId w:val="2"/>
        </w:numPr>
        <w:spacing w:after="40" w:before="40"/>
      </w:pPr>
      <w:r>
        <w:rPr>
          <w:rFonts w:ascii="Arial" w:cs="Arial" w:eastAsia="Arial" w:hAnsi="Arial"/>
          <w:sz w:val="22"/>
          <w:szCs w:val="22"/>
        </w:rPr>
        <w:t xml:space="preserve">Target Audience: Broader employee cohort, 150–300 employees across all three levels.</w:t>
      </w:r>
    </w:p>
    <w:p>
      <w:pPr>
        <w:pStyle w:val="ListParagraph"/>
        <w:numPr>
          <w:ilvl w:val="0"/>
          <w:numId w:val="2"/>
        </w:numPr>
        <w:spacing w:after="40" w:before="40"/>
      </w:pPr>
      <w:r>
        <w:rPr>
          <w:rFonts w:ascii="Arial" w:cs="Arial" w:eastAsia="Arial" w:hAnsi="Arial"/>
          <w:sz w:val="22"/>
          <w:szCs w:val="22"/>
        </w:rPr>
        <w:t xml:space="preserve">Format: Closed-ended 5-point Likert scale exclusively. No open-ended or ranking sections — Phase 2 is a validation instrument, not a discovery tool.</w:t>
      </w:r>
    </w:p>
    <w:p>
      <w:pPr>
        <w:pStyle w:val="ListParagraph"/>
        <w:numPr>
          <w:ilvl w:val="0"/>
          <w:numId w:val="2"/>
        </w:numPr>
        <w:spacing w:after="40" w:before="40"/>
      </w:pPr>
      <w:r>
        <w:rPr>
          <w:rFonts w:ascii="Arial" w:cs="Arial" w:eastAsia="Arial" w:hAnsi="Arial"/>
          <w:sz w:val="22"/>
          <w:szCs w:val="22"/>
        </w:rPr>
        <w:t xml:space="preserve">Number of Items: 4–6 items per validated competency (only those that cleared the triangulation threshold in Step 4 of the analysis framework are included).</w:t>
      </w:r>
    </w:p>
    <w:p>
      <w:pPr>
        <w:pStyle w:val="ListParagraph"/>
        <w:numPr>
          <w:ilvl w:val="0"/>
          <w:numId w:val="2"/>
        </w:numPr>
        <w:spacing w:after="40" w:before="40"/>
      </w:pPr>
      <w:r>
        <w:rPr>
          <w:rFonts w:ascii="Arial" w:cs="Arial" w:eastAsia="Arial" w:hAnsi="Arial"/>
          <w:sz w:val="22"/>
          <w:szCs w:val="22"/>
        </w:rPr>
        <w:t xml:space="preserve">Length: Designed to be completed in 10–15 minutes — short enough to maximize response rates at scale.</w:t>
      </w:r>
    </w:p>
    <w:p>
      <w:pPr>
        <w:spacing w:after="80" w:before="0"/>
      </w:pPr>
    </w:p>
    <w:p>
      <w:pPr>
        <w:pStyle w:val="Heading2"/>
        <w:spacing w:after="120" w:before="280"/>
      </w:pPr>
      <w:r>
        <w:rPr>
          <w:rFonts w:ascii="Arial" w:cs="Arial" w:eastAsia="Arial" w:hAnsi="Arial"/>
          <w:b/>
          <w:bCs/>
          <w:color w:val="1A6DD4"/>
          <w:sz w:val="26"/>
          <w:szCs w:val="26"/>
        </w:rPr>
        <w:t xml:space="preserve">9.3  Item Generation Logic</w:t>
      </w:r>
    </w:p>
    <w:p>
      <w:pPr>
        <w:spacing w:after="60" w:before="60"/>
        <w:jc w:val="left"/>
      </w:pPr>
      <w:r>
        <w:rPr>
          <w:rFonts w:ascii="Arial" w:cs="Arial" w:eastAsia="Arial" w:hAnsi="Arial"/>
          <w:b w:val="false"/>
          <w:bCs w:val="false"/>
          <w:i w:val="false"/>
          <w:iCs w:val="false"/>
          <w:color w:val="000000"/>
          <w:sz w:val="22"/>
          <w:szCs w:val="22"/>
        </w:rPr>
        <w:t xml:space="preserve">Phase 2 survey items are not written generically — they are derived directly from coded Phase 1 interview transcripts. Specific behavioral language from top performer responses becomes the survey item. This ensures face validity and contextual relevance: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Interview Finding</w:t>
            </w:r>
          </w:p>
        </w:tc>
        <w:tc>
          <w:tcPr>
            <w:tcW w:type="dxa" w:w="55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Derived Phase 2 Survey Item</w:t>
            </w:r>
          </w:p>
        </w:tc>
      </w:tr>
      <w:tr>
        <w:tc>
          <w:tcPr>
            <w:tcW w:type="dxa" w:w="3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Top performers frequently mentioned 'pre-aligning with stakeholders before the meeting.'</w:t>
            </w:r>
          </w:p>
        </w:tc>
        <w:tc>
          <w:tcPr>
            <w:tcW w:type="dxa" w:w="55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Before important meetings, I proactively align with key stakeholders to understand their concerns and secure buy-in.</w:t>
            </w:r>
          </w:p>
        </w:tc>
      </w:tr>
      <w:tr>
        <w:tc>
          <w:tcPr>
            <w:tcW w:type="dxa" w:w="3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Top performers described 'pausing to diagnose the root issue before acting.'</w:t>
            </w:r>
          </w:p>
        </w:tc>
        <w:tc>
          <w:tcPr>
            <w:tcW w:type="dxa" w:w="55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When faced with a complex problem, I pause to diagnose the root cause before deciding on a solution.</w:t>
            </w:r>
          </w:p>
        </w:tc>
      </w:tr>
      <w:tr>
        <w:tc>
          <w:tcPr>
            <w:tcW w:type="dxa" w:w="3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Average performers described 'working overtime'; top performers described 'renegotiating scope under pressure.'</w:t>
            </w:r>
          </w:p>
        </w:tc>
        <w:tc>
          <w:tcPr>
            <w:tcW w:type="dxa" w:w="55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often work extra hours to meet deadlines rather than renegotiating scope with stakeholders. [Reverse coded]</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10.  Bridging to Phase 3: Scoring &amp; Predictive Model Building</w:t>
      </w:r>
    </w:p>
    <w:p>
      <w:pPr>
        <w:pStyle w:val="Heading2"/>
        <w:spacing w:after="120" w:before="280"/>
      </w:pPr>
      <w:r>
        <w:rPr>
          <w:rFonts w:ascii="Arial" w:cs="Arial" w:eastAsia="Arial" w:hAnsi="Arial"/>
          <w:b/>
          <w:bCs/>
          <w:color w:val="1A6DD4"/>
          <w:sz w:val="26"/>
          <w:szCs w:val="26"/>
        </w:rPr>
        <w:t xml:space="preserve">10.1  Competency Scoring Methodology</w:t>
      </w:r>
    </w:p>
    <w:p>
      <w:pPr>
        <w:spacing w:after="60" w:before="60"/>
        <w:jc w:val="left"/>
      </w:pPr>
      <w:r>
        <w:rPr>
          <w:rFonts w:ascii="Arial" w:cs="Arial" w:eastAsia="Arial" w:hAnsi="Arial"/>
          <w:b w:val="false"/>
          <w:bCs w:val="false"/>
          <w:i w:val="false"/>
          <w:iCs w:val="false"/>
          <w:color w:val="000000"/>
          <w:sz w:val="22"/>
          <w:szCs w:val="22"/>
        </w:rPr>
        <w:t xml:space="preserve">Each Phase 2 survey item is scored on a 1–5 scale. For each of the validated competencies, a composite score is calculated as the average (or weighted average, where Phase 1 evidence suggests differential item importance) of the 4–6 items in that competency cluster. All scores will be standardized (converted to Z-scores) to allow meaningful cross-competency comparison within and across employees.</w:t>
      </w:r>
    </w:p>
    <w:p>
      <w:pPr>
        <w:spacing w:after="80" w:before="0"/>
      </w:pPr>
    </w:p>
    <w:p>
      <w:pPr>
        <w:pStyle w:val="Heading2"/>
        <w:spacing w:after="120" w:before="280"/>
      </w:pPr>
      <w:r>
        <w:rPr>
          <w:rFonts w:ascii="Arial" w:cs="Arial" w:eastAsia="Arial" w:hAnsi="Arial"/>
          <w:b/>
          <w:bCs/>
          <w:color w:val="1A6DD4"/>
          <w:sz w:val="26"/>
          <w:szCs w:val="26"/>
        </w:rPr>
        <w:t xml:space="preserve">10.2  Linking to OLP Performance Composites</w:t>
      </w:r>
    </w:p>
    <w:p>
      <w:pPr>
        <w:spacing w:after="60" w:before="60"/>
        <w:jc w:val="left"/>
      </w:pPr>
      <w:r>
        <w:rPr>
          <w:rFonts w:ascii="Arial" w:cs="Arial" w:eastAsia="Arial" w:hAnsi="Arial"/>
          <w:b w:val="false"/>
          <w:bCs w:val="false"/>
          <w:i w:val="false"/>
          <w:iCs w:val="false"/>
          <w:color w:val="000000"/>
          <w:sz w:val="22"/>
          <w:szCs w:val="22"/>
        </w:rPr>
        <w:t xml:space="preserve">The standardized Phase 2 competency scores will be linked to existing OLP composite scores for the same employees. OLP composite scores are calculated from five years of performance ratings (RTG2021-22 through RTG2025-26) using a validated weighted formula (Avg Rating: 30%, Recency-Weighted Rating: 20%, Rating Trend: 15%, Rating Consistency: 15%, Reliance Experience: 10%, Promotion Flag: 5%, Progression Flag: 5%). The 80th percentile threshold (composite score ≥ 69.148) defines the top performer classification.</w:t>
      </w:r>
    </w:p>
    <w:p>
      <w:pPr>
        <w:spacing w:after="60" w:before="0"/>
      </w:pPr>
    </w:p>
    <w:p>
      <w:pPr>
        <w:spacing w:after="60" w:before="60"/>
        <w:jc w:val="left"/>
      </w:pPr>
      <w:r>
        <w:rPr>
          <w:rFonts w:ascii="Arial" w:cs="Arial" w:eastAsia="Arial" w:hAnsi="Arial"/>
          <w:b w:val="false"/>
          <w:bCs w:val="false"/>
          <w:i w:val="false"/>
          <w:iCs w:val="false"/>
          <w:color w:val="000000"/>
          <w:sz w:val="22"/>
          <w:szCs w:val="22"/>
        </w:rPr>
        <w:t xml:space="preserve">A regression analysis will be run with the standardized competency scores as independent variables and the OLP composite score as the dependent variable. This answers the primary research question: Which competencies are the strongest statistical predictors of performance at Jio Platforms, and by how much?</w:t>
      </w:r>
    </w:p>
    <w:p>
      <w:pPr>
        <w:spacing w:after="80" w:before="0"/>
      </w:pPr>
    </w:p>
    <w:p>
      <w:pPr>
        <w:pStyle w:val="Heading2"/>
        <w:spacing w:after="120" w:before="280"/>
      </w:pPr>
      <w:r>
        <w:rPr>
          <w:rFonts w:ascii="Arial" w:cs="Arial" w:eastAsia="Arial" w:hAnsi="Arial"/>
          <w:b/>
          <w:bCs/>
          <w:color w:val="1A6DD4"/>
          <w:sz w:val="26"/>
          <w:szCs w:val="26"/>
        </w:rPr>
        <w:t xml:space="preserve">10.3  Validation &amp; Calibration Protocol</w:t>
      </w:r>
    </w:p>
    <w:p>
      <w:pPr>
        <w:pStyle w:val="ListParagraph"/>
        <w:numPr>
          <w:ilvl w:val="0"/>
          <w:numId w:val="2"/>
        </w:numPr>
        <w:spacing w:after="40" w:before="40"/>
      </w:pPr>
      <w:r>
        <w:rPr>
          <w:rFonts w:ascii="Arial" w:cs="Arial" w:eastAsia="Arial" w:hAnsi="Arial"/>
          <w:sz w:val="22"/>
          <w:szCs w:val="22"/>
        </w:rPr>
        <w:t xml:space="preserve">Holdout Sample: Split dataset into training (70%) and testing (30%) sets. Build the model on training data; validate on the holdout.</w:t>
      </w:r>
    </w:p>
    <w:p>
      <w:pPr>
        <w:pStyle w:val="ListParagraph"/>
        <w:numPr>
          <w:ilvl w:val="0"/>
          <w:numId w:val="2"/>
        </w:numPr>
        <w:spacing w:after="40" w:before="40"/>
      </w:pPr>
      <w:r>
        <w:rPr>
          <w:rFonts w:ascii="Arial" w:cs="Arial" w:eastAsia="Arial" w:hAnsi="Arial"/>
          <w:sz w:val="22"/>
          <w:szCs w:val="22"/>
        </w:rPr>
        <w:t xml:space="preserve">Key Metrics: R-squared (total explained variance in OLP composite score), Beta coefficients (relative weight of each competency), Cross-validation performance (model stability across subsamples).</w:t>
      </w:r>
    </w:p>
    <w:p>
      <w:pPr>
        <w:pStyle w:val="ListParagraph"/>
        <w:numPr>
          <w:ilvl w:val="0"/>
          <w:numId w:val="2"/>
        </w:numPr>
        <w:spacing w:after="40" w:before="40"/>
      </w:pPr>
      <w:r>
        <w:rPr>
          <w:rFonts w:ascii="Arial" w:cs="Arial" w:eastAsia="Arial" w:hAnsi="Arial"/>
          <w:sz w:val="22"/>
          <w:szCs w:val="22"/>
        </w:rPr>
        <w:t xml:space="preserve">Historical Cohort Test: The model will be tested against the known top-performer cohort already identified via OLP composite scores. Validation criterion: the model must correctly classify ≥70% of confirmed top performers without prior knowledge of their OLP tier.</w:t>
      </w:r>
    </w:p>
    <w:p>
      <w:pPr>
        <w:pStyle w:val="ListParagraph"/>
        <w:numPr>
          <w:ilvl w:val="0"/>
          <w:numId w:val="2"/>
        </w:numPr>
        <w:spacing w:after="40" w:before="40"/>
      </w:pPr>
      <w:r>
        <w:rPr>
          <w:rFonts w:ascii="Arial" w:cs="Arial" w:eastAsia="Arial" w:hAnsi="Arial"/>
          <w:sz w:val="22"/>
          <w:szCs w:val="22"/>
        </w:rPr>
        <w:t xml:space="preserve">Calibration Check: Compare model-predicted performance tier against actual OLP performance tier. Produce a confusion matrix and calculate precision, recall, and F1-score.</w:t>
      </w:r>
    </w:p>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11.  Expected Deliverables</w:t>
      </w:r>
    </w:p>
    <w:p>
      <w:pPr>
        <w:spacing w:after="60" w:before="60"/>
        <w:jc w:val="left"/>
      </w:pPr>
      <w:r>
        <w:rPr>
          <w:rFonts w:ascii="Arial" w:cs="Arial" w:eastAsia="Arial" w:hAnsi="Arial"/>
          <w:b w:val="false"/>
          <w:bCs w:val="false"/>
          <w:i w:val="false"/>
          <w:iCs w:val="false"/>
          <w:color w:val="000000"/>
          <w:sz w:val="22"/>
          <w:szCs w:val="22"/>
        </w:rPr>
        <w:t xml:space="preserve">The full project spans all four phases (Phase 0 through Phase 3) and concludes by July 31, 2026. The following deliverables will be produced: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600"/>
        <w:gridCol w:w="5260"/>
      </w:tblGrid>
      <w:tr>
        <w:tc>
          <w:tcPr>
            <w:tcW w:type="dxa" w:w="8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7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6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52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0</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w:t>
            </w:r>
          </w:p>
        </w:tc>
        <w:tc>
          <w:tcPr>
            <w:tcW w:type="dxa" w:w="2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Differentiator Index</w:t>
            </w:r>
          </w:p>
        </w:tc>
        <w:tc>
          <w:tcPr>
            <w:tcW w:type="dxa" w:w="5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Ranked list of 10 competencies by predictive power (effect size)</w:t>
            </w:r>
          </w:p>
        </w:tc>
      </w:tr>
      <w:tr>
        <w:tc>
          <w:tcPr>
            <w:tcW w:type="dxa" w:w="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0</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2</w:t>
            </w:r>
          </w:p>
        </w:tc>
        <w:tc>
          <w:tcPr>
            <w:tcW w:type="dxa" w:w="2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Belief-Profile Matrix</w:t>
            </w:r>
          </w:p>
        </w:tc>
        <w:tc>
          <w:tcPr>
            <w:tcW w:type="dxa" w:w="5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Visual map of mental models and belief patterns per job level</w:t>
            </w:r>
          </w:p>
        </w:tc>
      </w:tr>
      <w:tr>
        <w:tc>
          <w:tcPr>
            <w:tcW w:type="dxa" w:w="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0</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3</w:t>
            </w:r>
          </w:p>
        </w:tc>
        <w:tc>
          <w:tcPr>
            <w:tcW w:type="dxa" w:w="2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Narrative Corpus</w:t>
            </w:r>
          </w:p>
        </w:tc>
        <w:tc>
          <w:tcPr>
            <w:tcW w:type="dxa" w:w="5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Coded database of all open-ended Section D responses</w:t>
            </w:r>
          </w:p>
        </w:tc>
      </w:tr>
      <w:tr>
        <w:tc>
          <w:tcPr>
            <w:tcW w:type="dxa" w:w="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0</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4</w:t>
            </w:r>
          </w:p>
        </w:tc>
        <w:tc>
          <w:tcPr>
            <w:tcW w:type="dxa" w:w="2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Agency Score Dashboard</w:t>
            </w:r>
          </w:p>
        </w:tc>
        <w:tc>
          <w:tcPr>
            <w:tcW w:type="dxa" w:w="5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Text-mining metric (action-verb density) per respondent; reusable for future cohorts</w:t>
            </w:r>
          </w:p>
        </w:tc>
      </w:tr>
      <w:tr>
        <w:tc>
          <w:tcPr>
            <w:tcW w:type="dxa" w:w="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1</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5</w:t>
            </w:r>
          </w:p>
        </w:tc>
        <w:tc>
          <w:tcPr>
            <w:tcW w:type="dxa" w:w="2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Phase 1 Interview Question Bank</w:t>
            </w:r>
          </w:p>
        </w:tc>
        <w:tc>
          <w:tcPr>
            <w:tcW w:type="dxa" w:w="5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15–20 STAR questions, probing follow-ups, and behavioral rating rubrics (1–5 scale with anchors)</w:t>
            </w:r>
          </w:p>
        </w:tc>
      </w:tr>
      <w:tr>
        <w:tc>
          <w:tcPr>
            <w:tcW w:type="dxa" w:w="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2</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6</w:t>
            </w:r>
          </w:p>
        </w:tc>
        <w:tc>
          <w:tcPr>
            <w:tcW w:type="dxa" w:w="2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Phase 2 Targeted Survey Instrument</w:t>
            </w:r>
          </w:p>
        </w:tc>
        <w:tc>
          <w:tcPr>
            <w:tcW w:type="dxa" w:w="5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4–6 closed-ended Likert items per validated competency</w:t>
            </w:r>
          </w:p>
        </w:tc>
      </w:tr>
      <w:tr>
        <w:tc>
          <w:tcPr>
            <w:tcW w:type="dxa" w:w="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2</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7</w:t>
            </w:r>
          </w:p>
        </w:tc>
        <w:tc>
          <w:tcPr>
            <w:tcW w:type="dxa" w:w="2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Phase 2 Raw Data (Scored)</w:t>
            </w:r>
          </w:p>
        </w:tc>
        <w:tc>
          <w:tcPr>
            <w:tcW w:type="dxa" w:w="5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Cleaned, scored dataset for 150–300 employees</w:t>
            </w:r>
          </w:p>
        </w:tc>
      </w:tr>
      <w:tr>
        <w:tc>
          <w:tcPr>
            <w:tcW w:type="dxa" w:w="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3</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8</w:t>
            </w:r>
          </w:p>
        </w:tc>
        <w:tc>
          <w:tcPr>
            <w:tcW w:type="dxa" w:w="2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Predictive Model Outputs</w:t>
            </w:r>
          </w:p>
        </w:tc>
        <w:tc>
          <w:tcPr>
            <w:tcW w:type="dxa" w:w="5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Regression coefficients, R-squared, cross-validation metrics, and model calibration report</w:t>
            </w:r>
          </w:p>
        </w:tc>
      </w:tr>
      <w:tr>
        <w:tc>
          <w:tcPr>
            <w:tcW w:type="dxa" w:w="8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3</w:t>
            </w:r>
          </w:p>
        </w:tc>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9</w:t>
            </w:r>
          </w:p>
        </w:tc>
        <w:tc>
          <w:tcPr>
            <w:tcW w:type="dxa" w:w="26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Final Competency Framework Document</w:t>
            </w:r>
          </w:p>
        </w:tc>
        <w:tc>
          <w:tcPr>
            <w:tcW w:type="dxa" w:w="52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Definitions, behavioral indicators, level-specific differentiators, and weighted scoring formula</w:t>
            </w:r>
          </w:p>
        </w:tc>
      </w:tr>
      <w:tr>
        <w:tc>
          <w:tcPr>
            <w:tcW w:type="dxa" w:w="8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3</w:t>
            </w:r>
          </w:p>
        </w:tc>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val="false"/>
                <w:bCs w:val="false"/>
                <w:color w:val="0B2A44"/>
                <w:sz w:val="18"/>
                <w:szCs w:val="18"/>
              </w:rPr>
              <w:t xml:space="preserve">10</w:t>
            </w:r>
          </w:p>
        </w:tc>
        <w:tc>
          <w:tcPr>
            <w:tcW w:type="dxa" w:w="26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bCs/>
                <w:color w:val="0B2A44"/>
                <w:sz w:val="18"/>
                <w:szCs w:val="18"/>
              </w:rPr>
              <w:t xml:space="preserve">Final Recommendation Report</w:t>
            </w:r>
          </w:p>
        </w:tc>
        <w:tc>
          <w:tcPr>
            <w:tcW w:type="dxa" w:w="52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Actionable HR recommendations for recruitment, development, promotion, and succession planning</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12.  Limitations &amp; Future Recommendations</w:t>
      </w:r>
    </w:p>
    <w:p>
      <w:pPr>
        <w:pStyle w:val="Heading2"/>
        <w:spacing w:after="120" w:before="280"/>
      </w:pPr>
      <w:r>
        <w:rPr>
          <w:rFonts w:ascii="Arial" w:cs="Arial" w:eastAsia="Arial" w:hAnsi="Arial"/>
          <w:b/>
          <w:bCs/>
          <w:color w:val="1A6DD4"/>
          <w:sz w:val="26"/>
          <w:szCs w:val="26"/>
        </w:rPr>
        <w:t xml:space="preserve">12.1  Key Limitations</w:t>
      </w:r>
    </w:p>
    <w:p>
      <w:pPr>
        <w:pStyle w:val="ListParagraph"/>
        <w:numPr>
          <w:ilvl w:val="0"/>
          <w:numId w:val="3"/>
        </w:numPr>
        <w:spacing w:after="40" w:before="40"/>
      </w:pPr>
      <w:r>
        <w:rPr>
          <w:rFonts w:ascii="Arial" w:cs="Arial" w:eastAsia="Arial" w:hAnsi="Arial"/>
          <w:sz w:val="22"/>
          <w:szCs w:val="22"/>
        </w:rPr>
        <w:t xml:space="preserve">Common Method Variance (CMV): All Phase 0 and Phase 2 data is self-reported. Without external validation (manager ratings, peer feedback, or objective behavioral observation), we cannot definitively separate self-perception from actual competency. This limitation is partially addressed by Phase 1 structured interviews, Phase 2 wider validation, and Phase 3 linkage to OLP composites — but it remains the primary methodological concern and must be disclosed in the final report.</w:t>
      </w:r>
    </w:p>
    <w:p>
      <w:pPr>
        <w:pStyle w:val="ListParagraph"/>
        <w:numPr>
          <w:ilvl w:val="0"/>
          <w:numId w:val="3"/>
        </w:numPr>
        <w:spacing w:after="40" w:before="40"/>
      </w:pPr>
      <w:r>
        <w:rPr>
          <w:rFonts w:ascii="Arial" w:cs="Arial" w:eastAsia="Arial" w:hAnsi="Arial"/>
          <w:sz w:val="22"/>
          <w:szCs w:val="22"/>
        </w:rPr>
        <w:t xml:space="preserve">Cross-Sectional Design: The survey captures a single behavioral snapshot. Performance is dynamic; the same individual may display different competency profiles under different organizational conditions. Phase 3 will partially address this by linking to five years of historical OLP ratings, but the survey data itself is cross-sectional.</w:t>
      </w:r>
    </w:p>
    <w:p>
      <w:pPr>
        <w:pStyle w:val="ListParagraph"/>
        <w:numPr>
          <w:ilvl w:val="0"/>
          <w:numId w:val="3"/>
        </w:numPr>
        <w:spacing w:after="40" w:before="40"/>
      </w:pPr>
      <w:r>
        <w:rPr>
          <w:rFonts w:ascii="Arial" w:cs="Arial" w:eastAsia="Arial" w:hAnsi="Arial"/>
          <w:sz w:val="22"/>
          <w:szCs w:val="22"/>
        </w:rPr>
        <w:t xml:space="preserve">Platform Constraints: Microsoft Forms does not natively support Semantic Differential bipolar format or drag-and-drop scenario ranking. The HTML prototype demonstrates the ideal format; the live deployment represents an adapted version. This may reduce the discriminating power of Section A items compared to the prototype design.</w:t>
      </w:r>
    </w:p>
    <w:p>
      <w:pPr>
        <w:pStyle w:val="ListParagraph"/>
        <w:numPr>
          <w:ilvl w:val="0"/>
          <w:numId w:val="3"/>
        </w:numPr>
        <w:spacing w:after="40" w:before="40"/>
      </w:pPr>
      <w:r>
        <w:rPr>
          <w:rFonts w:ascii="Arial" w:cs="Arial" w:eastAsia="Arial" w:hAnsi="Arial"/>
          <w:sz w:val="22"/>
          <w:szCs w:val="22"/>
        </w:rPr>
        <w:t xml:space="preserve">Response Rate Risk: Classified as High likelihood in the project charter risk register. Target is 150 complete responses within a 2-day deployment window. Mitigation: manager advocacy letters, full anonymity guarantee, and clear communication linking survey participation to individual development program investment.</w:t>
      </w:r>
    </w:p>
    <w:p>
      <w:pPr>
        <w:pStyle w:val="ListParagraph"/>
        <w:numPr>
          <w:ilvl w:val="0"/>
          <w:numId w:val="3"/>
        </w:numPr>
        <w:spacing w:after="40" w:before="40"/>
      </w:pPr>
      <w:r>
        <w:rPr>
          <w:rFonts w:ascii="Arial" w:cs="Arial" w:eastAsia="Arial" w:hAnsi="Arial"/>
          <w:sz w:val="22"/>
          <w:szCs w:val="22"/>
        </w:rPr>
        <w:t xml:space="preserve">Sample Representation: If response rates are uneven across job levels (e.g., leaders respond less than juniors), the competency model will have unequal reliability across the hierarchy. Post-collection demographic comparison between respondents and the full OLP population will identify any significant representational gaps.</w:t>
      </w:r>
    </w:p>
    <w:p>
      <w:pPr>
        <w:pStyle w:val="ListParagraph"/>
        <w:numPr>
          <w:ilvl w:val="0"/>
          <w:numId w:val="3"/>
        </w:numPr>
        <w:spacing w:after="40" w:before="40"/>
      </w:pPr>
      <w:r>
        <w:rPr>
          <w:rFonts w:ascii="Arial" w:cs="Arial" w:eastAsia="Arial" w:hAnsi="Arial"/>
          <w:sz w:val="22"/>
          <w:szCs w:val="22"/>
        </w:rPr>
        <w:t xml:space="preserve">Phase 2 &amp; 3 Dependencies: Successful completion of Phases 2 and 3 is contingent on access to full OLP composite scores for the survey respondent population, sufficient Phase 2 sample size (target: 150–300), and management buy-in for Phase 1 interview scheduling.</w:t>
      </w:r>
    </w:p>
    <w:p>
      <w:pPr>
        <w:spacing w:after="120" w:before="0"/>
      </w:pPr>
    </w:p>
    <w:p>
      <w:pPr>
        <w:pStyle w:val="Heading2"/>
        <w:spacing w:after="120" w:before="280"/>
      </w:pPr>
      <w:r>
        <w:rPr>
          <w:rFonts w:ascii="Arial" w:cs="Arial" w:eastAsia="Arial" w:hAnsi="Arial"/>
          <w:b/>
          <w:bCs/>
          <w:color w:val="1A6DD4"/>
          <w:sz w:val="26"/>
          <w:szCs w:val="26"/>
        </w:rPr>
        <w:t xml:space="preserve">12.2  Future Recommendations</w:t>
      </w:r>
    </w:p>
    <w:p>
      <w:pPr>
        <w:pStyle w:val="ListParagraph"/>
        <w:numPr>
          <w:ilvl w:val="0"/>
          <w:numId w:val="3"/>
        </w:numPr>
        <w:spacing w:after="40" w:before="40"/>
      </w:pPr>
      <w:r>
        <w:rPr>
          <w:rFonts w:ascii="Arial" w:cs="Arial" w:eastAsia="Arial" w:hAnsi="Arial"/>
          <w:sz w:val="22"/>
          <w:szCs w:val="22"/>
        </w:rPr>
        <w:t xml:space="preserve">Transition to Qualtrics for Phase 2: Qualtrics natively supports Semantic Differential, drag-and-drop ranking, conditional logic, and advanced export options compatible with SPSS/R. The improved format fidelity alone is expected to meaningfully increase the discriminating power of Section A-equivalent items.</w:t>
      </w:r>
    </w:p>
    <w:p>
      <w:pPr>
        <w:pStyle w:val="ListParagraph"/>
        <w:numPr>
          <w:ilvl w:val="0"/>
          <w:numId w:val="3"/>
        </w:numPr>
        <w:spacing w:after="40" w:before="40"/>
      </w:pPr>
      <w:r>
        <w:rPr>
          <w:rFonts w:ascii="Arial" w:cs="Arial" w:eastAsia="Arial" w:hAnsi="Arial"/>
          <w:sz w:val="22"/>
          <w:szCs w:val="22"/>
        </w:rPr>
        <w:t xml:space="preserve">Implement 360-Degree Component in Phase 2: Incorporate a manager-rating parallel survey where direct managers rate their reports on the same competencies. This eliminates Common Method Variance and adds an external validation layer that self-report alone cannot provide.</w:t>
      </w:r>
    </w:p>
    <w:p>
      <w:pPr>
        <w:pStyle w:val="ListParagraph"/>
        <w:numPr>
          <w:ilvl w:val="0"/>
          <w:numId w:val="3"/>
        </w:numPr>
        <w:spacing w:after="40" w:before="40"/>
      </w:pPr>
      <w:r>
        <w:rPr>
          <w:rFonts w:ascii="Arial" w:cs="Arial" w:eastAsia="Arial" w:hAnsi="Arial"/>
          <w:sz w:val="22"/>
          <w:szCs w:val="22"/>
        </w:rPr>
        <w:t xml:space="preserve">Add Forced-Choice Pairwise Format: For Phase 2 or future iterations, replace the Likert scale with pairwise behavioral comparisons ('Which is more like you: A or B?'). This is the methodological gold standard for eliminating faking and straight-lining in competency surveys.</w:t>
      </w:r>
    </w:p>
    <w:p>
      <w:pPr>
        <w:pStyle w:val="ListParagraph"/>
        <w:numPr>
          <w:ilvl w:val="0"/>
          <w:numId w:val="3"/>
        </w:numPr>
        <w:spacing w:after="40" w:before="40"/>
      </w:pPr>
      <w:r>
        <w:rPr>
          <w:rFonts w:ascii="Arial" w:cs="Arial" w:eastAsia="Arial" w:hAnsi="Arial"/>
          <w:sz w:val="22"/>
          <w:szCs w:val="22"/>
        </w:rPr>
        <w:t xml:space="preserve">Longitudinal Tracking: Link the Phase 3 competency model to actual performance outcomes (OLP composite scores, promotion rates, attrition flags) over an 18-month horizon. This transitions the model from cross-sectional to predictive and allows causality to be assessed.</w:t>
      </w:r>
    </w:p>
    <w:p>
      <w:pPr>
        <w:pStyle w:val="ListParagraph"/>
        <w:numPr>
          <w:ilvl w:val="0"/>
          <w:numId w:val="3"/>
        </w:numPr>
        <w:spacing w:after="40" w:before="40"/>
      </w:pPr>
      <w:r>
        <w:rPr>
          <w:rFonts w:ascii="Arial" w:cs="Arial" w:eastAsia="Arial" w:hAnsi="Arial"/>
          <w:sz w:val="22"/>
          <w:szCs w:val="22"/>
        </w:rPr>
        <w:t xml:space="preserve">NLP-Assisted Section D Coding: For future survey cycles, leverage Natural Language Processing (NLP) tools to automate thematic coding of Section D open-ended responses. This enables near-real-time analysis and removes the manual effort bottleneck from the analytical pipeline.</w:t>
      </w:r>
    </w:p>
    <w:p>
      <w:pPr>
        <w:pStyle w:val="ListParagraph"/>
        <w:numPr>
          <w:ilvl w:val="0"/>
          <w:numId w:val="3"/>
        </w:numPr>
        <w:spacing w:after="40" w:before="40"/>
      </w:pPr>
      <w:r>
        <w:rPr>
          <w:rFonts w:ascii="Arial" w:cs="Arial" w:eastAsia="Arial" w:hAnsi="Arial"/>
          <w:sz w:val="22"/>
          <w:szCs w:val="22"/>
        </w:rPr>
        <w:t xml:space="preserve">Platform-Native Competency Labels: In Section B of the live Microsoft Forms deployment, replace the visible competency codes (EE, ST, LA, etc.) with neutral labels (B1–B10). The current version exposes the competency framework to respondents, which may introduce framing bias in their forced ranking.</w:t>
      </w:r>
    </w:p>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Appendix A: Competency Coding Framework (Section D)</w:t>
      </w:r>
    </w:p>
    <w:p>
      <w:pPr>
        <w:spacing w:after="60" w:before="60"/>
        <w:jc w:val="left"/>
      </w:pPr>
      <w:r>
        <w:rPr>
          <w:rFonts w:ascii="Arial" w:cs="Arial" w:eastAsia="Arial" w:hAnsi="Arial"/>
          <w:b w:val="false"/>
          <w:bCs w:val="false"/>
          <w:i w:val="false"/>
          <w:iCs w:val="false"/>
          <w:color w:val="000000"/>
          <w:sz w:val="22"/>
          <w:szCs w:val="22"/>
        </w:rPr>
        <w:t xml:space="preserve">The following framework is used for thematic coding of all Section D open-ended responses. Each response is tagged with the primary competency code it most strongly demonstrates, based on the behavioral evidence present in the text — not the respondent's self-labeling.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c>
          <w:tcPr>
            <w:tcW w:type="dxa" w:w="320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Codes For</w:t>
            </w:r>
          </w:p>
        </w:tc>
        <w:tc>
          <w:tcPr>
            <w:tcW w:type="dxa" w:w="5460"/>
            <w:tcBorders>
              <w:top w:val="single" w:color="CCDDEF" w:sz="1"/>
              <w:left w:val="single" w:color="CCDDEF" w:sz="1"/>
              <w:bottom w:val="single" w:color="CCDDEF" w:sz="1"/>
              <w:right w:val="single" w:color="CCDDEF" w:sz="1"/>
            </w:tcBorders>
            <w:shd w:fill="1A4B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 of High-Score Response</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EE</w:t>
            </w:r>
          </w:p>
        </w:tc>
        <w:tc>
          <w:tcPr>
            <w:tcW w:type="dxa" w:w="3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Delivers quality work under pressure, completes tasks without reminders.</w:t>
            </w:r>
          </w:p>
        </w:tc>
        <w:tc>
          <w:tcPr>
            <w:tcW w:type="dxa" w:w="54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restructured the entire report in 4 hours and delivered it with zero errors before the deadline."</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ST</w:t>
            </w:r>
          </w:p>
        </w:tc>
        <w:tc>
          <w:tcPr>
            <w:tcW w:type="dxa" w:w="3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Connects work to organizational goals, anticipates problems.</w:t>
            </w:r>
          </w:p>
        </w:tc>
        <w:tc>
          <w:tcPr>
            <w:tcW w:type="dxa" w:w="54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"Before starting, I asked how this would impact our Q3 revenue targets, then aligned the approach accordingly."</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LA</w:t>
            </w:r>
          </w:p>
        </w:tc>
        <w:tc>
          <w:tcPr>
            <w:tcW w:type="dxa" w:w="3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Seeks learning, adapts to feedback, recovers from mistakes.</w:t>
            </w:r>
          </w:p>
        </w:tc>
        <w:tc>
          <w:tcPr>
            <w:tcW w:type="dxa" w:w="54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took a weekend course to learn SQL so I could pull my own data. The team now uses my script daily."</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CI</w:t>
            </w:r>
          </w:p>
        </w:tc>
        <w:tc>
          <w:tcPr>
            <w:tcW w:type="dxa" w:w="3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Builds networks, influences without authority, navigates conflict.</w:t>
            </w:r>
          </w:p>
        </w:tc>
        <w:tc>
          <w:tcPr>
            <w:tcW w:type="dxa" w:w="54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pre-aligned with all 5 stakeholders before the meeting to ensure a unanimous decision and no surprises."</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PS</w:t>
            </w:r>
          </w:p>
        </w:tc>
        <w:tc>
          <w:tcPr>
            <w:tcW w:type="dxa" w:w="3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Structures ambiguity, explores alternatives, uses data.</w:t>
            </w:r>
          </w:p>
        </w:tc>
        <w:tc>
          <w:tcPr>
            <w:tcW w:type="dxa" w:w="54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broke the 3-month project into 10 milestones, mapped dependencies, and identified the three critical-path risks upfront."</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DI</w:t>
            </w:r>
          </w:p>
        </w:tc>
        <w:tc>
          <w:tcPr>
            <w:tcW w:type="dxa" w:w="3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Self-starts, persists, exceeds expectations.</w:t>
            </w:r>
          </w:p>
        </w:tc>
        <w:tc>
          <w:tcPr>
            <w:tcW w:type="dxa" w:w="54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designed a new triage system without being asked. SLAs improved by 25% within 6 weeks of launch."</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PL</w:t>
            </w:r>
          </w:p>
        </w:tc>
        <w:tc>
          <w:tcPr>
            <w:tcW w:type="dxa" w:w="3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Develops others, gives candid feedback, enables performance.</w:t>
            </w:r>
          </w:p>
        </w:tc>
        <w:tc>
          <w:tcPr>
            <w:tcW w:type="dxa" w:w="54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sat with the junior developer every week to review his code and gave specific, actionable improvements. He was promoted within 8 months."</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CM</w:t>
            </w:r>
          </w:p>
        </w:tc>
        <w:tc>
          <w:tcPr>
            <w:tcW w:type="dxa" w:w="3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Communicates clearly, adapts style, listens actively.</w:t>
            </w:r>
          </w:p>
        </w:tc>
        <w:tc>
          <w:tcPr>
            <w:tcW w:type="dxa" w:w="54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noticed the audience was non-technical 10 minutes in, so I paused and rebuilt the presentation using an analogy instead of data."</w:t>
            </w:r>
          </w:p>
        </w:tc>
      </w:tr>
      <w:tr>
        <w:tc>
          <w:tcPr>
            <w:tcW w:type="dxa" w:w="7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RE</w:t>
            </w:r>
          </w:p>
        </w:tc>
        <w:tc>
          <w:tcPr>
            <w:tcW w:type="dxa" w:w="320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Maintains composure under pressure, recovers quickly from setbacks.</w:t>
            </w:r>
          </w:p>
        </w:tc>
        <w:tc>
          <w:tcPr>
            <w:tcW w:type="dxa" w:w="5460"/>
            <w:tcBorders>
              <w:top w:val="single" w:color="CCDDEF" w:sz="1"/>
              <w:left w:val="single" w:color="CCDDEF" w:sz="1"/>
              <w:bottom w:val="single" w:color="CCDDEF" w:sz="1"/>
              <w:right w:val="single" w:color="CCDDE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"When the server crashed during the client demo, I switched to my backup slides, stayed calm, and turned it into a discussion."</w:t>
            </w:r>
          </w:p>
        </w:tc>
      </w:tr>
      <w:tr>
        <w:tc>
          <w:tcPr>
            <w:tcW w:type="dxa" w:w="7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center"/>
            </w:pPr>
            <w:r>
              <w:rPr>
                <w:rFonts w:ascii="Arial" w:cs="Arial" w:eastAsia="Arial" w:hAnsi="Arial"/>
                <w:b/>
                <w:bCs/>
                <w:color w:val="1A6DD4"/>
                <w:sz w:val="18"/>
                <w:szCs w:val="18"/>
              </w:rPr>
              <w:t xml:space="preserve">CO</w:t>
            </w:r>
          </w:p>
        </w:tc>
        <w:tc>
          <w:tcPr>
            <w:tcW w:type="dxa" w:w="320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Understands stakeholder needs, goes beyond stated requirements.</w:t>
            </w:r>
          </w:p>
        </w:tc>
        <w:tc>
          <w:tcPr>
            <w:tcW w:type="dxa" w:w="5460"/>
            <w:tcBorders>
              <w:top w:val="single" w:color="CCDDEF" w:sz="1"/>
              <w:left w:val="single" w:color="CCDDEF" w:sz="1"/>
              <w:bottom w:val="single" w:color="CCDDEF" w:sz="1"/>
              <w:right w:val="single" w:color="CCDDEF" w:sz="1"/>
            </w:tcBorders>
            <w:shd w:fill="EEF4FA" w:val="clear"/>
            <w:tcMar>
              <w:top w:type="dxa" w:w="80"/>
              <w:left w:type="dxa" w:w="120"/>
              <w:bottom w:type="dxa" w:w="80"/>
              <w:right w:type="dxa" w:w="120"/>
            </w:tcMar>
            <w:vAlign w:val="top"/>
          </w:tcPr>
          <w:p>
            <w:pPr>
              <w:jc w:val="left"/>
            </w:pPr>
            <w:r>
              <w:rPr>
                <w:rFonts w:ascii="Arial" w:cs="Arial" w:eastAsia="Arial" w:hAnsi="Arial"/>
                <w:b w:val="false"/>
                <w:bCs w:val="false"/>
                <w:color w:val="0B2A44"/>
                <w:sz w:val="18"/>
                <w:szCs w:val="18"/>
              </w:rPr>
              <w:t xml:space="preserve">"I asked why the stakeholder needed the report, discovered the real need, and built a real-time dashboard instead of a PDF."</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Appendix B: Interview STAR Question Template</w:t>
      </w:r>
    </w:p>
    <w:p>
      <w:pPr>
        <w:spacing w:after="60" w:before="60"/>
        <w:jc w:val="left"/>
      </w:pPr>
      <w:r>
        <w:rPr>
          <w:rFonts w:ascii="Arial" w:cs="Arial" w:eastAsia="Arial" w:hAnsi="Arial"/>
          <w:b w:val="false"/>
          <w:bCs w:val="false"/>
          <w:i w:val="false"/>
          <w:iCs w:val="false"/>
          <w:color w:val="000000"/>
          <w:sz w:val="22"/>
          <w:szCs w:val="22"/>
        </w:rPr>
        <w:t xml:space="preserve">For each validated core competency emerging from the triangulation matrix, the following template generates a complete, survey-grounded interview question bank: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DD4" w:sz="4"/>
              <w:left w:val="single" w:color="1A6DD4" w:sz="12"/>
              <w:bottom w:val="single" w:color="CCDDEF" w:sz="1"/>
              <w:right w:val="single" w:color="CCDDEF" w:sz="1"/>
            </w:tcBorders>
            <w:shd w:fill="E8F0FB" w:val="clear"/>
            <w:tcMar>
              <w:top w:type="dxa" w:w="140"/>
              <w:left w:type="dxa" w:w="200"/>
              <w:bottom w:type="dxa" w:w="140"/>
              <w:right w:type="dxa" w:w="200"/>
            </w:tcMar>
          </w:tcPr>
          <w:p>
            <w:pPr>
              <w:spacing w:after="60" w:before="0"/>
            </w:pPr>
            <w:r>
              <w:rPr>
                <w:rFonts w:ascii="Arial" w:cs="Arial" w:eastAsia="Arial" w:hAnsi="Arial"/>
                <w:b/>
                <w:bCs/>
                <w:color w:val="1A6DD4"/>
                <w:sz w:val="22"/>
                <w:szCs w:val="22"/>
              </w:rPr>
              <w:t xml:space="preserve">STAR Question Template Structure</w:t>
            </w:r>
          </w:p>
          <w:p>
            <w:pPr>
              <w:spacing w:after="40" w:before="40"/>
            </w:pPr>
            <w:r>
              <w:rPr>
                <w:rFonts w:ascii="Arial" w:cs="Arial" w:eastAsia="Arial" w:hAnsi="Arial"/>
                <w:color w:val="0B2A44"/>
                <w:sz w:val="20"/>
                <w:szCs w:val="20"/>
              </w:rPr>
              <w:t xml:space="preserve">Competency: [Competency Name &amp; Code]</w:t>
            </w:r>
          </w:p>
          <w:p>
            <w:pPr>
              <w:spacing w:after="40" w:before="40"/>
            </w:pPr>
            <w:r>
              <w:rPr>
                <w:rFonts w:ascii="Arial" w:cs="Arial" w:eastAsia="Arial" w:hAnsi="Arial"/>
                <w:color w:val="0B2A44"/>
                <w:sz w:val="20"/>
                <w:szCs w:val="20"/>
              </w:rPr>
              <w:t xml:space="preserve">Survey Signal: [The specific Phase 0 finding that validates this competency as differentiating]</w:t>
            </w:r>
          </w:p>
          <w:p>
            <w:pPr>
              <w:spacing w:after="40" w:before="40"/>
            </w:pPr>
            <w:r>
              <w:rPr>
                <w:rFonts w:ascii="Arial" w:cs="Arial" w:eastAsia="Arial" w:hAnsi="Arial"/>
                <w:color w:val="0B2A44"/>
                <w:sz w:val="20"/>
                <w:szCs w:val="20"/>
              </w:rPr>
              <w:t xml:space="preserve">Primary Question: 'Tell me about a time you [action verb derived from Section D top performer responses]...'</w:t>
            </w:r>
          </w:p>
          <w:p>
            <w:pPr>
              <w:spacing w:after="40" w:before="40"/>
            </w:pPr>
            <w:r>
              <w:rPr>
                <w:rFonts w:ascii="Arial" w:cs="Arial" w:eastAsia="Arial" w:hAnsi="Arial"/>
                <w:color w:val="0B2A44"/>
                <w:sz w:val="20"/>
                <w:szCs w:val="20"/>
              </w:rPr>
              <w:t xml:space="preserve">Probing Follow-Up 1: 'What was the specific situation that prompted you to act?'</w:t>
            </w:r>
          </w:p>
          <w:p>
            <w:pPr>
              <w:spacing w:after="40" w:before="40"/>
            </w:pPr>
            <w:r>
              <w:rPr>
                <w:rFonts w:ascii="Arial" w:cs="Arial" w:eastAsia="Arial" w:hAnsi="Arial"/>
                <w:color w:val="0B2A44"/>
                <w:sz w:val="20"/>
                <w:szCs w:val="20"/>
              </w:rPr>
              <w:t xml:space="preserve">Probing Follow-Up 2: 'What were the specific steps you took, in order?'</w:t>
            </w:r>
          </w:p>
          <w:p>
            <w:pPr>
              <w:spacing w:after="40" w:before="40"/>
            </w:pPr>
            <w:r>
              <w:rPr>
                <w:rFonts w:ascii="Arial" w:cs="Arial" w:eastAsia="Arial" w:hAnsi="Arial"/>
                <w:color w:val="0B2A44"/>
                <w:sz w:val="20"/>
                <w:szCs w:val="20"/>
              </w:rPr>
              <w:t xml:space="preserve">Probing Follow-Up 3: 'What was the measurable outcome, and how did you know it was successful?'</w:t>
            </w:r>
          </w:p>
          <w:p>
            <w:pPr>
              <w:spacing w:after="40" w:before="40"/>
            </w:pPr>
            <w:r>
              <w:rPr>
                <w:rFonts w:ascii="Arial" w:cs="Arial" w:eastAsia="Arial" w:hAnsi="Arial"/>
                <w:color w:val="0B2A44"/>
                <w:sz w:val="20"/>
                <w:szCs w:val="20"/>
              </w:rPr>
              <w:t xml:space="preserve">Probing Follow-Up 4: 'With hindsight, what would you have done differently?'</w:t>
            </w:r>
          </w:p>
          <w:p>
            <w:pPr>
              <w:spacing w:after="40" w:before="40"/>
            </w:pPr>
            <w:r>
              <w:rPr>
                <w:rFonts w:ascii="Arial" w:cs="Arial" w:eastAsia="Arial" w:hAnsi="Arial"/>
                <w:color w:val="0B2A44"/>
                <w:sz w:val="20"/>
                <w:szCs w:val="20"/>
              </w:rPr>
              <w:t xml:space="preserve">Rating Anchor (5 — Exceptional): [Direct quote from a top performer's Section D response]</w:t>
            </w:r>
          </w:p>
          <w:p>
            <w:pPr>
              <w:spacing w:after="40" w:before="40"/>
            </w:pPr>
            <w:r>
              <w:rPr>
                <w:rFonts w:ascii="Arial" w:cs="Arial" w:eastAsia="Arial" w:hAnsi="Arial"/>
                <w:color w:val="0B2A44"/>
                <w:sz w:val="20"/>
                <w:szCs w:val="20"/>
              </w:rPr>
              <w:t xml:space="preserve">Rating Anchor (3 — Adequate): [Paraphrase of average performer's typical Section D response]</w:t>
            </w:r>
          </w:p>
          <w:p>
            <w:pPr>
              <w:spacing w:after="40" w:before="40"/>
            </w:pPr>
            <w:r>
              <w:rPr>
                <w:rFonts w:ascii="Arial" w:cs="Arial" w:eastAsia="Arial" w:hAnsi="Arial"/>
                <w:color w:val="0B2A44"/>
                <w:sz w:val="20"/>
                <w:szCs w:val="20"/>
              </w:rPr>
              <w:t xml:space="preserve">Rating Anchor (1 — Reactive/Insufficient): [Paraphrase of low-quality or avoidant Section D response]</w:t>
            </w:r>
          </w:p>
        </w:tc>
      </w:tr>
    </w:tbl>
    <w:p>
      <w:pPr>
        <w:pBdr>
          <w:bottom w:val="single" w:color="CCDDEF" w:sz="4"/>
        </w:pBdr>
        <w:spacing w:after="160" w:before="160"/>
      </w:pPr>
    </w:p>
    <w:p>
      <w:pPr>
        <w:pStyle w:val="Heading1"/>
        <w:spacing w:after="160" w:before="400"/>
      </w:pPr>
      <w:r>
        <w:rPr>
          <w:rFonts w:ascii="Arial" w:cs="Arial" w:eastAsia="Arial" w:hAnsi="Arial"/>
          <w:b/>
          <w:bCs/>
          <w:color w:val="0B2A44"/>
          <w:sz w:val="32"/>
          <w:szCs w:val="32"/>
        </w:rPr>
        <w:t xml:space="preserve">Appendix C: Data Cleaning Decision Log</w:t>
      </w:r>
    </w:p>
    <w:p>
      <w:pPr>
        <w:spacing w:after="60" w:before="60"/>
        <w:jc w:val="left"/>
      </w:pPr>
      <w:r>
        <w:rPr>
          <w:rFonts w:ascii="Arial" w:cs="Arial" w:eastAsia="Arial" w:hAnsi="Arial"/>
          <w:b w:val="false"/>
          <w:bCs w:val="false"/>
          <w:i w:val="false"/>
          <w:iCs w:val="false"/>
          <w:color w:val="000000"/>
          <w:sz w:val="22"/>
          <w:szCs w:val="22"/>
        </w:rPr>
        <w:t xml:space="preserve">All data quality decisions will be documented in the Data Cleaning Decision Log, which is maintained alongside the master response dataset. For each exclusion, the following fields are recorded:</w:t>
      </w:r>
    </w:p>
    <w:p>
      <w:pPr>
        <w:pStyle w:val="ListParagraph"/>
        <w:numPr>
          <w:ilvl w:val="0"/>
          <w:numId w:val="2"/>
        </w:numPr>
        <w:spacing w:after="40" w:before="40"/>
      </w:pPr>
      <w:r>
        <w:rPr>
          <w:rFonts w:ascii="Arial" w:cs="Arial" w:eastAsia="Arial" w:hAnsi="Arial"/>
          <w:sz w:val="22"/>
          <w:szCs w:val="22"/>
        </w:rPr>
        <w:t xml:space="preserve">Respondent ID and Job Level</w:t>
      </w:r>
    </w:p>
    <w:p>
      <w:pPr>
        <w:pStyle w:val="ListParagraph"/>
        <w:numPr>
          <w:ilvl w:val="0"/>
          <w:numId w:val="2"/>
        </w:numPr>
        <w:spacing w:after="40" w:before="40"/>
      </w:pPr>
      <w:r>
        <w:rPr>
          <w:rFonts w:ascii="Arial" w:cs="Arial" w:eastAsia="Arial" w:hAnsi="Arial"/>
          <w:sz w:val="22"/>
          <w:szCs w:val="22"/>
        </w:rPr>
        <w:t xml:space="preserve">Exclusion Reason (one of five cleaning filters)</w:t>
      </w:r>
    </w:p>
    <w:p>
      <w:pPr>
        <w:pStyle w:val="ListParagraph"/>
        <w:numPr>
          <w:ilvl w:val="0"/>
          <w:numId w:val="2"/>
        </w:numPr>
        <w:spacing w:after="40" w:before="40"/>
      </w:pPr>
      <w:r>
        <w:rPr>
          <w:rFonts w:ascii="Arial" w:cs="Arial" w:eastAsia="Arial" w:hAnsi="Arial"/>
          <w:sz w:val="22"/>
          <w:szCs w:val="22"/>
        </w:rPr>
        <w:t xml:space="preserve">Raw data retained (excluded respondents are archived, not deleted)</w:t>
      </w:r>
    </w:p>
    <w:p>
      <w:pPr>
        <w:pStyle w:val="ListParagraph"/>
        <w:numPr>
          <w:ilvl w:val="0"/>
          <w:numId w:val="2"/>
        </w:numPr>
        <w:spacing w:after="40" w:before="40"/>
      </w:pPr>
      <w:r>
        <w:rPr>
          <w:rFonts w:ascii="Arial" w:cs="Arial" w:eastAsia="Arial" w:hAnsi="Arial"/>
          <w:sz w:val="22"/>
          <w:szCs w:val="22"/>
        </w:rPr>
        <w:t xml:space="preserve">Decision Reviewer (intern + mentor sign-off required for any edge-case exclusion)</w:t>
      </w:r>
    </w:p>
    <w:p>
      <w:pPr>
        <w:spacing w:after="80" w:before="0"/>
      </w:pPr>
    </w:p>
    <w:p>
      <w:pPr>
        <w:spacing w:after="60" w:before="60"/>
        <w:jc w:val="left"/>
      </w:pPr>
      <w:r>
        <w:rPr>
          <w:rFonts w:ascii="Arial" w:cs="Arial" w:eastAsia="Arial" w:hAnsi="Arial"/>
          <w:b w:val="false"/>
          <w:bCs w:val="false"/>
          <w:i w:val="false"/>
          <w:iCs w:val="false"/>
          <w:color w:val="000000"/>
          <w:sz w:val="22"/>
          <w:szCs w:val="22"/>
        </w:rPr>
        <w:t xml:space="preserve">The final cleaned dataset will be documented with a Cleaning Summary Table showing pre- and post-cleaning counts per job level, broken down by exclusion reason. This table will appear as the first exhibit in Section 7 of the Phase 0 Analysis Report.</w:t>
      </w:r>
    </w:p>
    <w:p>
      <w:pPr>
        <w:spacing w:after="200" w:before="0"/>
      </w:pPr>
    </w:p>
    <w:p>
      <w:pPr>
        <w:pBdr>
          <w:top w:val="single" w:color="CCDDEF" w:sz="4" w:space="4"/>
        </w:pBdr>
        <w:spacing w:after="0" w:before="200"/>
        <w:jc w:val="center"/>
      </w:pPr>
      <w:r>
        <w:rPr>
          <w:rFonts w:ascii="Arial" w:cs="Arial" w:eastAsia="Arial" w:hAnsi="Arial"/>
          <w:color w:val="3E5778"/>
          <w:sz w:val="16"/>
          <w:szCs w:val="16"/>
        </w:rPr>
        <w:t xml:space="preserve">END OF REPORT  |  Version 4.0 (Final)  |  June 22, 2026  |  Internal / Confidential</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F" w:sz="4" w:space="4"/>
      </w:pBdr>
      <w:tabs>
        <w:tab w:val="right" w:pos="9360"/>
      </w:tabs>
      <w:spacing w:after="0" w:before="120"/>
    </w:pPr>
    <w:r>
      <w:rPr>
        <w:rFonts w:ascii="Arial" w:cs="Arial" w:eastAsia="Arial" w:hAnsi="Arial"/>
        <w:color w:val="3E5778"/>
        <w:sz w:val="16"/>
        <w:szCs w:val="16"/>
      </w:rPr>
      <w:t xml:space="preserve">Vivek Kumar Kohli  |  m2025anl036  |  HR Analytics Internship 2026</w:t>
    </w:r>
    <w:r>
      <w:rPr>
        <w:rFonts w:ascii="Arial" w:cs="Arial" w:eastAsia="Arial" w:hAnsi="Arial"/>
        <w:sz w:val="16"/>
        <w:szCs w:val="16"/>
      </w:rPr>
      <w:t xml:space="preserve">	</w:t>
    </w:r>
    <w:r>
      <w:rPr>
        <w:rFonts w:ascii="Arial" w:cs="Arial" w:eastAsia="Arial" w:hAnsi="Arial"/>
        <w:color w:val="3E57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F" w:sz="4" w:space="4"/>
      </w:pBdr>
      <w:tabs>
        <w:tab w:val="right" w:pos="9360"/>
      </w:tabs>
      <w:spacing w:after="120" w:before="0"/>
    </w:pPr>
    <w:r>
      <w:rPr>
        <w:rFonts w:ascii="Arial" w:cs="Arial" w:eastAsia="Arial" w:hAnsi="Arial"/>
        <w:color w:val="3E5778"/>
        <w:sz w:val="16"/>
        <w:szCs w:val="16"/>
      </w:rPr>
      <w:t xml:space="preserve">Performance Prediction &amp; Success Analysis  |  Phase 0 Methodology Report</w:t>
    </w:r>
    <w:r>
      <w:rPr>
        <w:rFonts w:ascii="Arial" w:cs="Arial" w:eastAsia="Arial" w:hAnsi="Arial"/>
        <w:sz w:val="16"/>
        <w:szCs w:val="16"/>
      </w:rPr>
      <w:t xml:space="preserve">	</w:t>
    </w:r>
    <w:r>
      <w:rPr>
        <w:rFonts w:ascii="Arial" w:cs="Arial" w:eastAsia="Arial" w:hAnsi="Arial"/>
        <w:color w:val="3E5778"/>
        <w:sz w:val="16"/>
        <w:szCs w:val="16"/>
      </w:rPr>
      <w:t xml:space="preserve">Jio Platforms Ltd — Internal/Confidential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DDEF" w:sz="4" w:space="4"/>
      </w:pBdr>
      <w:spacing w:after="160" w:before="400"/>
      <w:outlineLvl w:val="0"/>
    </w:pPr>
    <w:rPr>
      <w:rFonts w:ascii="Arial" w:cs="Arial" w:eastAsia="Arial" w:hAnsi="Arial"/>
      <w:b/>
      <w:bCs/>
      <w:color w:val="0B2A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DD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B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2026-06-22T11:15:48.673Z</dcterms:created>
  <dcterms:modified xsi:type="dcterms:W3CDTF">2026-06-22T11:15:48.685Z</dcterms:modified>
</cp:coreProperties>
</file>

<file path=docProps/custom.xml><?xml version="1.0" encoding="utf-8"?>
<Properties xmlns="http://schemas.openxmlformats.org/officeDocument/2006/custom-properties" xmlns:vt="http://schemas.openxmlformats.org/officeDocument/2006/docPropsVTypes"/>
</file>