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60" w:before="0"/>
        <w:jc w:val="center"/>
      </w:pPr>
      <w:r>
        <w:rPr>
          <w:rFonts w:ascii="Arial" w:cs="Arial" w:eastAsia="Arial" w:hAnsi="Arial"/>
          <w:b/>
          <w:bCs/>
          <w:color w:val="1A56DB"/>
          <w:sz w:val="28"/>
          <w:szCs w:val="28"/>
        </w:rPr>
        <w:t xml:space="preserve">JIO PLATFORMS LIMITED</w:t>
      </w:r>
    </w:p>
    <w:p>
      <w:pPr>
        <w:spacing w:after="240" w:before="0"/>
        <w:jc w:val="center"/>
      </w:pPr>
      <w:r>
        <w:rPr>
          <w:rFonts w:ascii="Arial" w:cs="Arial" w:eastAsia="Arial" w:hAnsi="Arial"/>
          <w:b w:val="false"/>
          <w:bCs w:val="false"/>
          <w:i w:val="false"/>
          <w:iCs w:val="false"/>
          <w:color w:val="3E5778"/>
          <w:sz w:val="20"/>
          <w:szCs w:val="20"/>
        </w:rPr>
        <w:t xml:space="preserve">HR Analytics | JioCX Business Unit | Internal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4" w:val="clear"/>
            <w:tcMar>
              <w:top w:type="dxa" w:w="400"/>
              <w:left w:type="dxa" w:w="400"/>
              <w:bottom w:type="dxa" w:w="400"/>
              <w:right w:type="dxa" w:w="400"/>
            </w:tcMar>
          </w:tcPr>
          <w:p>
            <w:pPr>
              <w:spacing w:after="80" w:before="0"/>
              <w:jc w:val="center"/>
            </w:pPr>
            <w:r>
              <w:rPr>
                <w:rFonts w:ascii="Arial" w:cs="Arial" w:eastAsia="Arial" w:hAnsi="Arial"/>
                <w:b/>
                <w:bCs/>
                <w:color w:val="FFFFFF"/>
                <w:sz w:val="48"/>
                <w:szCs w:val="48"/>
              </w:rPr>
              <w:t xml:space="preserve">PERFORMANCE PREDICTOR &amp;</w:t>
            </w:r>
          </w:p>
          <w:p>
            <w:pPr>
              <w:spacing w:after="120" w:before="0"/>
              <w:jc w:val="center"/>
            </w:pPr>
            <w:r>
              <w:rPr>
                <w:rFonts w:ascii="Arial" w:cs="Arial" w:eastAsia="Arial" w:hAnsi="Arial"/>
                <w:b/>
                <w:bCs/>
                <w:color w:val="FFFFFF"/>
                <w:sz w:val="48"/>
                <w:szCs w:val="48"/>
              </w:rPr>
              <w:t xml:space="preserve">SUCCESS PROFILE ANALYSIS</w:t>
            </w:r>
          </w:p>
          <w:p>
            <w:pPr>
              <w:spacing w:after="0" w:before="0"/>
              <w:jc w:val="center"/>
            </w:pPr>
            <w:r>
              <w:rPr>
                <w:rFonts w:ascii="Arial" w:cs="Arial" w:eastAsia="Arial" w:hAnsi="Arial"/>
                <w:b w:val="false"/>
                <w:bCs w:val="false"/>
                <w:i/>
                <w:iCs/>
                <w:color w:val="A8C8F0"/>
                <w:sz w:val="24"/>
                <w:szCs w:val="24"/>
              </w:rPr>
              <w:t xml:space="preserve">Comprehensive Project Report · Phase 1 Complete + Phase 2 In Progress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Project</w:t>
            </w:r>
          </w:p>
        </w:tc>
        <w:tc>
          <w:tcPr>
            <w:tcW w:type="dxa" w:w="65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Performance Predictor &amp; Success Profile Analysis</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Report Date</w:t>
            </w:r>
          </w:p>
        </w:tc>
        <w:tc>
          <w:tcPr>
            <w:tcW w:type="dxa" w:w="6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June 25, 2026</w:t>
            </w:r>
          </w:p>
        </w:tc>
      </w:tr>
      <w:tr>
        <w:tc>
          <w:tcPr>
            <w:tcW w:type="dxa" w:w="28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Internship Period</w:t>
            </w:r>
          </w:p>
        </w:tc>
        <w:tc>
          <w:tcPr>
            <w:tcW w:type="dxa" w:w="65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June 3 – August 3, 2026 (8 Weeks)</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Organization</w:t>
            </w:r>
          </w:p>
        </w:tc>
        <w:tc>
          <w:tcPr>
            <w:tcW w:type="dxa" w:w="6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Jio Platforms Ltd (JPL) — JioCX Business Unit</w:t>
            </w:r>
          </w:p>
        </w:tc>
      </w:tr>
      <w:tr>
        <w:tc>
          <w:tcPr>
            <w:tcW w:type="dxa" w:w="28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Department</w:t>
            </w:r>
          </w:p>
        </w:tc>
        <w:tc>
          <w:tcPr>
            <w:tcW w:type="dxa" w:w="65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Human Resources — HR Analytics</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Intern / Project Lead</w:t>
            </w:r>
          </w:p>
        </w:tc>
        <w:tc>
          <w:tcPr>
            <w:tcW w:type="dxa" w:w="6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Mr. Vivek Kumar Kohli (Intern ID: m2025anl036)</w:t>
            </w:r>
          </w:p>
        </w:tc>
      </w:tr>
      <w:tr>
        <w:tc>
          <w:tcPr>
            <w:tcW w:type="dxa" w:w="28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Project Mentor</w:t>
            </w:r>
          </w:p>
        </w:tc>
        <w:tc>
          <w:tcPr>
            <w:tcW w:type="dxa" w:w="65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Ms. Anisha Sharma</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Project Guide</w:t>
            </w:r>
          </w:p>
        </w:tc>
        <w:tc>
          <w:tcPr>
            <w:tcW w:type="dxa" w:w="6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Ms. Arya Khamparia</w:t>
            </w:r>
          </w:p>
        </w:tc>
      </w:tr>
      <w:tr>
        <w:tc>
          <w:tcPr>
            <w:tcW w:type="dxa" w:w="28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Project Sponsor</w:t>
            </w:r>
          </w:p>
        </w:tc>
        <w:tc>
          <w:tcPr>
            <w:tcW w:type="dxa" w:w="65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Mr. Bharat Bhushan (HR Head)</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Classification</w:t>
            </w:r>
          </w:p>
        </w:tc>
        <w:tc>
          <w:tcPr>
            <w:tcW w:type="dxa" w:w="6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Internal / Confidential</w:t>
            </w:r>
          </w:p>
        </w:tc>
      </w:tr>
      <w:tr>
        <w:tc>
          <w:tcPr>
            <w:tcW w:type="dxa" w:w="28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Document Version</w:t>
            </w:r>
          </w:p>
        </w:tc>
        <w:tc>
          <w:tcPr>
            <w:tcW w:type="dxa" w:w="65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v1.0 — Comprehensive Progress Report</w:t>
            </w:r>
          </w:p>
        </w:tc>
      </w:tr>
    </w:tbl>
    <w:p>
      <w:r>
        <w:br w:type="page"/>
      </w:r>
    </w:p>
    <w:p>
      <w:pPr>
        <w:pStyle w:val="Heading1"/>
        <w:pBdr>
          <w:bottom w:val="single" w:color="1A56DB" w:sz="6" w:space="4"/>
        </w:pBdr>
        <w:spacing w:after="140" w:before="360"/>
      </w:pPr>
      <w:r>
        <w:rPr>
          <w:rFonts w:ascii="Arial" w:cs="Arial" w:eastAsia="Arial" w:hAnsi="Arial"/>
          <w:b/>
          <w:bCs/>
          <w:color w:val="0B2A44"/>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D1DCE8" w:sz="1"/>
              <w:right w:val="single" w:color="D1DCE8" w:sz="1"/>
            </w:tcBorders>
            <w:shd w:fill="EEF4FA"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Project Snapshot</w:t>
            </w:r>
          </w:p>
          <w:p>
            <w:pPr>
              <w:spacing w:after="30" w:before="30"/>
            </w:pPr>
            <w:r>
              <w:rPr>
                <w:rFonts w:ascii="Arial" w:cs="Arial" w:eastAsia="Arial" w:hAnsi="Arial"/>
                <w:b w:val="false"/>
                <w:bCs w:val="false"/>
                <w:i w:val="false"/>
                <w:iCs w:val="false"/>
                <w:color w:val="3E5778"/>
                <w:sz w:val="20"/>
                <w:szCs w:val="20"/>
              </w:rPr>
              <w:t xml:space="preserve">Organization: Jio Platforms Ltd (JPL) — JioCX Business Unit  |  176 employees, 920 in OLP pool</w:t>
            </w:r>
          </w:p>
          <w:p>
            <w:pPr>
              <w:spacing w:after="30" w:before="30"/>
            </w:pPr>
            <w:r>
              <w:rPr>
                <w:rFonts w:ascii="Arial" w:cs="Arial" w:eastAsia="Arial" w:hAnsi="Arial"/>
                <w:b w:val="false"/>
                <w:bCs w:val="false"/>
                <w:i w:val="false"/>
                <w:iCs w:val="false"/>
                <w:color w:val="3E5778"/>
                <w:sz w:val="20"/>
                <w:szCs w:val="20"/>
              </w:rPr>
              <w:t xml:space="preserve">Intern: Vivek Kumar Kohli (m2025anl036)  |  Mentor: Ms. Anisha Sharma  |  Sponsor: Mr. Bharat Bhushan</w:t>
            </w:r>
          </w:p>
          <w:p>
            <w:pPr>
              <w:spacing w:after="30" w:before="30"/>
            </w:pPr>
            <w:r>
              <w:rPr>
                <w:rFonts w:ascii="Arial" w:cs="Arial" w:eastAsia="Arial" w:hAnsi="Arial"/>
                <w:b w:val="false"/>
                <w:bCs w:val="false"/>
                <w:i w:val="false"/>
                <w:iCs w:val="false"/>
                <w:color w:val="3E5778"/>
                <w:sz w:val="20"/>
                <w:szCs w:val="20"/>
              </w:rPr>
              <w:t xml:space="preserve">Duration: June 3 – August 3, 2026  |  Current Date: June 25, 2026  |  Week 4 of 8</w:t>
            </w:r>
          </w:p>
          <w:p>
            <w:pPr>
              <w:spacing w:after="30" w:before="30"/>
            </w:pPr>
            <w:r>
              <w:rPr>
                <w:rFonts w:ascii="Arial" w:cs="Arial" w:eastAsia="Arial" w:hAnsi="Arial"/>
                <w:b w:val="false"/>
                <w:bCs w:val="false"/>
                <w:i w:val="false"/>
                <w:iCs w:val="false"/>
                <w:color w:val="3E5778"/>
                <w:sz w:val="20"/>
                <w:szCs w:val="20"/>
              </w:rPr>
              <w:t xml:space="preserve">Phase 1 (Foundation): COMPLETE  |  Phase 2 (Collection &amp; Analysis): IN PROGRESS  |  Phase 3: UPCOMING</w:t>
            </w:r>
          </w:p>
        </w:tc>
      </w:tr>
    </w:tbl>
    <w:p>
      <w:pPr>
        <w:spacing w:after="120" w:before="0"/>
      </w:pPr>
    </w:p>
    <w:p>
      <w:pPr>
        <w:spacing w:after="60" w:before="60"/>
        <w:jc w:val="left"/>
      </w:pPr>
      <w:r>
        <w:rPr>
          <w:rFonts w:ascii="Arial" w:cs="Arial" w:eastAsia="Arial" w:hAnsi="Arial"/>
          <w:b w:val="false"/>
          <w:bCs w:val="false"/>
          <w:i w:val="false"/>
          <w:iCs w:val="false"/>
          <w:color w:val="111111"/>
          <w:sz w:val="22"/>
          <w:szCs w:val="22"/>
        </w:rPr>
        <w:t xml:space="preserve">This report documents the complete progress of the Performance Predictor &amp; Success Profile Analysis internship project at Jio Platforms Limited as of June 25, 2026. The project addresses a fundamental gap in the organization's talent management approach: moving from intuition-based HR decisions to an empirically validated, data-driven competency model that predicts high performance in HR Manager and HRBP roles within the JioCX business unit.</w:t>
      </w:r>
    </w:p>
    <w:p>
      <w:pPr>
        <w:spacing w:after="60" w:before="0"/>
      </w:pPr>
    </w:p>
    <w:p>
      <w:pPr>
        <w:spacing w:after="60" w:before="60"/>
        <w:jc w:val="left"/>
      </w:pPr>
      <w:r>
        <w:rPr>
          <w:rFonts w:ascii="Arial" w:cs="Arial" w:eastAsia="Arial" w:hAnsi="Arial"/>
          <w:b w:val="false"/>
          <w:bCs w:val="false"/>
          <w:i w:val="false"/>
          <w:iCs w:val="false"/>
          <w:color w:val="111111"/>
          <w:sz w:val="22"/>
          <w:szCs w:val="22"/>
        </w:rPr>
        <w:t xml:space="preserve">Over the first four weeks, Phase 1 (Foundation) was completed — delivering a 7-variable composite performance scoring model applied to 920 OLP employees, identifying 184 top performers, and building a 15-person interview shortlist. Phase 2 (Collection &amp; Analysis) is now active: a level-adaptive, mixed-method competency survey (77 fields, 3 job levels, 4 methodological sections) has been designed and is ready for deployment via Microsoft Forms to the 176 JioCX employees.</w:t>
      </w:r>
    </w:p>
    <w:p>
      <w:pPr>
        <w:spacing w:after="60" w:before="0"/>
      </w:pPr>
    </w:p>
    <w:p>
      <w:pPr>
        <w:spacing w:after="60" w:before="60"/>
        <w:jc w:val="left"/>
      </w:pPr>
      <w:r>
        <w:rPr>
          <w:rFonts w:ascii="Arial" w:cs="Arial" w:eastAsia="Arial" w:hAnsi="Arial"/>
          <w:b w:val="false"/>
          <w:bCs w:val="false"/>
          <w:i w:val="false"/>
          <w:iCs w:val="false"/>
          <w:color w:val="111111"/>
          <w:sz w:val="22"/>
          <w:szCs w:val="22"/>
        </w:rPr>
        <w:t xml:space="preserve">The project's three core objectives — building a Success Profile Framework, developing a Performance Predictor Model, and creating a usable HR Dashboard — remain fully on scope and on schedule. Eight deliverables are expected by August 3,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1DCE8" w:sz="1"/>
              <w:left w:val="single" w:color="D1DCE8" w:sz="1"/>
              <w:bottom w:val="single" w:color="D1DCE8" w:sz="1"/>
              <w:right w:val="single" w:color="D1DCE8" w:sz="1"/>
            </w:tcBorders>
            <w:shd w:fill="1A7A4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Phase 1 Complete</w:t>
            </w:r>
          </w:p>
          <w:p>
            <w:pPr>
              <w:spacing w:after="0" w:before="40"/>
              <w:jc w:val="center"/>
            </w:pPr>
            <w:r>
              <w:rPr>
                <w:rFonts w:ascii="Arial" w:cs="Arial" w:eastAsia="Arial" w:hAnsi="Arial"/>
                <w:b w:val="false"/>
                <w:bCs w:val="false"/>
                <w:i w:val="false"/>
                <w:iCs w:val="false"/>
                <w:color w:val="CCFFDD"/>
                <w:sz w:val="18"/>
                <w:szCs w:val="18"/>
              </w:rPr>
              <w:t xml:space="preserve">Foundation</w:t>
            </w:r>
          </w:p>
          <w:p>
            <w:pPr>
              <w:spacing w:after="0" w:before="20"/>
              <w:jc w:val="center"/>
            </w:pPr>
            <w:r>
              <w:rPr>
                <w:rFonts w:ascii="Arial" w:cs="Arial" w:eastAsia="Arial" w:hAnsi="Arial"/>
                <w:b w:val="false"/>
                <w:bCs w:val="false"/>
                <w:i w:val="false"/>
                <w:iCs w:val="false"/>
                <w:color w:val="AAEEBB"/>
                <w:sz w:val="16"/>
                <w:szCs w:val="16"/>
              </w:rPr>
              <w:t xml:space="preserve">Jun 3 – Jun 20</w:t>
            </w:r>
          </w:p>
        </w:tc>
        <w:tc>
          <w:tcPr>
            <w:tcBorders>
              <w:top w:val="single" w:color="D1DCE8" w:sz="1"/>
              <w:left w:val="single" w:color="D1DCE8" w:sz="1"/>
              <w:bottom w:val="single" w:color="D1DCE8" w:sz="1"/>
              <w:right w:val="single" w:color="D1DCE8" w:sz="1"/>
            </w:tcBorders>
            <w:shd w:fill="1A56DB"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Phase 2 Active</w:t>
            </w:r>
          </w:p>
          <w:p>
            <w:pPr>
              <w:spacing w:after="0" w:before="40"/>
              <w:jc w:val="center"/>
            </w:pPr>
            <w:r>
              <w:rPr>
                <w:rFonts w:ascii="Arial" w:cs="Arial" w:eastAsia="Arial" w:hAnsi="Arial"/>
                <w:b w:val="false"/>
                <w:bCs w:val="false"/>
                <w:i w:val="false"/>
                <w:iCs w:val="false"/>
                <w:color w:val="CCE0FF"/>
                <w:sz w:val="18"/>
                <w:szCs w:val="18"/>
              </w:rPr>
              <w:t xml:space="preserve">Collection &amp; Analysis</w:t>
            </w:r>
          </w:p>
          <w:p>
            <w:pPr>
              <w:spacing w:after="0" w:before="20"/>
              <w:jc w:val="center"/>
            </w:pPr>
            <w:r>
              <w:rPr>
                <w:rFonts w:ascii="Arial" w:cs="Arial" w:eastAsia="Arial" w:hAnsi="Arial"/>
                <w:b w:val="false"/>
                <w:bCs w:val="false"/>
                <w:i w:val="false"/>
                <w:iCs w:val="false"/>
                <w:color w:val="AACCFF"/>
                <w:sz w:val="16"/>
                <w:szCs w:val="16"/>
              </w:rPr>
              <w:t xml:space="preserve">Jun 21 – Jul 18</w:t>
            </w:r>
          </w:p>
        </w:tc>
        <w:tc>
          <w:tcPr>
            <w:tcBorders>
              <w:top w:val="single" w:color="D1DCE8" w:sz="1"/>
              <w:left w:val="single" w:color="D1DCE8" w:sz="1"/>
              <w:bottom w:val="single" w:color="D1DCE8" w:sz="1"/>
              <w:right w:val="single" w:color="D1DCE8" w:sz="1"/>
            </w:tcBorders>
            <w:shd w:fill="7A7A9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Phase 3 Upcoming</w:t>
            </w:r>
          </w:p>
          <w:p>
            <w:pPr>
              <w:spacing w:after="0" w:before="40"/>
              <w:jc w:val="center"/>
            </w:pPr>
            <w:r>
              <w:rPr>
                <w:rFonts w:ascii="Arial" w:cs="Arial" w:eastAsia="Arial" w:hAnsi="Arial"/>
                <w:b w:val="false"/>
                <w:bCs w:val="false"/>
                <w:i w:val="false"/>
                <w:iCs w:val="false"/>
                <w:color w:val="DDDDEE"/>
                <w:sz w:val="18"/>
                <w:szCs w:val="18"/>
              </w:rPr>
              <w:t xml:space="preserve">Build &amp; Deliver</w:t>
            </w:r>
          </w:p>
          <w:p>
            <w:pPr>
              <w:spacing w:after="0" w:before="20"/>
              <w:jc w:val="center"/>
            </w:pPr>
            <w:r>
              <w:rPr>
                <w:rFonts w:ascii="Arial" w:cs="Arial" w:eastAsia="Arial" w:hAnsi="Arial"/>
                <w:b w:val="false"/>
                <w:bCs w:val="false"/>
                <w:i w:val="false"/>
                <w:iCs w:val="false"/>
                <w:color w:val="CCCCDD"/>
                <w:sz w:val="16"/>
                <w:szCs w:val="16"/>
              </w:rPr>
              <w:t xml:space="preserve">Jul 19 – Aug 3</w:t>
            </w:r>
          </w:p>
        </w:tc>
      </w:tr>
    </w:tbl>
    <w:p>
      <w:r>
        <w:br w:type="page"/>
      </w:r>
    </w:p>
    <w:p>
      <w:pPr>
        <w:pStyle w:val="Heading1"/>
        <w:pBdr>
          <w:bottom w:val="single" w:color="1A56DB" w:sz="6" w:space="4"/>
        </w:pBdr>
        <w:spacing w:after="140" w:before="360"/>
      </w:pPr>
      <w:r>
        <w:rPr>
          <w:rFonts w:ascii="Arial" w:cs="Arial" w:eastAsia="Arial" w:hAnsi="Arial"/>
          <w:b/>
          <w:bCs/>
          <w:color w:val="0B2A44"/>
          <w:sz w:val="32"/>
          <w:szCs w:val="32"/>
        </w:rPr>
        <w:t xml:space="preserve">2.  Project Overview</w:t>
      </w:r>
    </w:p>
    <w:p>
      <w:pPr>
        <w:pStyle w:val="Heading2"/>
        <w:spacing w:after="100" w:before="240"/>
      </w:pPr>
      <w:r>
        <w:rPr>
          <w:rFonts w:ascii="Arial" w:cs="Arial" w:eastAsia="Arial" w:hAnsi="Arial"/>
          <w:b/>
          <w:bCs/>
          <w:color w:val="1A56DB"/>
          <w:sz w:val="26"/>
          <w:szCs w:val="26"/>
        </w:rPr>
        <w:t xml:space="preserve">2.1  Problem Statement</w:t>
      </w:r>
    </w:p>
    <w:p>
      <w:pPr>
        <w:spacing w:after="60" w:before="60"/>
        <w:jc w:val="left"/>
      </w:pPr>
      <w:r>
        <w:rPr>
          <w:rFonts w:ascii="Arial" w:cs="Arial" w:eastAsia="Arial" w:hAnsi="Arial"/>
          <w:b w:val="false"/>
          <w:bCs w:val="false"/>
          <w:i w:val="false"/>
          <w:iCs w:val="false"/>
          <w:color w:val="111111"/>
          <w:sz w:val="22"/>
          <w:szCs w:val="22"/>
        </w:rPr>
        <w:t xml:space="preserve">Jio Platforms' JioCX business unit faces three interconnected HR talent management gaps: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Standard Success Profile: No defined benchmark for what 'excellent' looks like in key HR Manager and HRBP roles. Hiring and promotion decisions rely on manager judgment rather than objective criteria.</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Inconsistent Performance Ratings: Annual OLP ratings vary significantly across managers and departments with no structured behavioural basis, making objective talent comparison difficult.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Reactive Talent Decisions: No data-backed tool exists to proactively identify high-potential employees or at-risk talent. Interventions happen after problems emerge, not before.</w:t>
      </w:r>
    </w:p>
    <w:p>
      <w:pPr>
        <w:spacing w:after="80" w:before="0"/>
      </w:pPr>
    </w:p>
    <w:p>
      <w:pPr>
        <w:spacing w:after="60" w:before="60"/>
        <w:jc w:val="left"/>
      </w:pPr>
      <w:r>
        <w:rPr>
          <w:rFonts w:ascii="Arial" w:cs="Arial" w:eastAsia="Arial" w:hAnsi="Arial"/>
          <w:b w:val="false"/>
          <w:bCs w:val="false"/>
          <w:i w:val="false"/>
          <w:iCs w:val="false"/>
          <w:color w:val="111111"/>
          <w:sz w:val="22"/>
          <w:szCs w:val="22"/>
        </w:rPr>
        <w:t xml:space="preserve">This project was initiated to bridge this gap by building a validated, context-specific competency framework and performance predictor that is grounded in five years of actual OLP performance data and calibrated to the specific behavioural patterns that distinguish top performers at Jio Platforms.</w:t>
      </w:r>
    </w:p>
    <w:p>
      <w:pPr>
        <w:spacing w:after="120" w:before="0"/>
      </w:pPr>
    </w:p>
    <w:p>
      <w:pPr>
        <w:pStyle w:val="Heading2"/>
        <w:spacing w:after="100" w:before="240"/>
      </w:pPr>
      <w:r>
        <w:rPr>
          <w:rFonts w:ascii="Arial" w:cs="Arial" w:eastAsia="Arial" w:hAnsi="Arial"/>
          <w:b/>
          <w:bCs/>
          <w:color w:val="1A56DB"/>
          <w:sz w:val="26"/>
          <w:szCs w:val="26"/>
        </w:rPr>
        <w:t xml:space="preserve">2.2  Project Objectives</w:t>
      </w:r>
    </w:p>
    <w:p>
      <w:pPr>
        <w:spacing w:after="60" w:before="60"/>
        <w:jc w:val="left"/>
      </w:pPr>
      <w:r>
        <w:rPr>
          <w:rFonts w:ascii="Arial" w:cs="Arial" w:eastAsia="Arial" w:hAnsi="Arial"/>
          <w:b w:val="false"/>
          <w:bCs w:val="false"/>
          <w:i w:val="false"/>
          <w:iCs w:val="false"/>
          <w:color w:val="111111"/>
          <w:sz w:val="22"/>
          <w:szCs w:val="22"/>
        </w:rPr>
        <w:t xml:space="preserve">The project has three primary objectives, each producing tangible deliverables: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Objective</w:t>
            </w:r>
          </w:p>
        </w:tc>
        <w:tc>
          <w:tcPr>
            <w:tcW w:type="dxa" w:w="26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Goal</w:t>
            </w:r>
          </w:p>
        </w:tc>
        <w:tc>
          <w:tcPr>
            <w:tcW w:type="dxa" w:w="55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Approach</w:t>
            </w:r>
          </w:p>
        </w:tc>
      </w:tr>
      <w:tr>
        <w:tc>
          <w:tcPr>
            <w:tcW w:type="dxa" w:w="12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1</w:t>
            </w:r>
          </w:p>
        </w:tc>
        <w:tc>
          <w:tcPr>
            <w:tcW w:type="dxa" w:w="26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Success Profile Framework</w:t>
            </w:r>
          </w:p>
        </w:tc>
        <w:tc>
          <w:tcPr>
            <w:tcW w:type="dxa" w:w="55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Define competencies, behaviours, skills, and traits that predict success in identified key roles — based on literature review, stakeholder interviews, and analysis of existing performance data.</w:t>
            </w:r>
          </w:p>
        </w:tc>
      </w:tr>
      <w:tr>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2</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Performance Predictor Model</w:t>
            </w:r>
          </w:p>
        </w:tc>
        <w:tc>
          <w:tcPr>
            <w:tcW w:type="dxa" w:w="5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Design a simple, explainable rule-based or statistical scoring model (not ML) that uses available HR data inputs to predict performance outcomes — explainability and HR usability are the priority.</w:t>
            </w:r>
          </w:p>
        </w:tc>
      </w:tr>
      <w:tr>
        <w:tc>
          <w:tcPr>
            <w:tcW w:type="dxa" w:w="12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3</w:t>
            </w:r>
          </w:p>
        </w:tc>
        <w:tc>
          <w:tcPr>
            <w:tcW w:type="dxa" w:w="26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Usable HR Dashboard</w:t>
            </w:r>
          </w:p>
        </w:tc>
        <w:tc>
          <w:tcPr>
            <w:tcW w:type="dxa" w:w="55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Package findings into a visual, stakeholder-friendly dashboard or report that HR leadership can use for talent decisions, with clear documentation for continuity.</w:t>
            </w:r>
          </w:p>
        </w:tc>
      </w:tr>
    </w:tbl>
    <w:p>
      <w:pPr>
        <w:spacing w:after="120" w:before="0"/>
      </w:pPr>
    </w:p>
    <w:p>
      <w:pPr>
        <w:pStyle w:val="Heading2"/>
        <w:spacing w:after="100" w:before="240"/>
      </w:pPr>
      <w:r>
        <w:rPr>
          <w:rFonts w:ascii="Arial" w:cs="Arial" w:eastAsia="Arial" w:hAnsi="Arial"/>
          <w:b/>
          <w:bCs/>
          <w:color w:val="1A56DB"/>
          <w:sz w:val="26"/>
          <w:szCs w:val="26"/>
        </w:rPr>
        <w:t xml:space="preserve">2.3  Project Team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w:t>
            </w:r>
          </w:p>
        </w:tc>
        <w:tc>
          <w:tcPr>
            <w:tcW w:type="dxa" w:w="24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Person</w:t>
            </w:r>
          </w:p>
        </w:tc>
        <w:tc>
          <w:tcPr>
            <w:tcW w:type="dxa" w:w="45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Responsibilities</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Project Sponsor</w:t>
            </w:r>
          </w:p>
        </w:tc>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Mr. Bharat Bhushan</w:t>
            </w:r>
          </w:p>
        </w:tc>
        <w:tc>
          <w:tcPr>
            <w:tcW w:type="dxa" w:w="4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HR Head; approves scope, provides data access, receives final presentation (≥4/5 satisfaction target)</w:t>
            </w:r>
          </w:p>
        </w:tc>
      </w:tr>
      <w:tr>
        <w:tc>
          <w:tcPr>
            <w:tcW w:type="dxa" w:w="2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Project Mentor</w:t>
            </w:r>
          </w:p>
        </w:tc>
        <w:tc>
          <w:tcPr>
            <w:tcW w:type="dxa" w:w="2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Ms. Anisha Sharma</w:t>
            </w:r>
          </w:p>
        </w:tc>
        <w:tc>
          <w:tcPr>
            <w:tcW w:type="dxa" w:w="4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Responsible for all deliverables; weekly 1:1 reviews; phase gate sign-off; primary escalation path</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Project Guide</w:t>
            </w:r>
          </w:p>
        </w:tc>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Ms. Arya Khamparia</w:t>
            </w:r>
          </w:p>
        </w:tc>
        <w:tc>
          <w:tcPr>
            <w:tcW w:type="dxa" w:w="4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HRBP guidance; conducts STAR interviews alongside intern; approves competency framework</w:t>
            </w:r>
          </w:p>
        </w:tc>
      </w:tr>
      <w:tr>
        <w:tc>
          <w:tcPr>
            <w:tcW w:type="dxa" w:w="2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Intern / Project Lead</w:t>
            </w:r>
          </w:p>
        </w:tc>
        <w:tc>
          <w:tcPr>
            <w:tcW w:type="dxa" w:w="2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9"/>
                <w:szCs w:val="19"/>
              </w:rPr>
              <w:t xml:space="preserve">Mr. Vivek Kumar Kohli (m2025anl036)</w:t>
            </w:r>
          </w:p>
        </w:tc>
        <w:tc>
          <w:tcPr>
            <w:tcW w:type="dxa" w:w="4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Accountable for execution, analysis, delivery of all 8 deliverables; design and data collection</w:t>
            </w:r>
          </w:p>
        </w:tc>
      </w:tr>
    </w:tbl>
    <w:p>
      <w:pPr>
        <w:spacing w:after="120" w:before="0"/>
      </w:pPr>
    </w:p>
    <w:p>
      <w:pPr>
        <w:pStyle w:val="Heading2"/>
        <w:spacing w:after="100" w:before="240"/>
      </w:pPr>
      <w:r>
        <w:rPr>
          <w:rFonts w:ascii="Arial" w:cs="Arial" w:eastAsia="Arial" w:hAnsi="Arial"/>
          <w:b/>
          <w:bCs/>
          <w:color w:val="1A56DB"/>
          <w:sz w:val="26"/>
          <w:szCs w:val="26"/>
        </w:rPr>
        <w:t xml:space="preserve">2.4  8-Week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w:t>
            </w:r>
          </w:p>
        </w:tc>
        <w:tc>
          <w:tcPr>
            <w:tcW w:type="dxa" w:w="24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Activity</w:t>
            </w:r>
          </w:p>
        </w:tc>
        <w:tc>
          <w:tcPr>
            <w:tcW w:type="dxa" w:w="24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Timeline</w:t>
            </w:r>
          </w:p>
        </w:tc>
        <w:tc>
          <w:tcPr>
            <w:tcW w:type="dxa" w:w="21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24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Phase 1 — Foundation</w:t>
            </w:r>
          </w:p>
        </w:tc>
        <w:tc>
          <w:tcPr>
            <w:tcW w:type="dxa" w:w="24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Onboarding, stakeholder mapping, literature review, data inventory, OLP analysis, top performer identification</w:t>
            </w:r>
          </w:p>
        </w:tc>
        <w:tc>
          <w:tcPr>
            <w:tcW w:type="dxa" w:w="24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Jun 3 – Jun 20, 2026 (Weeks 1–3)</w:t>
            </w:r>
          </w:p>
        </w:tc>
        <w:tc>
          <w:tcPr>
            <w:tcW w:type="dxa" w:w="2160"/>
            <w:tcBorders>
              <w:top w:val="single" w:color="D1DCE8" w:sz="1"/>
              <w:left w:val="single" w:color="D1DCE8" w:sz="1"/>
              <w:bottom w:val="single" w:color="D1DCE8" w:sz="1"/>
              <w:right w:val="single" w:color="D1DCE8" w:sz="1"/>
            </w:tcBorders>
            <w:shd w:fill="1A7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COMPLETE</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Phase 2 — Collection &amp; Analysis</w:t>
            </w:r>
          </w:p>
        </w:tc>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Survey and interview design, primary data collection, data cleaning, EDA, pattern identification, correlation analysis</w:t>
            </w:r>
          </w:p>
        </w:tc>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Jun 21 – Jul 18, 2026 (Weeks 4–6)</w:t>
            </w:r>
          </w:p>
        </w:tc>
        <w:tc>
          <w:tcPr>
            <w:tcW w:type="dxa" w:w="2160"/>
            <w:tcBorders>
              <w:top w:val="single" w:color="D1DCE8" w:sz="1"/>
              <w:left w:val="single" w:color="D1DCE8" w:sz="1"/>
              <w:bottom w:val="single" w:color="D1DCE8" w:sz="1"/>
              <w:right w:val="single" w:color="D1DCE8" w:sz="1"/>
            </w:tcBorders>
            <w:shd w:fill="1A56D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IN PROGRESS</w:t>
            </w:r>
          </w:p>
        </w:tc>
      </w:tr>
      <w:tr>
        <w:tc>
          <w:tcPr>
            <w:tcW w:type="dxa" w:w="24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Phase 3 — Build &amp; Deliver</w:t>
            </w:r>
          </w:p>
        </w:tc>
        <w:tc>
          <w:tcPr>
            <w:tcW w:type="dxa" w:w="24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Build predictor framework, design success profiles, create dashboard, final report and presentation</w:t>
            </w:r>
          </w:p>
        </w:tc>
        <w:tc>
          <w:tcPr>
            <w:tcW w:type="dxa" w:w="24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Jul 19 – Aug 3, 2026 (Weeks 7–8)</w:t>
            </w:r>
          </w:p>
        </w:tc>
        <w:tc>
          <w:tcPr>
            <w:tcW w:type="dxa" w:w="2160"/>
            <w:tcBorders>
              <w:top w:val="single" w:color="D1DCE8" w:sz="1"/>
              <w:left w:val="single" w:color="D1DCE8" w:sz="1"/>
              <w:bottom w:val="single" w:color="D1DCE8" w:sz="1"/>
              <w:right w:val="single" w:color="D1DCE8" w:sz="1"/>
            </w:tcBorders>
            <w:shd w:fill="9A9AA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UPCOMING</w:t>
            </w:r>
          </w:p>
        </w:tc>
      </w:tr>
    </w:tbl>
    <w:p>
      <w:r>
        <w:br w:type="page"/>
      </w:r>
    </w:p>
    <w:p>
      <w:pPr>
        <w:pStyle w:val="Heading1"/>
        <w:pBdr>
          <w:bottom w:val="single" w:color="1A56DB" w:sz="6" w:space="4"/>
        </w:pBdr>
        <w:spacing w:after="140" w:before="360"/>
      </w:pPr>
      <w:r>
        <w:rPr>
          <w:rFonts w:ascii="Arial" w:cs="Arial" w:eastAsia="Arial" w:hAnsi="Arial"/>
          <w:b/>
          <w:bCs/>
          <w:color w:val="0B2A44"/>
          <w:sz w:val="32"/>
          <w:szCs w:val="32"/>
        </w:rPr>
        <w:t xml:space="preserve">3.  Phase 1 — Foundation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single" w:color="1A7A4A" w:sz="12"/>
              <w:bottom w:val="single" w:color="D1DCE8" w:sz="1"/>
              <w:right w:val="single" w:color="D1DCE8" w:sz="1"/>
            </w:tcBorders>
            <w:shd w:fill="E8F5EE" w:val="clear"/>
            <w:tcMar>
              <w:top w:type="dxa" w:w="140"/>
              <w:left w:type="dxa" w:w="200"/>
              <w:bottom w:type="dxa" w:w="140"/>
              <w:right w:type="dxa" w:w="200"/>
            </w:tcMar>
          </w:tcPr>
          <w:p>
            <w:pPr>
              <w:spacing w:after="60" w:before="0"/>
            </w:pPr>
            <w:r>
              <w:rPr>
                <w:rFonts w:ascii="Arial" w:cs="Arial" w:eastAsia="Arial" w:hAnsi="Arial"/>
                <w:b/>
                <w:bCs/>
                <w:color w:val="1A7A4A"/>
                <w:sz w:val="22"/>
                <w:szCs w:val="22"/>
              </w:rPr>
              <w:t xml:space="preserve">Phase 1 Summary</w:t>
            </w:r>
          </w:p>
          <w:p>
            <w:pPr>
              <w:spacing w:after="30" w:before="30"/>
            </w:pPr>
            <w:r>
              <w:rPr>
                <w:rFonts w:ascii="Arial" w:cs="Arial" w:eastAsia="Arial" w:hAnsi="Arial"/>
                <w:b w:val="false"/>
                <w:bCs w:val="false"/>
                <w:i w:val="false"/>
                <w:iCs w:val="false"/>
                <w:color w:val="3E5778"/>
                <w:sz w:val="20"/>
                <w:szCs w:val="20"/>
              </w:rPr>
              <w:t xml:space="preserve">Duration: June 3 – June 20, 2026  |  Status: COMPLETE as of June 12, 2026</w:t>
            </w:r>
          </w:p>
          <w:p>
            <w:pPr>
              <w:spacing w:after="30" w:before="30"/>
            </w:pPr>
            <w:r>
              <w:rPr>
                <w:rFonts w:ascii="Arial" w:cs="Arial" w:eastAsia="Arial" w:hAnsi="Arial"/>
                <w:b w:val="false"/>
                <w:bCs w:val="false"/>
                <w:i w:val="false"/>
                <w:iCs w:val="false"/>
                <w:color w:val="3E5778"/>
                <w:sz w:val="20"/>
                <w:szCs w:val="20"/>
              </w:rPr>
              <w:t xml:space="preserve">Key output: 7-variable composite scoring model applied to 920 OLP employees → 184 confirmed top performers</w:t>
            </w:r>
          </w:p>
          <w:p>
            <w:pPr>
              <w:spacing w:after="30" w:before="30"/>
            </w:pPr>
            <w:r>
              <w:rPr>
                <w:rFonts w:ascii="Arial" w:cs="Arial" w:eastAsia="Arial" w:hAnsi="Arial"/>
                <w:b w:val="false"/>
                <w:bCs w:val="false"/>
                <w:i w:val="false"/>
                <w:iCs w:val="false"/>
                <w:color w:val="3E5778"/>
                <w:sz w:val="20"/>
                <w:szCs w:val="20"/>
              </w:rPr>
              <w:t xml:space="preserve">Secondary output: 12 cross-dataset inferences from merged OLP + Stay + Exit data analysis</w:t>
            </w:r>
          </w:p>
        </w:tc>
      </w:tr>
    </w:tbl>
    <w:p>
      <w:pPr>
        <w:spacing w:after="120" w:before="0"/>
      </w:pPr>
    </w:p>
    <w:p>
      <w:pPr>
        <w:pStyle w:val="Heading2"/>
        <w:spacing w:after="100" w:before="240"/>
      </w:pPr>
      <w:r>
        <w:rPr>
          <w:rFonts w:ascii="Arial" w:cs="Arial" w:eastAsia="Arial" w:hAnsi="Arial"/>
          <w:b/>
          <w:bCs/>
          <w:color w:val="1A56DB"/>
          <w:sz w:val="26"/>
          <w:szCs w:val="26"/>
        </w:rPr>
        <w:t xml:space="preserve">3.1  Project Onboarding &amp; Setup</w:t>
      </w:r>
    </w:p>
    <w:p>
      <w:pPr>
        <w:spacing w:after="60" w:before="60"/>
        <w:jc w:val="left"/>
      </w:pPr>
      <w:r>
        <w:rPr>
          <w:rFonts w:ascii="Arial" w:cs="Arial" w:eastAsia="Arial" w:hAnsi="Arial"/>
          <w:b w:val="false"/>
          <w:bCs w:val="false"/>
          <w:i w:val="false"/>
          <w:iCs w:val="false"/>
          <w:color w:val="111111"/>
          <w:sz w:val="22"/>
          <w:szCs w:val="22"/>
        </w:rPr>
        <w:t xml:space="preserve">Phase 1 began with project onboarding (Week 1, Jun 3–6), during which the intern was familiarized with the project charter, established access to the required data systems, and confirmed the project scope with the mentor and guide. Stakeholder mapping was completed identifying the HR Head (Mr. Bharat Bhushan), HR Mentor (Ms. Anisha Sharma), and HRBP Guide (Ms. Arya Khamparia) as the primary governance chain. A full data inventory was conducted, confirming the following available data assets:</w:t>
      </w:r>
    </w:p>
    <w:p>
      <w:pPr>
        <w:spacing w:after="60" w:before="0"/>
      </w:pP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OLP_Data.xlsx — 920 employees × 27 columns, 5 years of performance ratings (FY2021-22 to FY2025-26)</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Stay_and_Exit_Data.xlsx — 3 sheets: Stay Interview (49 employees), Employee List, Exit Interview (38 JioCX exits)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M2M.xlsx — Manager-to-Manager hierarchy for JioCX (153 employees × 14 columns)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JioCX Org Structure — 176 employees across 7 departments</w:t>
      </w:r>
    </w:p>
    <w:p>
      <w:pPr>
        <w:spacing w:after="120" w:before="0"/>
      </w:pPr>
    </w:p>
    <w:p>
      <w:pPr>
        <w:pStyle w:val="Heading2"/>
        <w:spacing w:after="100" w:before="240"/>
      </w:pPr>
      <w:r>
        <w:rPr>
          <w:rFonts w:ascii="Arial" w:cs="Arial" w:eastAsia="Arial" w:hAnsi="Arial"/>
          <w:b/>
          <w:bCs/>
          <w:color w:val="1A56DB"/>
          <w:sz w:val="26"/>
          <w:szCs w:val="26"/>
        </w:rPr>
        <w:t xml:space="preserve">3.2  Literature Review: Three Integrated Frameworks</w:t>
      </w:r>
    </w:p>
    <w:p>
      <w:pPr>
        <w:spacing w:after="60" w:before="60"/>
        <w:jc w:val="left"/>
      </w:pPr>
      <w:r>
        <w:rPr>
          <w:rFonts w:ascii="Arial" w:cs="Arial" w:eastAsia="Arial" w:hAnsi="Arial"/>
          <w:b w:val="false"/>
          <w:bCs w:val="false"/>
          <w:i w:val="false"/>
          <w:iCs w:val="false"/>
          <w:color w:val="111111"/>
          <w:sz w:val="22"/>
          <w:szCs w:val="22"/>
        </w:rPr>
        <w:t xml:space="preserve">A literature review of established competency and performance prediction frameworks was conducted, resulting in the selection of three globally recognized models that are integrated into a single, cohesive methodology: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Framework</w:t>
            </w:r>
          </w:p>
        </w:tc>
        <w:tc>
          <w:tcPr>
            <w:tcW w:type="dxa" w:w="20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 in This Project</w:t>
            </w:r>
          </w:p>
        </w:tc>
        <w:tc>
          <w:tcPr>
            <w:tcW w:type="dxa" w:w="53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Contribution</w:t>
            </w:r>
          </w:p>
        </w:tc>
      </w:tr>
      <w:tr>
        <w:tc>
          <w:tcPr>
            <w:tcW w:type="dxa" w:w="2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Spencer &amp; Spencer Iceberg Model</w:t>
            </w:r>
          </w:p>
        </w:tc>
        <w:tc>
          <w:tcPr>
            <w:tcW w:type="dxa" w:w="2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56DB"/>
                <w:sz w:val="18"/>
                <w:szCs w:val="18"/>
              </w:rPr>
              <w:t xml:space="preserve">WHY top performers succeed</w:t>
            </w:r>
          </w:p>
        </w:tc>
        <w:tc>
          <w:tcPr>
            <w:tcW w:type="dxa" w:w="53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Identifies underlying drivers of performance: visible (knowledge, skills — trainable) vs hidden (self-concept, traits, motives — hardest to change). Guides the depth of interview probing and survey item design.</w:t>
            </w:r>
          </w:p>
        </w:tc>
      </w:tr>
      <w:tr>
        <w:tc>
          <w:tcPr>
            <w:tcW w:type="dxa" w:w="20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Lominger Leadership Architect (67 Competencies)</w:t>
            </w:r>
          </w:p>
        </w:tc>
        <w:tc>
          <w:tcPr>
            <w:tcW w:type="dxa" w:w="20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56DB"/>
                <w:sz w:val="18"/>
                <w:szCs w:val="18"/>
              </w:rPr>
              <w:t xml:space="preserve">WHAT competencies to measure</w:t>
            </w:r>
          </w:p>
        </w:tc>
        <w:tc>
          <w:tcPr>
            <w:tcW w:type="dxa" w:w="53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Converts vague leadership requirements into specific, measurable competency language. Maps interview themes and survey findings to standardised categories (Influencing, Conflict Management, Strategic Thinking, Relationship Building, HR Expertise, etc.).</w:t>
            </w:r>
          </w:p>
        </w:tc>
      </w:tr>
      <w:tr>
        <w:tc>
          <w:tcPr>
            <w:tcW w:type="dxa" w:w="2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SHL Occupational Personality Questionnaire (OPQ)</w:t>
            </w:r>
          </w:p>
        </w:tc>
        <w:tc>
          <w:tcPr>
            <w:tcW w:type="dxa" w:w="2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56DB"/>
                <w:sz w:val="18"/>
                <w:szCs w:val="18"/>
              </w:rPr>
              <w:t xml:space="preserve">HOW to observe and measure behaviours</w:t>
            </w:r>
          </w:p>
        </w:tc>
        <w:tc>
          <w:tcPr>
            <w:tcW w:type="dxa" w:w="53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Defines observable behavioural anchors for each competency across 5 domains: Relating &amp; Networking, Analysing &amp; Interpreting, Creating &amp; Conceptualizing, Organising &amp; Executing, Leading &amp; Deciding. Forms the basis of Likert items in the survey.</w:t>
            </w:r>
          </w:p>
        </w:tc>
      </w:tr>
    </w:tbl>
    <w:p>
      <w:pPr>
        <w:spacing w:after="120" w:before="0"/>
      </w:pPr>
    </w:p>
    <w:p>
      <w:pPr>
        <w:pStyle w:val="Heading2"/>
        <w:spacing w:after="100" w:before="240"/>
      </w:pPr>
      <w:r>
        <w:rPr>
          <w:rFonts w:ascii="Arial" w:cs="Arial" w:eastAsia="Arial" w:hAnsi="Arial"/>
          <w:b/>
          <w:bCs/>
          <w:color w:val="1A56DB"/>
          <w:sz w:val="26"/>
          <w:szCs w:val="26"/>
        </w:rPr>
        <w:t xml:space="preserve">3.3  OLP Data Analysis &amp; Composite Scoring Model</w:t>
      </w:r>
    </w:p>
    <w:p>
      <w:pPr>
        <w:spacing w:after="60" w:before="60"/>
        <w:jc w:val="left"/>
      </w:pPr>
      <w:r>
        <w:rPr>
          <w:rFonts w:ascii="Arial" w:cs="Arial" w:eastAsia="Arial" w:hAnsi="Arial"/>
          <w:b w:val="false"/>
          <w:bCs w:val="false"/>
          <w:i w:val="false"/>
          <w:iCs w:val="false"/>
          <w:color w:val="111111"/>
          <w:sz w:val="22"/>
          <w:szCs w:val="22"/>
        </w:rPr>
        <w:t xml:space="preserve">The primary analytical work of Phase 1 was the development and application of a 7-variable composite scoring model to the full OLP dataset (920 employees, 5 rating years). The model was built in Python (pandas, seaborn, matplotlib) and validated in a parallel Microsoft Excel workbook (Employee_Rating_Analysis.xlsx).</w:t>
      </w:r>
    </w:p>
    <w:p>
      <w:pPr>
        <w:spacing w:after="80" w:before="0"/>
      </w:pPr>
    </w:p>
    <w:p>
      <w:pPr>
        <w:spacing w:after="80" w:before="180"/>
      </w:pPr>
      <w:r>
        <w:rPr>
          <w:rFonts w:ascii="Arial" w:cs="Arial" w:eastAsia="Arial" w:hAnsi="Arial"/>
          <w:b/>
          <w:bCs/>
          <w:color w:val="0B2A44"/>
          <w:sz w:val="22"/>
          <w:szCs w:val="22"/>
        </w:rPr>
        <w:t xml:space="preserve">Rating Encoding</w:t>
      </w:r>
    </w:p>
    <w:p>
      <w:pPr>
        <w:spacing w:after="60" w:before="60"/>
        <w:jc w:val="left"/>
      </w:pPr>
      <w:r>
        <w:rPr>
          <w:rFonts w:ascii="Arial" w:cs="Arial" w:eastAsia="Arial" w:hAnsi="Arial"/>
          <w:b w:val="false"/>
          <w:bCs w:val="false"/>
          <w:i w:val="false"/>
          <w:iCs w:val="false"/>
          <w:color w:val="111111"/>
          <w:sz w:val="22"/>
          <w:szCs w:val="22"/>
        </w:rPr>
        <w:t xml:space="preserve">Annual OLP ratings were encoded as numeric values to enable mathematical operations: A* = 4 (Exceptional), A+ = 3 (Above Expectation), A = 2 (Meets Expectation), B = 1 (Developing/Below). A+ is the modal rating, confirming a high-performance skewed rating culture at Jio Platforms.</w:t>
      </w:r>
    </w:p>
    <w:p>
      <w:pPr>
        <w:spacing w:after="80" w:before="0"/>
      </w:pPr>
    </w:p>
    <w:p>
      <w:pPr>
        <w:spacing w:after="80" w:before="180"/>
      </w:pPr>
      <w:r>
        <w:rPr>
          <w:rFonts w:ascii="Arial" w:cs="Arial" w:eastAsia="Arial" w:hAnsi="Arial"/>
          <w:b/>
          <w:bCs/>
          <w:color w:val="0B2A44"/>
          <w:sz w:val="22"/>
          <w:szCs w:val="22"/>
        </w:rPr>
        <w:t xml:space="preserve">7 Scoring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Scoring Variable</w:t>
            </w:r>
          </w:p>
        </w:tc>
        <w:tc>
          <w:tcPr>
            <w:tcW w:type="dxa" w:w="9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Weight</w:t>
            </w:r>
          </w:p>
        </w:tc>
        <w:tc>
          <w:tcPr>
            <w:tcW w:type="dxa" w:w="54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Rationale</w:t>
            </w:r>
          </w:p>
        </w:tc>
      </w:tr>
      <w:tr>
        <w:tc>
          <w:tcPr>
            <w:tcW w:type="dxa" w:w="3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Average Rating (5-Year Mean)</w:t>
            </w:r>
          </w:p>
        </w:tc>
        <w:tc>
          <w:tcPr>
            <w:tcW w:type="dxa" w:w="9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30%</w:t>
            </w:r>
          </w:p>
        </w:tc>
        <w:tc>
          <w:tcPr>
            <w:tcW w:type="dxa" w:w="54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Mean of all available OLP ratings (RTG21-22 to RTG25-26) encoded as A*=4, A+=3, A=2, B=1.</w:t>
            </w:r>
          </w:p>
        </w:tc>
      </w:tr>
      <w:tr>
        <w:tc>
          <w:tcPr>
            <w:tcW w:type="dxa" w:w="30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Recency-Weighted Rating</w:t>
            </w:r>
          </w:p>
        </w:tc>
        <w:tc>
          <w:tcPr>
            <w:tcW w:type="dxa" w:w="9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20%</w:t>
            </w:r>
          </w:p>
        </w:tc>
        <w:tc>
          <w:tcPr>
            <w:tcW w:type="dxa" w:w="54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Weighted mean with increasing weights: 10/15/20/25/30% from oldest to newest year. Amplifies recent trajectory.</w:t>
            </w:r>
          </w:p>
        </w:tc>
      </w:tr>
      <w:tr>
        <w:tc>
          <w:tcPr>
            <w:tcW w:type="dxa" w:w="3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Rating Trend</w:t>
            </w:r>
          </w:p>
        </w:tc>
        <w:tc>
          <w:tcPr>
            <w:tcW w:type="dxa" w:w="9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15%</w:t>
            </w:r>
          </w:p>
        </w:tc>
        <w:tc>
          <w:tcPr>
            <w:tcW w:type="dxa" w:w="54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RTG25-26 minus RTG21-22. Positive = improving, negative = declining. Captures performance direction.</w:t>
            </w:r>
          </w:p>
        </w:tc>
      </w:tr>
      <w:tr>
        <w:tc>
          <w:tcPr>
            <w:tcW w:type="dxa" w:w="30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Rating Consistency</w:t>
            </w:r>
          </w:p>
        </w:tc>
        <w:tc>
          <w:tcPr>
            <w:tcW w:type="dxa" w:w="9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15%</w:t>
            </w:r>
          </w:p>
        </w:tc>
        <w:tc>
          <w:tcPr>
            <w:tcW w:type="dxa" w:w="54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Standard deviation across all rating years. Lower SD = more reliable and consistent performer.</w:t>
            </w:r>
          </w:p>
        </w:tc>
      </w:tr>
      <w:tr>
        <w:tc>
          <w:tcPr>
            <w:tcW w:type="dxa" w:w="3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Reliance Experience</w:t>
            </w:r>
          </w:p>
        </w:tc>
        <w:tc>
          <w:tcPr>
            <w:tcW w:type="dxa" w:w="9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10%</w:t>
            </w:r>
          </w:p>
        </w:tc>
        <w:tc>
          <w:tcPr>
            <w:tcW w:type="dxa" w:w="54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Total Reliance group experience (years). Proxy for institutional knowledge and context.</w:t>
            </w:r>
          </w:p>
        </w:tc>
      </w:tr>
      <w:tr>
        <w:tc>
          <w:tcPr>
            <w:tcW w:type="dxa" w:w="30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Promotion Flag</w:t>
            </w:r>
          </w:p>
        </w:tc>
        <w:tc>
          <w:tcPr>
            <w:tcW w:type="dxa" w:w="9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5%</w:t>
            </w:r>
          </w:p>
        </w:tc>
        <w:tc>
          <w:tcPr>
            <w:tcW w:type="dxa" w:w="54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Binary: 1 if promoted during the analysis period. Validates manager-endorsed performance.</w:t>
            </w:r>
          </w:p>
        </w:tc>
      </w:tr>
      <w:tr>
        <w:tc>
          <w:tcPr>
            <w:tcW w:type="dxa" w:w="3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Progression Flag</w:t>
            </w:r>
          </w:p>
        </w:tc>
        <w:tc>
          <w:tcPr>
            <w:tcW w:type="dxa" w:w="9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5%</w:t>
            </w:r>
          </w:p>
        </w:tc>
        <w:tc>
          <w:tcPr>
            <w:tcW w:type="dxa" w:w="54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Binary: 1 if salary/grade progression occurred. Reinforces promotion signal with compensation evidence.</w:t>
            </w:r>
          </w:p>
        </w:tc>
      </w:tr>
    </w:tbl>
    <w:p>
      <w:pPr>
        <w:spacing w:after="80" w:before="0"/>
      </w:pPr>
    </w:p>
    <w:p>
      <w:pPr>
        <w:spacing w:after="80" w:before="180"/>
      </w:pPr>
      <w:r>
        <w:rPr>
          <w:rFonts w:ascii="Arial" w:cs="Arial" w:eastAsia="Arial" w:hAnsi="Arial"/>
          <w:b/>
          <w:bCs/>
          <w:color w:val="0B2A44"/>
          <w:sz w:val="22"/>
          <w:szCs w:val="22"/>
        </w:rPr>
        <w:t xml:space="preserve">Normalisation &amp; Composite Score</w:t>
      </w:r>
    </w:p>
    <w:p>
      <w:pPr>
        <w:spacing w:after="60" w:before="60"/>
        <w:jc w:val="left"/>
      </w:pPr>
      <w:r>
        <w:rPr>
          <w:rFonts w:ascii="Arial" w:cs="Arial" w:eastAsia="Arial" w:hAnsi="Arial"/>
          <w:b w:val="false"/>
          <w:bCs w:val="false"/>
          <w:i w:val="false"/>
          <w:iCs w:val="false"/>
          <w:color w:val="111111"/>
          <w:sz w:val="22"/>
          <w:szCs w:val="22"/>
        </w:rPr>
        <w:t xml:space="preserve">All seven variables were normalised using min-max scaling (0–100) independently. The composite score was computed as a weighted sum of normalised scores, yielding a single 0–100 performance index per employee. The 80th percentile of composite scores (≥ 69.148) was designated as the Top Performer threshold, yielding 184 confirmed top performers from 920 employees (~20%).</w:t>
      </w:r>
    </w:p>
    <w:p>
      <w:pPr>
        <w:spacing w:after="80" w:before="0"/>
      </w:pPr>
    </w:p>
    <w:p>
      <w:pPr>
        <w:spacing w:after="80" w:before="180"/>
      </w:pPr>
      <w:r>
        <w:rPr>
          <w:rFonts w:ascii="Arial" w:cs="Arial" w:eastAsia="Arial" w:hAnsi="Arial"/>
          <w:b/>
          <w:bCs/>
          <w:color w:val="0B2A44"/>
          <w:sz w:val="22"/>
          <w:szCs w:val="22"/>
        </w:rPr>
        <w:t xml:space="preserve">Performance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c>
          <w:tcPr>
            <w:tcW w:type="dxa" w:w="24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Tier</w:t>
            </w:r>
          </w:p>
        </w:tc>
        <w:tc>
          <w:tcPr>
            <w:tcW w:type="dxa" w:w="15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Score Range</w:t>
            </w:r>
          </w:p>
        </w:tc>
        <w:tc>
          <w:tcPr>
            <w:tcW w:type="dxa" w:w="15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Count (Est.)</w:t>
            </w:r>
          </w:p>
        </w:tc>
        <w:tc>
          <w:tcPr>
            <w:tcW w:type="dxa" w:w="39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Description</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Star Performer</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85–100</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~92</w:t>
            </w:r>
          </w:p>
        </w:tc>
        <w:tc>
          <w:tcPr>
            <w:tcW w:type="dxa" w:w="39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Consistently exceptional across all 7 variables; top 10%</w:t>
            </w:r>
          </w:p>
        </w:tc>
      </w:tr>
      <w:tr>
        <w:tc>
          <w:tcPr>
            <w:tcW w:type="dxa" w:w="2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Exceeds Expectation</w:t>
            </w:r>
          </w:p>
        </w:tc>
        <w:tc>
          <w:tcPr>
            <w:tcW w:type="dxa" w:w="1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70–84</w:t>
            </w:r>
          </w:p>
        </w:tc>
        <w:tc>
          <w:tcPr>
            <w:tcW w:type="dxa" w:w="1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~184</w:t>
            </w:r>
          </w:p>
        </w:tc>
        <w:tc>
          <w:tcPr>
            <w:tcW w:type="dxa" w:w="39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Top 20%; confirmed top performer pool — primary focus of this project</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Meets Expectation</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55–69</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~368</w:t>
            </w:r>
          </w:p>
        </w:tc>
        <w:tc>
          <w:tcPr>
            <w:tcW w:type="dxa" w:w="39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Solid performers; 5 contrast cases drawn from this tier for interview shortlist</w:t>
            </w:r>
          </w:p>
        </w:tc>
      </w:tr>
      <w:tr>
        <w:tc>
          <w:tcPr>
            <w:tcW w:type="dxa" w:w="2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Developing</w:t>
            </w:r>
          </w:p>
        </w:tc>
        <w:tc>
          <w:tcPr>
            <w:tcW w:type="dxa" w:w="1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40–54</w:t>
            </w:r>
          </w:p>
        </w:tc>
        <w:tc>
          <w:tcPr>
            <w:tcW w:type="dxa" w:w="1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~184</w:t>
            </w:r>
          </w:p>
        </w:tc>
        <w:tc>
          <w:tcPr>
            <w:tcW w:type="dxa" w:w="39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Below average; strong development need signal</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Below Expectation</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0–39</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9"/>
                <w:szCs w:val="19"/>
              </w:rPr>
              <w:t xml:space="preserve">~92</w:t>
            </w:r>
          </w:p>
        </w:tc>
        <w:tc>
          <w:tcPr>
            <w:tcW w:type="dxa" w:w="39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Significant performance concerns; risk flag population</w:t>
            </w:r>
          </w:p>
        </w:tc>
      </w:tr>
    </w:tbl>
    <w:p>
      <w:pPr>
        <w:spacing w:after="120" w:before="0"/>
      </w:pPr>
    </w:p>
    <w:p>
      <w:pPr>
        <w:pStyle w:val="Heading2"/>
        <w:spacing w:after="100" w:before="240"/>
      </w:pPr>
      <w:r>
        <w:rPr>
          <w:rFonts w:ascii="Arial" w:cs="Arial" w:eastAsia="Arial" w:hAnsi="Arial"/>
          <w:b/>
          <w:bCs/>
          <w:color w:val="1A56DB"/>
          <w:sz w:val="26"/>
          <w:szCs w:val="26"/>
        </w:rPr>
        <w:t xml:space="preserve">3.4  Key Workforce Findings from OLP Analysis</w:t>
      </w:r>
    </w:p>
    <w:p>
      <w:pPr>
        <w:spacing w:after="60" w:before="60"/>
        <w:jc w:val="left"/>
      </w:pPr>
      <w:r>
        <w:rPr>
          <w:rFonts w:ascii="Arial" w:cs="Arial" w:eastAsia="Arial" w:hAnsi="Arial"/>
          <w:b w:val="false"/>
          <w:bCs w:val="false"/>
          <w:i w:val="false"/>
          <w:iCs w:val="false"/>
          <w:color w:val="111111"/>
          <w:sz w:val="22"/>
          <w:szCs w:val="22"/>
        </w:rPr>
        <w:t xml:space="preserve">The OLP analysis yielded the following key insights about the JioCX workforce:</w:t>
      </w:r>
    </w:p>
    <w:p>
      <w:pPr>
        <w:spacing w:after="60" w:before="0"/>
      </w:pP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Median age is approximately 34 years with median Reliance group experience of approximately 6 years — a relatively senior workforce.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18.8% of employees have been promoted and 36.2% have had salary/grade progression during the analysis period.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 is the modal rating (highest frequency), confirming a high-performance-skewed rating culture. This means the model must use relative differentiation (percentile ranking) rather than absolute rating thresholds.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RTG24-25 and RTG25-26 are the most reliable performance signals, as early ratings (RTG21-22) may reflect different role expectations or team compositions.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The 18–30 month tenure window represents the critical attrition risk period — employees who make it through this window show dramatically higher retention likelihood.</w:t>
      </w:r>
    </w:p>
    <w:p>
      <w:pPr>
        <w:spacing w:after="120" w:before="0"/>
      </w:pPr>
    </w:p>
    <w:p>
      <w:pPr>
        <w:pStyle w:val="Heading2"/>
        <w:spacing w:after="100" w:before="240"/>
      </w:pPr>
      <w:r>
        <w:rPr>
          <w:rFonts w:ascii="Arial" w:cs="Arial" w:eastAsia="Arial" w:hAnsi="Arial"/>
          <w:b/>
          <w:bCs/>
          <w:color w:val="1A56DB"/>
          <w:sz w:val="26"/>
          <w:szCs w:val="26"/>
        </w:rPr>
        <w:t xml:space="preserve">3.5  Stay &amp; Exit Interview Data Analysis</w:t>
      </w:r>
    </w:p>
    <w:p>
      <w:pPr>
        <w:spacing w:after="60" w:before="60"/>
        <w:jc w:val="left"/>
      </w:pPr>
      <w:r>
        <w:rPr>
          <w:rFonts w:ascii="Arial" w:cs="Arial" w:eastAsia="Arial" w:hAnsi="Arial"/>
          <w:b w:val="false"/>
          <w:bCs w:val="false"/>
          <w:i w:val="false"/>
          <w:iCs w:val="false"/>
          <w:color w:val="111111"/>
          <w:sz w:val="22"/>
          <w:szCs w:val="22"/>
        </w:rPr>
        <w:t xml:space="preserve">The merged Stay and Exit interview datasets provided critical behavioural and attitudinal context to complement the quantitative OLP data. Key findings included:</w:t>
      </w:r>
    </w:p>
    <w:p>
      <w:pPr>
        <w:spacing w:after="60" w:before="0"/>
      </w:pPr>
    </w:p>
    <w:p>
      <w:pPr>
        <w:spacing w:after="80" w:before="180"/>
      </w:pPr>
      <w:r>
        <w:rPr>
          <w:rFonts w:ascii="Arial" w:cs="Arial" w:eastAsia="Arial" w:hAnsi="Arial"/>
          <w:b/>
          <w:bCs/>
          <w:color w:val="0B2A44"/>
          <w:sz w:val="22"/>
          <w:szCs w:val="22"/>
        </w:rPr>
        <w:t xml:space="preserve">Stay Interview Findings (49 employees)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Only approximately 10% of surveyed employees identify as active, self-directed learners — the majority learn reactively. This informed the Learning Agility competency design.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Primary engagement drivers are technology exposure and team culture, not compensation. This is actionable for retention strategy.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Career aspirations cluster into three types: Leadership-Aspiring, Technical-Depth-Seeking, and Open-Exploring. These three profiles require different development pathways.</w:t>
      </w:r>
    </w:p>
    <w:p>
      <w:pPr>
        <w:spacing w:after="80" w:before="0"/>
      </w:pPr>
    </w:p>
    <w:p>
      <w:pPr>
        <w:spacing w:after="80" w:before="180"/>
      </w:pPr>
      <w:r>
        <w:rPr>
          <w:rFonts w:ascii="Arial" w:cs="Arial" w:eastAsia="Arial" w:hAnsi="Arial"/>
          <w:b/>
          <w:bCs/>
          <w:color w:val="0B2A44"/>
          <w:sz w:val="22"/>
          <w:szCs w:val="22"/>
        </w:rPr>
        <w:t xml:space="preserve">Exit Interview Findings (38 JioCX employees)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58% of exits are driven by compensation (market PULL) — these are structurally unretainable without matching market rates, regardless of manager quality or engagement.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97% of exiting employees reported a good relationship with their immediate manager — manager relationship quality is not a primary attrition driver, reframing the HRBP role's effectiveness metrics.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Less than 10% of employees accept counter-offers when they resign — counter-offers are statistically ineffective as a retention tool.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97% of exiting employees stated they would rejoin Jio Platforms in the future — strong employer brand is intact even among exits.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020" w:sz="4"/>
              <w:left w:val="single" w:color="B08020" w:sz="12"/>
              <w:bottom w:val="single" w:color="D1DCE8" w:sz="1"/>
              <w:right w:val="single" w:color="D1DCE8" w:sz="1"/>
            </w:tcBorders>
            <w:shd w:fill="EEF4FA" w:val="clear"/>
            <w:tcMar>
              <w:top w:type="dxa" w:w="140"/>
              <w:left w:type="dxa" w:w="200"/>
              <w:bottom w:type="dxa" w:w="140"/>
              <w:right w:type="dxa" w:w="200"/>
            </w:tcMar>
          </w:tcPr>
          <w:p>
            <w:pPr>
              <w:spacing w:after="60" w:before="0"/>
            </w:pPr>
            <w:r>
              <w:rPr>
                <w:rFonts w:ascii="Arial" w:cs="Arial" w:eastAsia="Arial" w:hAnsi="Arial"/>
                <w:b/>
                <w:bCs/>
                <w:color w:val="B08020"/>
                <w:sz w:val="22"/>
                <w:szCs w:val="22"/>
              </w:rPr>
              <w:t xml:space="preserve">Important Data Note</w:t>
            </w:r>
          </w:p>
          <w:p>
            <w:pPr>
              <w:spacing w:after="30" w:before="30"/>
            </w:pPr>
            <w:r>
              <w:rPr>
                <w:rFonts w:ascii="Arial" w:cs="Arial" w:eastAsia="Arial" w:hAnsi="Arial"/>
                <w:b w:val="false"/>
                <w:bCs w:val="false"/>
                <w:i w:val="false"/>
                <w:iCs w:val="false"/>
                <w:color w:val="3E5778"/>
                <w:sz w:val="20"/>
                <w:szCs w:val="20"/>
              </w:rPr>
              <w:t xml:space="preserve">Exit employees from JioCX came from a different HR system and could not be matched to OLP records. Additionally, 16 employees appeared in both the Stay AND Exit datasets — these overlapping cases were carefully handled to prevent double-counting. These data constraints are documented and will be disclosed in the final report.</w:t>
            </w:r>
          </w:p>
        </w:tc>
      </w:tr>
    </w:tbl>
    <w:p>
      <w:pPr>
        <w:spacing w:after="120" w:before="0"/>
      </w:pPr>
    </w:p>
    <w:p>
      <w:pPr>
        <w:pStyle w:val="Heading2"/>
        <w:spacing w:after="100" w:before="240"/>
      </w:pPr>
      <w:r>
        <w:rPr>
          <w:rFonts w:ascii="Arial" w:cs="Arial" w:eastAsia="Arial" w:hAnsi="Arial"/>
          <w:b/>
          <w:bCs/>
          <w:color w:val="1A56DB"/>
          <w:sz w:val="26"/>
          <w:szCs w:val="26"/>
        </w:rPr>
        <w:t xml:space="preserve">3.6  Top Performer Identification &amp; Interview Shortlist</w:t>
      </w:r>
    </w:p>
    <w:p>
      <w:pPr>
        <w:spacing w:after="60" w:before="60"/>
        <w:jc w:val="left"/>
      </w:pPr>
      <w:r>
        <w:rPr>
          <w:rFonts w:ascii="Arial" w:cs="Arial" w:eastAsia="Arial" w:hAnsi="Arial"/>
          <w:b w:val="false"/>
          <w:bCs w:val="false"/>
          <w:i w:val="false"/>
          <w:iCs w:val="false"/>
          <w:color w:val="111111"/>
          <w:sz w:val="22"/>
          <w:szCs w:val="22"/>
        </w:rPr>
        <w:t xml:space="preserve">The composite scoring model identified 184 employees as confirmed top performers (80th percentile, composite score ≥ 69.148). From this pool, an 15-person interview shortlist was constructed for Phase 2 STAR interviews, designed to maximize insight on what differentiates top from average performers: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Group</w:t>
            </w:r>
          </w:p>
        </w:tc>
        <w:tc>
          <w:tcPr>
            <w:tcW w:type="dxa" w:w="18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Count</w:t>
            </w:r>
          </w:p>
        </w:tc>
        <w:tc>
          <w:tcPr>
            <w:tcW w:type="dxa" w:w="51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Selection Criteria</w:t>
            </w:r>
          </w:p>
        </w:tc>
      </w:tr>
      <w:tr>
        <w:tc>
          <w:tcPr>
            <w:tcW w:type="dxa" w:w="24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1A7A4A"/>
                <w:sz w:val="19"/>
                <w:szCs w:val="19"/>
              </w:rPr>
              <w:t xml:space="preserve">Confirmed Top Performers</w:t>
            </w:r>
          </w:p>
        </w:tc>
        <w:tc>
          <w:tcPr>
            <w:tcW w:type="dxa" w:w="18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center"/>
            </w:pPr>
            <w:r>
              <w:rPr>
                <w:rFonts w:ascii="Arial" w:cs="Arial" w:eastAsia="Arial" w:hAnsi="Arial"/>
                <w:b/>
                <w:bCs/>
                <w:i w:val="false"/>
                <w:iCs w:val="false"/>
                <w:color w:val="1A7A4A"/>
                <w:sz w:val="19"/>
                <w:szCs w:val="19"/>
              </w:rPr>
              <w:t xml:space="preserve">13</w:t>
            </w:r>
          </w:p>
        </w:tc>
        <w:tc>
          <w:tcPr>
            <w:tcW w:type="dxa" w:w="51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Composite score ≥ 69.148 (80th percentile); diverse across seniority tiers and departments within JioCX; includes Star Performers (85+) and Exceeds Expectation (70-84) tiers</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B08020"/>
                <w:sz w:val="19"/>
                <w:szCs w:val="19"/>
              </w:rPr>
              <w:t xml:space="preserve">Contrast Performers (Average)</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B08020"/>
                <w:sz w:val="19"/>
                <w:szCs w:val="19"/>
              </w:rPr>
              <w:t xml:space="preserve">5</w:t>
            </w:r>
          </w:p>
        </w:tc>
        <w:tc>
          <w:tcPr>
            <w:tcW w:type="dxa" w:w="51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Composite score in Meets Expectation tier (55–69); selected to identify competency gaps and behaviours NOT present in top performers — essential for discriminant validity</w:t>
            </w:r>
          </w:p>
        </w:tc>
      </w:tr>
      <w:tr>
        <w:tc>
          <w:tcPr>
            <w:tcW w:type="dxa" w:w="24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Total Interview Shortlist</w:t>
            </w:r>
          </w:p>
        </w:tc>
        <w:tc>
          <w:tcPr>
            <w:tcW w:type="dxa" w:w="180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center"/>
            </w:pPr>
            <w:r>
              <w:rPr>
                <w:rFonts w:ascii="Arial" w:cs="Arial" w:eastAsia="Arial" w:hAnsi="Arial"/>
                <w:b/>
                <w:bCs/>
                <w:i w:val="false"/>
                <w:iCs w:val="false"/>
                <w:color w:val="0B2A44"/>
                <w:sz w:val="19"/>
                <w:szCs w:val="19"/>
              </w:rPr>
              <w:t xml:space="preserve">15</w:t>
            </w:r>
          </w:p>
        </w:tc>
        <w:tc>
          <w:tcPr>
            <w:tcW w:type="dxa" w:w="5160"/>
            <w:tcBorders>
              <w:top w:val="single" w:color="D1DCE8" w:sz="1"/>
              <w:left w:val="single" w:color="D1DCE8" w:sz="1"/>
              <w:bottom w:val="single" w:color="D1DCE8" w:sz="1"/>
              <w:right w:val="single" w:color="D1DCE8" w:sz="1"/>
            </w:tcBorders>
            <w:shd w:fill="EEF4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Scheduled for Phase 2 STAR interviews (July 1–11, 2026) — 60–70 min per interview conducted by intern with Ms. Arya Khamparia as guide</w:t>
            </w:r>
          </w:p>
        </w:tc>
      </w:tr>
    </w:tbl>
    <w:p>
      <w:r>
        <w:br w:type="page"/>
      </w:r>
    </w:p>
    <w:p>
      <w:pPr>
        <w:pStyle w:val="Heading1"/>
        <w:pBdr>
          <w:bottom w:val="single" w:color="1A56DB" w:sz="6" w:space="4"/>
        </w:pBdr>
        <w:spacing w:after="140" w:before="360"/>
      </w:pPr>
      <w:r>
        <w:rPr>
          <w:rFonts w:ascii="Arial" w:cs="Arial" w:eastAsia="Arial" w:hAnsi="Arial"/>
          <w:b/>
          <w:bCs/>
          <w:color w:val="0B2A44"/>
          <w:sz w:val="32"/>
          <w:szCs w:val="32"/>
        </w:rPr>
        <w:t xml:space="preserve">4.  Phase 2 — Collection &amp; Analysis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D1DCE8" w:sz="1"/>
              <w:right w:val="single" w:color="D1DCE8" w:sz="1"/>
            </w:tcBorders>
            <w:shd w:fill="EEF4FA"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Phase 2 Summary</w:t>
            </w:r>
          </w:p>
          <w:p>
            <w:pPr>
              <w:spacing w:after="30" w:before="30"/>
            </w:pPr>
            <w:r>
              <w:rPr>
                <w:rFonts w:ascii="Arial" w:cs="Arial" w:eastAsia="Arial" w:hAnsi="Arial"/>
                <w:b w:val="false"/>
                <w:bCs w:val="false"/>
                <w:i w:val="false"/>
                <w:iCs w:val="false"/>
                <w:color w:val="3E5778"/>
                <w:sz w:val="20"/>
                <w:szCs w:val="20"/>
              </w:rPr>
              <w:t xml:space="preserve">Duration: June 21 – July 18, 2026  |  Status: IN PROGRESS as of June 25, 2026</w:t>
            </w:r>
          </w:p>
          <w:p>
            <w:pPr>
              <w:spacing w:after="30" w:before="30"/>
            </w:pPr>
            <w:r>
              <w:rPr>
                <w:rFonts w:ascii="Arial" w:cs="Arial" w:eastAsia="Arial" w:hAnsi="Arial"/>
                <w:b w:val="false"/>
                <w:bCs w:val="false"/>
                <w:i w:val="false"/>
                <w:iCs w:val="false"/>
                <w:color w:val="3E5778"/>
                <w:sz w:val="20"/>
                <w:szCs w:val="20"/>
              </w:rPr>
              <w:t xml:space="preserve">Current step: Survey Design complete — deploying via Microsoft Forms to 176 JioCX employees</w:t>
            </w:r>
          </w:p>
          <w:p>
            <w:pPr>
              <w:spacing w:after="30" w:before="30"/>
            </w:pPr>
            <w:r>
              <w:rPr>
                <w:rFonts w:ascii="Arial" w:cs="Arial" w:eastAsia="Arial" w:hAnsi="Arial"/>
                <w:b w:val="false"/>
                <w:bCs w:val="false"/>
                <w:i w:val="false"/>
                <w:iCs w:val="false"/>
                <w:color w:val="3E5778"/>
                <w:sz w:val="20"/>
                <w:szCs w:val="20"/>
              </w:rPr>
              <w:t xml:space="preserve">Next steps: Data collection → cleaning → EDA → STAR interviews (Jul 1–11) → competency extraction</w:t>
            </w:r>
          </w:p>
        </w:tc>
      </w:tr>
    </w:tbl>
    <w:p>
      <w:pPr>
        <w:spacing w:after="120" w:before="0"/>
      </w:pPr>
    </w:p>
    <w:p>
      <w:pPr>
        <w:pStyle w:val="Heading2"/>
        <w:spacing w:after="100" w:before="240"/>
      </w:pPr>
      <w:r>
        <w:rPr>
          <w:rFonts w:ascii="Arial" w:cs="Arial" w:eastAsia="Arial" w:hAnsi="Arial"/>
          <w:b/>
          <w:bCs/>
          <w:color w:val="1A56DB"/>
          <w:sz w:val="26"/>
          <w:szCs w:val="26"/>
        </w:rPr>
        <w:t xml:space="preserve">4.1  Why a Survey? The Core Methodological Rationale</w:t>
      </w:r>
    </w:p>
    <w:p>
      <w:pPr>
        <w:spacing w:after="60" w:before="60"/>
        <w:jc w:val="left"/>
      </w:pPr>
      <w:r>
        <w:rPr>
          <w:rFonts w:ascii="Arial" w:cs="Arial" w:eastAsia="Arial" w:hAnsi="Arial"/>
          <w:b w:val="false"/>
          <w:bCs w:val="false"/>
          <w:i w:val="false"/>
          <w:iCs w:val="false"/>
          <w:color w:val="111111"/>
          <w:sz w:val="22"/>
          <w:szCs w:val="22"/>
        </w:rPr>
        <w:t xml:space="preserve">The project faces a fundamental data gap: five years of OLP performance ratings (the outcome variable) exist, but no historical data exists on the behavioural competencies that produced those outcomes. Traditional competency modelling approaches — retrospective behavioural assessments, manager nominations, or external benchmark frameworks — were either unavailable or insufficiently context-specific.</w:t>
      </w:r>
    </w:p>
    <w:p>
      <w:pPr>
        <w:spacing w:after="60" w:before="0"/>
      </w:pPr>
    </w:p>
    <w:p>
      <w:pPr>
        <w:spacing w:after="60" w:before="60"/>
        <w:jc w:val="left"/>
      </w:pPr>
      <w:r>
        <w:rPr>
          <w:rFonts w:ascii="Arial" w:cs="Arial" w:eastAsia="Arial" w:hAnsi="Arial"/>
          <w:b w:val="false"/>
          <w:bCs w:val="false"/>
          <w:i w:val="false"/>
          <w:iCs w:val="false"/>
          <w:color w:val="111111"/>
          <w:sz w:val="22"/>
          <w:szCs w:val="22"/>
        </w:rPr>
        <w:t xml:space="preserve">The all-employee competency survey was designed to create this data from scratch. By deploying it to the same population whose OLP scores are known, the project can merge self-reported competency data with historical performance ratings and identify which behaviours most strongly predict performance at Jio Platforms — using the employees as their own comparison group.</w:t>
      </w:r>
    </w:p>
    <w:p>
      <w:pPr>
        <w:spacing w:after="120" w:before="0"/>
      </w:pPr>
    </w:p>
    <w:p>
      <w:pPr>
        <w:pStyle w:val="Heading2"/>
        <w:spacing w:after="100" w:before="240"/>
      </w:pPr>
      <w:r>
        <w:rPr>
          <w:rFonts w:ascii="Arial" w:cs="Arial" w:eastAsia="Arial" w:hAnsi="Arial"/>
          <w:b/>
          <w:bCs/>
          <w:color w:val="1A56DB"/>
          <w:sz w:val="26"/>
          <w:szCs w:val="26"/>
        </w:rPr>
        <w:t xml:space="preserve">4.2  The 10-Step End-to-End Methodology</w:t>
      </w:r>
    </w:p>
    <w:p>
      <w:pPr>
        <w:spacing w:after="60" w:before="60"/>
        <w:jc w:val="left"/>
      </w:pPr>
      <w:r>
        <w:rPr>
          <w:rFonts w:ascii="Arial" w:cs="Arial" w:eastAsia="Arial" w:hAnsi="Arial"/>
          <w:b w:val="false"/>
          <w:bCs w:val="false"/>
          <w:i w:val="false"/>
          <w:iCs w:val="false"/>
          <w:color w:val="111111"/>
          <w:sz w:val="22"/>
          <w:szCs w:val="22"/>
        </w:rPr>
        <w:t xml:space="preserve">The project follows a structured 10-step process organised into three phases. Steps 1–2 are complete; Steps 3–10 are upcoming: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5560"/>
      </w:tblGrid>
      <w:tr>
        <w:tc>
          <w:tcPr>
            <w:tcW w:type="dxa" w:w="6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Step</w:t>
            </w:r>
          </w:p>
        </w:tc>
        <w:tc>
          <w:tcPr>
            <w:tcW w:type="dxa" w:w="18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Activity</w:t>
            </w:r>
          </w:p>
        </w:tc>
        <w:tc>
          <w:tcPr>
            <w:tcW w:type="dxa" w:w="14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c>
          <w:tcPr>
            <w:tcW w:type="dxa" w:w="55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Description</w:t>
            </w:r>
          </w:p>
        </w:tc>
      </w:tr>
      <w:tr>
        <w:tc>
          <w:tcPr>
            <w:tcW w:type="dxa" w:w="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1</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Identify Top / Avg / Low Performers</w:t>
            </w:r>
          </w:p>
        </w:tc>
        <w:tc>
          <w:tcPr>
            <w:tcW w:type="dxa" w:w="1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1A7A4A"/>
                <w:sz w:val="16"/>
                <w:szCs w:val="16"/>
              </w:rPr>
              <w:t xml:space="preserve">✅ Complete</w:t>
            </w:r>
          </w:p>
        </w:tc>
        <w:tc>
          <w:tcPr>
            <w:tcW w:type="dxa" w:w="5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OLP composite scoring model applied to 920 employees; 184 top performers identified (80th percentile)</w:t>
            </w:r>
          </w:p>
        </w:tc>
      </w:tr>
      <w:tr>
        <w:tc>
          <w:tcPr>
            <w:tcW w:type="dxa" w:w="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2</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Conduct Competency Survey</w:t>
            </w:r>
          </w:p>
        </w:tc>
        <w:tc>
          <w:tcPr>
            <w:tcW w:type="dxa" w:w="1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1A56DB"/>
                <w:sz w:val="16"/>
                <w:szCs w:val="16"/>
              </w:rPr>
              <w:t xml:space="preserve">⚡ In Progress</w:t>
            </w:r>
          </w:p>
        </w:tc>
        <w:tc>
          <w:tcPr>
            <w:tcW w:type="dxa" w:w="5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Level-adapted survey (77 fields, 3 levels) deployed via Microsoft Forms; targeting 150+ responses</w:t>
            </w:r>
          </w:p>
        </w:tc>
      </w:tr>
      <w:tr>
        <w:tc>
          <w:tcPr>
            <w:tcW w:type="dxa" w:w="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3</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Extract Key Competencies</w:t>
            </w:r>
          </w:p>
        </w:tc>
        <w:tc>
          <w:tcPr>
            <w:tcW w:type="dxa" w:w="1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B08020"/>
                <w:sz w:val="16"/>
                <w:szCs w:val="16"/>
              </w:rPr>
              <w:t xml:space="preserve">📋 Upcoming</w:t>
            </w:r>
          </w:p>
        </w:tc>
        <w:tc>
          <w:tcPr>
            <w:tcW w:type="dxa" w:w="5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Mann-Whitney U test per item; effect size (r = Z/√N); Differentiator Index ranking 10 competencies by predictive power</w:t>
            </w:r>
          </w:p>
        </w:tc>
      </w:tr>
      <w:tr>
        <w:tc>
          <w:tcPr>
            <w:tcW w:type="dxa" w:w="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4</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Map to Lominger Framework</w:t>
            </w:r>
          </w:p>
        </w:tc>
        <w:tc>
          <w:tcPr>
            <w:tcW w:type="dxa" w:w="1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6"/>
                <w:szCs w:val="16"/>
              </w:rPr>
              <w:t xml:space="preserve">📋 Upcoming</w:t>
            </w:r>
          </w:p>
        </w:tc>
        <w:tc>
          <w:tcPr>
            <w:tcW w:type="dxa" w:w="5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Translate validated competencies to Lominger Leadership Architect 67-competency library for standardisation</w:t>
            </w:r>
          </w:p>
        </w:tc>
      </w:tr>
      <w:tr>
        <w:tc>
          <w:tcPr>
            <w:tcW w:type="dxa" w:w="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5</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Build Competency Interviews &amp; Survey-2</w:t>
            </w:r>
          </w:p>
        </w:tc>
        <w:tc>
          <w:tcPr>
            <w:tcW w:type="dxa" w:w="1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B08020"/>
                <w:sz w:val="16"/>
                <w:szCs w:val="16"/>
              </w:rPr>
              <w:t xml:space="preserve">📋 Upcoming</w:t>
            </w:r>
          </w:p>
        </w:tc>
        <w:tc>
          <w:tcPr>
            <w:tcW w:type="dxa" w:w="5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Design STAR interview protocol from survey findings; build targeted 4–6 item Likert survey per validated competency</w:t>
            </w:r>
          </w:p>
        </w:tc>
      </w:tr>
      <w:tr>
        <w:tc>
          <w:tcPr>
            <w:tcW w:type="dxa" w:w="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6</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Validate Using HR Data (Correlation)</w:t>
            </w:r>
          </w:p>
        </w:tc>
        <w:tc>
          <w:tcPr>
            <w:tcW w:type="dxa" w:w="1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6"/>
                <w:szCs w:val="16"/>
              </w:rPr>
              <w:t xml:space="preserve">📋 Upcoming</w:t>
            </w:r>
          </w:p>
        </w:tc>
        <w:tc>
          <w:tcPr>
            <w:tcW w:type="dxa" w:w="5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Pearson correlation and regression linking competency scores to OLP composite; tenure and L&amp;D hours as predictors</w:t>
            </w:r>
          </w:p>
        </w:tc>
      </w:tr>
      <w:tr>
        <w:tc>
          <w:tcPr>
            <w:tcW w:type="dxa" w:w="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7</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Build Success Prediction Matrix</w:t>
            </w:r>
          </w:p>
        </w:tc>
        <w:tc>
          <w:tcPr>
            <w:tcW w:type="dxa" w:w="1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B08020"/>
                <w:sz w:val="16"/>
                <w:szCs w:val="16"/>
              </w:rPr>
              <w:t xml:space="preserve">📋 Upcoming</w:t>
            </w:r>
          </w:p>
        </w:tc>
        <w:tc>
          <w:tcPr>
            <w:tcW w:type="dxa" w:w="5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Weighted scoring formula per competency → predicted performance tier; calibrated on top performer cohort</w:t>
            </w:r>
          </w:p>
        </w:tc>
      </w:tr>
      <w:tr>
        <w:tc>
          <w:tcPr>
            <w:tcW w:type="dxa" w:w="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8</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Test on Existing Employees</w:t>
            </w:r>
          </w:p>
        </w:tc>
        <w:tc>
          <w:tcPr>
            <w:tcW w:type="dxa" w:w="1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6"/>
                <w:szCs w:val="16"/>
              </w:rPr>
              <w:t xml:space="preserve">📋 Upcoming</w:t>
            </w:r>
          </w:p>
        </w:tc>
        <w:tc>
          <w:tcPr>
            <w:tcW w:type="dxa" w:w="5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Apply model to historical cohort; target: ≥70% classification accuracy on known top performers</w:t>
            </w:r>
          </w:p>
        </w:tc>
      </w:tr>
      <w:tr>
        <w:tc>
          <w:tcPr>
            <w:tcW w:type="dxa" w:w="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9</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Apply to New Employees &amp; Future Hiring</w:t>
            </w:r>
          </w:p>
        </w:tc>
        <w:tc>
          <w:tcPr>
            <w:tcW w:type="dxa" w:w="1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B08020"/>
                <w:sz w:val="16"/>
                <w:szCs w:val="16"/>
              </w:rPr>
              <w:t xml:space="preserve">📋 Upcoming</w:t>
            </w:r>
          </w:p>
        </w:tc>
        <w:tc>
          <w:tcPr>
            <w:tcW w:type="dxa" w:w="5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Operationalise model as HR decision tool; embed into hiring and appraisal workflow guidance</w:t>
            </w:r>
          </w:p>
        </w:tc>
      </w:tr>
      <w:tr>
        <w:tc>
          <w:tcPr>
            <w:tcW w:type="dxa" w:w="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10</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Final Report &amp; Dashboard Delivery</w:t>
            </w:r>
          </w:p>
        </w:tc>
        <w:tc>
          <w:tcPr>
            <w:tcW w:type="dxa" w:w="1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6"/>
                <w:szCs w:val="16"/>
              </w:rPr>
              <w:t xml:space="preserve">📋 Upcoming</w:t>
            </w:r>
          </w:p>
        </w:tc>
        <w:tc>
          <w:tcPr>
            <w:tcW w:type="dxa" w:w="5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All 8 deliverables due August 3, 2026; formal presentation to Mr. Bharat Bhushan</w:t>
            </w:r>
          </w:p>
        </w:tc>
      </w:tr>
    </w:tbl>
    <w:p>
      <w:pPr>
        <w:spacing w:after="120" w:before="0"/>
      </w:pPr>
    </w:p>
    <w:p>
      <w:pPr>
        <w:pStyle w:val="Heading2"/>
        <w:spacing w:after="100" w:before="240"/>
      </w:pPr>
      <w:r>
        <w:rPr>
          <w:rFonts w:ascii="Arial" w:cs="Arial" w:eastAsia="Arial" w:hAnsi="Arial"/>
          <w:b/>
          <w:bCs/>
          <w:color w:val="1A56DB"/>
          <w:sz w:val="26"/>
          <w:szCs w:val="26"/>
        </w:rPr>
        <w:t xml:space="preserve">4.3  I-O Psychology Foundation: The 3 Performance Pillars</w:t>
      </w:r>
    </w:p>
    <w:p>
      <w:pPr>
        <w:spacing w:after="60" w:before="60"/>
        <w:jc w:val="left"/>
      </w:pPr>
      <w:r>
        <w:rPr>
          <w:rFonts w:ascii="Arial" w:cs="Arial" w:eastAsia="Arial" w:hAnsi="Arial"/>
          <w:b w:val="false"/>
          <w:bCs w:val="false"/>
          <w:i w:val="false"/>
          <w:iCs w:val="false"/>
          <w:color w:val="111111"/>
          <w:sz w:val="22"/>
          <w:szCs w:val="22"/>
        </w:rPr>
        <w:t xml:space="preserve">The survey and competency framework are grounded in the Industrial-Organisational Psychology principle that job performance is multi-dimensional. The project adopts the three-pillar model established by Borman &amp; Motowidlo (1993), consistent with Sackett &amp; Lievens (2008) who found that approximately 10 well-designed competencies explain ~85% of variance in job performance: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c>
          <w:tcPr>
            <w:tcW w:type="dxa" w:w="18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Pillar</w:t>
            </w:r>
          </w:p>
        </w:tc>
        <w:tc>
          <w:tcPr>
            <w:tcW w:type="dxa" w:w="37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c>
          <w:tcPr>
            <w:tcW w:type="dxa" w:w="38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Mapped Competencies</w:t>
            </w:r>
          </w:p>
        </w:tc>
      </w:tr>
      <w:tr>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Task Performance</w:t>
            </w:r>
          </w:p>
        </w:tc>
        <w:tc>
          <w:tcPr>
            <w:tcW w:type="dxa" w:w="37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Proficiency with which the employee performs core technical and functional role requirements.</w:t>
            </w:r>
          </w:p>
        </w:tc>
        <w:tc>
          <w:tcPr>
            <w:tcW w:type="dxa" w:w="3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56DB"/>
                <w:sz w:val="18"/>
                <w:szCs w:val="18"/>
              </w:rPr>
              <w:t xml:space="preserve">EE (Execution Excellence) · PS (Problem Solving) · DI (Drive &amp; Initiative)</w:t>
            </w:r>
          </w:p>
        </w:tc>
      </w:tr>
      <w:tr>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Contextual Performance</w:t>
            </w:r>
          </w:p>
        </w:tc>
        <w:tc>
          <w:tcPr>
            <w:tcW w:type="dxa" w:w="37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Behaviours that support the organisational, social, and psychological environment — cooperation, helping others, team cohesion.</w:t>
            </w:r>
          </w:p>
        </w:tc>
        <w:tc>
          <w:tcPr>
            <w:tcW w:type="dxa" w:w="3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56DB"/>
                <w:sz w:val="18"/>
                <w:szCs w:val="18"/>
              </w:rPr>
              <w:t xml:space="preserve">CI (Collaboration &amp; Influence) · PL (People Leadership) · CO (Customer Orientation)</w:t>
            </w:r>
          </w:p>
        </w:tc>
      </w:tr>
      <w:tr>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Adaptive Performance</w:t>
            </w:r>
          </w:p>
        </w:tc>
        <w:tc>
          <w:tcPr>
            <w:tcW w:type="dxa" w:w="37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Ability to handle change, learn from experience, and respond effectively to novel or ambiguous situations.</w:t>
            </w:r>
          </w:p>
        </w:tc>
        <w:tc>
          <w:tcPr>
            <w:tcW w:type="dxa" w:w="3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56DB"/>
                <w:sz w:val="18"/>
                <w:szCs w:val="18"/>
              </w:rPr>
              <w:t xml:space="preserve">LA (Learning Agility) · RE (Resilience) · ST (Strategic Thinking) · CM (Communication)</w:t>
            </w:r>
          </w:p>
        </w:tc>
      </w:tr>
    </w:tbl>
    <w:p>
      <w:pPr>
        <w:spacing w:after="120" w:before="0"/>
      </w:pPr>
    </w:p>
    <w:p>
      <w:pPr>
        <w:pStyle w:val="Heading2"/>
        <w:spacing w:after="100" w:before="240"/>
      </w:pPr>
      <w:r>
        <w:rPr>
          <w:rFonts w:ascii="Arial" w:cs="Arial" w:eastAsia="Arial" w:hAnsi="Arial"/>
          <w:b/>
          <w:bCs/>
          <w:color w:val="1A56DB"/>
          <w:sz w:val="26"/>
          <w:szCs w:val="26"/>
        </w:rPr>
        <w:t xml:space="preserve">4.4  The 10-Competency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960"/>
        <w:gridCol w:w="1500"/>
      </w:tblGrid>
      <w:tr>
        <w:tc>
          <w:tcPr>
            <w:tcW w:type="dxa" w:w="7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Code</w:t>
            </w:r>
          </w:p>
        </w:tc>
        <w:tc>
          <w:tcPr>
            <w:tcW w:type="dxa" w:w="22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Competency</w:t>
            </w:r>
          </w:p>
        </w:tc>
        <w:tc>
          <w:tcPr>
            <w:tcW w:type="dxa" w:w="49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c>
          <w:tcPr>
            <w:tcW w:type="dxa" w:w="15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Pillar</w:t>
            </w:r>
          </w:p>
        </w:tc>
      </w:tr>
      <w:tr>
        <w:tc>
          <w:tcPr>
            <w:tcW w:type="dxa" w:w="7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EE</w:t>
            </w:r>
          </w:p>
        </w:tc>
        <w:tc>
          <w:tcPr>
            <w:tcW w:type="dxa" w:w="2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Execution Excellence</w:t>
            </w:r>
          </w:p>
        </w:tc>
        <w:tc>
          <w:tcPr>
            <w:tcW w:type="dxa" w:w="49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Delivers results with consistent speed, quality, and accountability under varying conditions.</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Task</w:t>
            </w:r>
          </w:p>
        </w:tc>
      </w:tr>
      <w:tr>
        <w:tc>
          <w:tcPr>
            <w:tcW w:type="dxa" w:w="7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ST</w:t>
            </w:r>
          </w:p>
        </w:tc>
        <w:tc>
          <w:tcPr>
            <w:tcW w:type="dxa" w:w="2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Strategic Thinking</w:t>
            </w:r>
          </w:p>
        </w:tc>
        <w:tc>
          <w:tcPr>
            <w:tcW w:type="dxa" w:w="49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Connects daily work to broader organizational goals; anticipates future developments.</w:t>
            </w:r>
          </w:p>
        </w:tc>
        <w:tc>
          <w:tcPr>
            <w:tcW w:type="dxa" w:w="1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Adaptive</w:t>
            </w:r>
          </w:p>
        </w:tc>
      </w:tr>
      <w:tr>
        <w:tc>
          <w:tcPr>
            <w:tcW w:type="dxa" w:w="7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LA</w:t>
            </w:r>
          </w:p>
        </w:tc>
        <w:tc>
          <w:tcPr>
            <w:tcW w:type="dxa" w:w="2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Learning Agility</w:t>
            </w:r>
          </w:p>
        </w:tc>
        <w:tc>
          <w:tcPr>
            <w:tcW w:type="dxa" w:w="49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Proactively acquires new skills, processes feedback, adapts rapidly to new challenges.</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Adaptive</w:t>
            </w:r>
          </w:p>
        </w:tc>
      </w:tr>
      <w:tr>
        <w:tc>
          <w:tcPr>
            <w:tcW w:type="dxa" w:w="7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CI</w:t>
            </w:r>
          </w:p>
        </w:tc>
        <w:tc>
          <w:tcPr>
            <w:tcW w:type="dxa" w:w="2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Collaboration &amp; Influence</w:t>
            </w:r>
          </w:p>
        </w:tc>
        <w:tc>
          <w:tcPr>
            <w:tcW w:type="dxa" w:w="49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Builds productive cross-functional relationships; achieves outcomes without formal authority.</w:t>
            </w:r>
          </w:p>
        </w:tc>
        <w:tc>
          <w:tcPr>
            <w:tcW w:type="dxa" w:w="1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Contextual</w:t>
            </w:r>
          </w:p>
        </w:tc>
      </w:tr>
      <w:tr>
        <w:tc>
          <w:tcPr>
            <w:tcW w:type="dxa" w:w="7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PS</w:t>
            </w:r>
          </w:p>
        </w:tc>
        <w:tc>
          <w:tcPr>
            <w:tcW w:type="dxa" w:w="2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Problem Solving</w:t>
            </w:r>
          </w:p>
        </w:tc>
        <w:tc>
          <w:tcPr>
            <w:tcW w:type="dxa" w:w="49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Structures ambiguous problems, evaluates alternatives using evidence-based reasoning.</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Task</w:t>
            </w:r>
          </w:p>
        </w:tc>
      </w:tr>
      <w:tr>
        <w:tc>
          <w:tcPr>
            <w:tcW w:type="dxa" w:w="7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DI</w:t>
            </w:r>
          </w:p>
        </w:tc>
        <w:tc>
          <w:tcPr>
            <w:tcW w:type="dxa" w:w="2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Drive &amp; Initiative</w:t>
            </w:r>
          </w:p>
        </w:tc>
        <w:tc>
          <w:tcPr>
            <w:tcW w:type="dxa" w:w="49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Self-starts, persists through obstacles, consistently exceeds formal expectations.</w:t>
            </w:r>
          </w:p>
        </w:tc>
        <w:tc>
          <w:tcPr>
            <w:tcW w:type="dxa" w:w="1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Task</w:t>
            </w:r>
          </w:p>
        </w:tc>
      </w:tr>
      <w:tr>
        <w:tc>
          <w:tcPr>
            <w:tcW w:type="dxa" w:w="7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PL</w:t>
            </w:r>
          </w:p>
        </w:tc>
        <w:tc>
          <w:tcPr>
            <w:tcW w:type="dxa" w:w="2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People Leadership</w:t>
            </w:r>
          </w:p>
        </w:tc>
        <w:tc>
          <w:tcPr>
            <w:tcW w:type="dxa" w:w="49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Invests in developing others, provides candid feedback, creates enabling conditions for team success.</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Contextual</w:t>
            </w:r>
          </w:p>
        </w:tc>
      </w:tr>
      <w:tr>
        <w:tc>
          <w:tcPr>
            <w:tcW w:type="dxa" w:w="7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CM</w:t>
            </w:r>
          </w:p>
        </w:tc>
        <w:tc>
          <w:tcPr>
            <w:tcW w:type="dxa" w:w="2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Communication</w:t>
            </w:r>
          </w:p>
        </w:tc>
        <w:tc>
          <w:tcPr>
            <w:tcW w:type="dxa" w:w="49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Presents ideas clearly, adapts to audiences, listens actively, delivers difficult messages directly.</w:t>
            </w:r>
          </w:p>
        </w:tc>
        <w:tc>
          <w:tcPr>
            <w:tcW w:type="dxa" w:w="1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Adaptive</w:t>
            </w:r>
          </w:p>
        </w:tc>
      </w:tr>
      <w:tr>
        <w:tc>
          <w:tcPr>
            <w:tcW w:type="dxa" w:w="7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RE</w:t>
            </w:r>
          </w:p>
        </w:tc>
        <w:tc>
          <w:tcPr>
            <w:tcW w:type="dxa" w:w="2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Resilience</w:t>
            </w:r>
          </w:p>
        </w:tc>
        <w:tc>
          <w:tcPr>
            <w:tcW w:type="dxa" w:w="49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Maintains performance and composure under pressure; recovers rapidly from setbacks.</w:t>
            </w:r>
          </w:p>
        </w:tc>
        <w:tc>
          <w:tcPr>
            <w:tcW w:type="dxa" w:w="1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Adaptive</w:t>
            </w:r>
          </w:p>
        </w:tc>
      </w:tr>
      <w:tr>
        <w:tc>
          <w:tcPr>
            <w:tcW w:type="dxa" w:w="7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CO</w:t>
            </w:r>
          </w:p>
        </w:tc>
        <w:tc>
          <w:tcPr>
            <w:tcW w:type="dxa" w:w="2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Customer Orientation</w:t>
            </w:r>
          </w:p>
        </w:tc>
        <w:tc>
          <w:tcPr>
            <w:tcW w:type="dxa" w:w="49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Understands and proactively serves stakeholders' underlying needs; maintains consistent reliability.</w:t>
            </w:r>
          </w:p>
        </w:tc>
        <w:tc>
          <w:tcPr>
            <w:tcW w:type="dxa" w:w="1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Contextual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D1DCE8" w:sz="1"/>
              <w:right w:val="single" w:color="D1DCE8" w:sz="1"/>
            </w:tcBorders>
            <w:shd w:fill="EEF4FA"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Framework Selection Rationale</w:t>
            </w:r>
          </w:p>
          <w:p>
            <w:pPr>
              <w:spacing w:after="30" w:before="30"/>
            </w:pPr>
            <w:r>
              <w:rPr>
                <w:rFonts w:ascii="Arial" w:cs="Arial" w:eastAsia="Arial" w:hAnsi="Arial"/>
                <w:b w:val="false"/>
                <w:bCs w:val="false"/>
                <w:i w:val="false"/>
                <w:iCs w:val="false"/>
                <w:color w:val="3E5778"/>
                <w:sz w:val="20"/>
                <w:szCs w:val="20"/>
              </w:rPr>
              <w:t xml:space="preserve">These 10 competencies were selected from synthesis of three sources: (1) original Day-1 handwritten structural plan (File B) showing Conflict Management 9/10, Relationship Building 8/10, Influencing 8/10, HR Expertise 7/10 as the most frequently mentioned competencies by top HR professionals; (2) the Lominger Leadership Architect 67-competency library, which provided the official naming and taxonomic placement; (3) JioCX stay and exit interview analysis (INF-01 to INF-12) which surfaced the contextual and adaptive dimensions.</w:t>
            </w:r>
          </w:p>
        </w:tc>
      </w:tr>
    </w:tbl>
    <w:p>
      <w:pPr>
        <w:spacing w:after="120" w:before="0"/>
      </w:pPr>
    </w:p>
    <w:p>
      <w:pPr>
        <w:pStyle w:val="Heading2"/>
        <w:spacing w:after="100" w:before="240"/>
      </w:pPr>
      <w:r>
        <w:rPr>
          <w:rFonts w:ascii="Arial" w:cs="Arial" w:eastAsia="Arial" w:hAnsi="Arial"/>
          <w:b/>
          <w:bCs/>
          <w:color w:val="1A56DB"/>
          <w:sz w:val="26"/>
          <w:szCs w:val="26"/>
        </w:rPr>
        <w:t xml:space="preserve">4.5  Survey Architecture</w:t>
      </w:r>
    </w:p>
    <w:p>
      <w:pPr>
        <w:spacing w:after="60" w:before="60"/>
        <w:jc w:val="left"/>
      </w:pPr>
      <w:r>
        <w:rPr>
          <w:rFonts w:ascii="Arial" w:cs="Arial" w:eastAsia="Arial" w:hAnsi="Arial"/>
          <w:b w:val="false"/>
          <w:bCs w:val="false"/>
          <w:i w:val="false"/>
          <w:iCs w:val="false"/>
          <w:color w:val="111111"/>
          <w:sz w:val="22"/>
          <w:szCs w:val="22"/>
        </w:rPr>
        <w:t xml:space="preserve">The competency survey is a mixed-method instrument designed to capture four complementary types of behavioural evidence in a single session. The level-adaptive design ensures that Junior/Executive, Manager/Team Lead, and Leader/VP+ respondents all receive appropriately calibrated items: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600"/>
        <w:gridCol w:w="1200"/>
        <w:gridCol w:w="700"/>
        <w:gridCol w:w="2560"/>
      </w:tblGrid>
      <w:tr>
        <w:tc>
          <w:tcPr>
            <w:tcW w:type="dxa" w:w="5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Sec</w:t>
            </w:r>
          </w:p>
        </w:tc>
        <w:tc>
          <w:tcPr>
            <w:tcW w:type="dxa" w:w="18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Section</w:t>
            </w:r>
          </w:p>
        </w:tc>
        <w:tc>
          <w:tcPr>
            <w:tcW w:type="dxa" w:w="26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Format</w:t>
            </w:r>
          </w:p>
        </w:tc>
        <w:tc>
          <w:tcPr>
            <w:tcW w:type="dxa" w:w="12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Items</w:t>
            </w:r>
          </w:p>
        </w:tc>
        <w:tc>
          <w:tcPr>
            <w:tcW w:type="dxa" w:w="7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Time</w:t>
            </w:r>
          </w:p>
        </w:tc>
        <w:tc>
          <w:tcPr>
            <w:tcW w:type="dxa" w:w="25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What It Captures</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A</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Work Style Profile</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Likert Scale 1–5 (Semantic Differential adapted for MS Forms)</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40 items (4/competency)</w:t>
            </w:r>
          </w:p>
        </w:tc>
        <w:tc>
          <w:tcPr>
            <w:tcW w:type="dxa" w:w="7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~15 min</w:t>
            </w:r>
          </w:p>
        </w:tc>
        <w:tc>
          <w:tcPr>
            <w:tcW w:type="dxa" w:w="2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Self-perceived behavioural frequency; 30% reverse-scored (12 items) to catch straight-liners</w:t>
            </w:r>
          </w:p>
        </w:tc>
      </w:tr>
      <w:tr>
        <w:tc>
          <w:tcPr>
            <w:tcW w:type="dxa" w:w="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B</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Theory of Success</w:t>
            </w:r>
          </w:p>
        </w:tc>
        <w:tc>
          <w:tcPr>
            <w:tcW w:type="dxa" w:w="2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Forced Ranking (1–10, no ties) + Top 3 Cross-Check</w:t>
            </w:r>
          </w:p>
        </w:tc>
        <w:tc>
          <w:tcPr>
            <w:tcW w:type="dxa" w:w="1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10 + 3 items</w:t>
            </w:r>
          </w:p>
        </w:tc>
        <w:tc>
          <w:tcPr>
            <w:tcW w:type="dxa" w:w="7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~5 min</w:t>
            </w:r>
          </w:p>
        </w:tc>
        <w:tc>
          <w:tcPr>
            <w:tcW w:type="dxa" w:w="2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Mental model of what drives success; eliminates 'All 5s' social desirability problem</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C</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Behavioural Scenarios</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Situational Judgment: rank 4 options per scenario</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3 scenarios × 4</w:t>
            </w:r>
          </w:p>
        </w:tc>
        <w:tc>
          <w:tcPr>
            <w:tcW w:type="dxa" w:w="7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~6 min</w:t>
            </w:r>
          </w:p>
        </w:tc>
        <w:tc>
          <w:tcPr>
            <w:tcW w:type="dxa" w:w="2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Default behavioural autopilot; 1 genuinely ambiguous scenario per level for differentiation</w:t>
            </w:r>
          </w:p>
        </w:tc>
      </w:tr>
      <w:tr>
        <w:tc>
          <w:tcPr>
            <w:tcW w:type="dxa" w:w="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D</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Personal Reflections</w:t>
            </w:r>
          </w:p>
        </w:tc>
        <w:tc>
          <w:tcPr>
            <w:tcW w:type="dxa" w:w="2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Open-Ended STAR Narratives (50-word minimum, live counter)</w:t>
            </w:r>
          </w:p>
        </w:tc>
        <w:tc>
          <w:tcPr>
            <w:tcW w:type="dxa" w:w="1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5 questions</w:t>
            </w:r>
          </w:p>
        </w:tc>
        <w:tc>
          <w:tcPr>
            <w:tcW w:type="dxa" w:w="7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~10 min</w:t>
            </w:r>
          </w:p>
        </w:tc>
        <w:tc>
          <w:tcPr>
            <w:tcW w:type="dxa" w:w="2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Agency, attribution style, authentic language for MAXQDA thematic coding and interview design</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E</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Contextual Demographics</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Dropdown / Selection (name, ID, level, hours, reports, cross-functional)</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4–6 fields</w:t>
            </w:r>
          </w:p>
        </w:tc>
        <w:tc>
          <w:tcPr>
            <w:tcW w:type="dxa" w:w="7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~1 min</w:t>
            </w:r>
          </w:p>
        </w:tc>
        <w:tc>
          <w:tcPr>
            <w:tcW w:type="dxa" w:w="2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7"/>
                <w:szCs w:val="17"/>
              </w:rPr>
              <w:t xml:space="preserve">Segmentation variables for level-based analysis; OLP merge key (Employee ID)</w:t>
            </w:r>
          </w:p>
        </w:tc>
      </w:tr>
    </w:tbl>
    <w:p>
      <w:pPr>
        <w:spacing w:after="120" w:before="0"/>
      </w:pPr>
    </w:p>
    <w:p>
      <w:pPr>
        <w:pStyle w:val="Heading2"/>
        <w:spacing w:after="100" w:before="240"/>
      </w:pPr>
      <w:r>
        <w:rPr>
          <w:rFonts w:ascii="Arial" w:cs="Arial" w:eastAsia="Arial" w:hAnsi="Arial"/>
          <w:b/>
          <w:bCs/>
          <w:color w:val="1A56DB"/>
          <w:sz w:val="26"/>
          <w:szCs w:val="26"/>
        </w:rPr>
        <w:t xml:space="preserve">4.6  Methodological Safeguards</w:t>
      </w:r>
    </w:p>
    <w:p>
      <w:pPr>
        <w:spacing w:after="60" w:before="60"/>
        <w:jc w:val="left"/>
      </w:pPr>
      <w:r>
        <w:rPr>
          <w:rFonts w:ascii="Arial" w:cs="Arial" w:eastAsia="Arial" w:hAnsi="Arial"/>
          <w:b w:val="false"/>
          <w:bCs w:val="false"/>
          <w:i w:val="false"/>
          <w:iCs w:val="false"/>
          <w:color w:val="111111"/>
          <w:sz w:val="22"/>
          <w:szCs w:val="22"/>
        </w:rPr>
        <w:t xml:space="preserve">Six specific methodological fixes were designed into the survey to address the most common threats to self-report data quality: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2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Fix</w:t>
            </w:r>
          </w:p>
        </w:tc>
        <w:tc>
          <w:tcPr>
            <w:tcW w:type="dxa" w:w="66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Purpose</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1</w:t>
            </w:r>
          </w:p>
        </w:tc>
        <w:tc>
          <w:tcPr>
            <w:tcW w:type="dxa" w:w="2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Reverse-Scored Items (12 of 40, 30%)</w:t>
            </w:r>
          </w:p>
        </w:tc>
        <w:tc>
          <w:tcPr>
            <w:tcW w:type="dxa" w:w="66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Catches acquiescence bias and straight-lining. Respondents who always select 5 will score poorly on reversed items, enabling flagging for exclusion during data cleaning.</w:t>
            </w:r>
          </w:p>
        </w:tc>
      </w:tr>
      <w:tr>
        <w:tc>
          <w:tcPr>
            <w:tcW w:type="dxa" w:w="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2</w:t>
            </w:r>
          </w:p>
        </w:tc>
        <w:tc>
          <w:tcPr>
            <w:tcW w:type="dxa" w:w="2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Embedded Attention Checks (×2)</w:t>
            </w:r>
          </w:p>
        </w:tc>
        <w:tc>
          <w:tcPr>
            <w:tcW w:type="dxa" w:w="66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Two items at positions 12 and 28 of the shuffled Section A instruct respondents to select a specific value. Responses deviating from this flag inattentive or bot submissions.</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3</w:t>
            </w:r>
          </w:p>
        </w:tc>
        <w:tc>
          <w:tcPr>
            <w:tcW w:type="dxa" w:w="2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Fisher-Yates Shuffle (Section A)</w:t>
            </w:r>
          </w:p>
        </w:tc>
        <w:tc>
          <w:tcPr>
            <w:tcW w:type="dxa" w:w="66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All 40 Likert items are randomly reordered on page load, preventing pattern detection across items and eliminating ordering effects.</w:t>
            </w:r>
          </w:p>
        </w:tc>
      </w:tr>
      <w:tr>
        <w:tc>
          <w:tcPr>
            <w:tcW w:type="dxa" w:w="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4</w:t>
            </w:r>
          </w:p>
        </w:tc>
        <w:tc>
          <w:tcPr>
            <w:tcW w:type="dxa" w:w="2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Ambiguous Scenarios (1 per level, Section C)</w:t>
            </w:r>
          </w:p>
        </w:tc>
        <w:tc>
          <w:tcPr>
            <w:tcW w:type="dxa" w:w="66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One genuinely ambiguous scenario per job level ensures that Section C discriminates between performers, rather than simply rewarding best-practice knowledge.</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5</w:t>
            </w:r>
          </w:p>
        </w:tc>
        <w:tc>
          <w:tcPr>
            <w:tcW w:type="dxa" w:w="2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Competency Codes Hidden (Section B)</w:t>
            </w:r>
          </w:p>
        </w:tc>
        <w:tc>
          <w:tcPr>
            <w:tcW w:type="dxa" w:w="66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EE/ST/LA etc. labels removed from Section B ranking items — respondents see plain competency names only, eliminating framing bias from the framework taxonomy.</w:t>
            </w:r>
          </w:p>
        </w:tc>
      </w:tr>
      <w:tr>
        <w:tc>
          <w:tcPr>
            <w:tcW w:type="dxa" w:w="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6</w:t>
            </w:r>
          </w:p>
        </w:tc>
        <w:tc>
          <w:tcPr>
            <w:tcW w:type="dxa" w:w="2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Word Counter + Minimum (Section D)</w:t>
            </w:r>
          </w:p>
        </w:tc>
        <w:tc>
          <w:tcPr>
            <w:tcW w:type="dxa" w:w="66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Live word counter with 50-word soft minimum on all open-ended questions ensures responses are rich enough for MAXQDA thematic coding.</w:t>
            </w:r>
          </w:p>
        </w:tc>
      </w:tr>
    </w:tbl>
    <w:p>
      <w:pPr>
        <w:spacing w:after="120" w:before="0"/>
      </w:pPr>
    </w:p>
    <w:p>
      <w:pPr>
        <w:pStyle w:val="Heading2"/>
        <w:spacing w:after="100" w:before="240"/>
      </w:pPr>
      <w:r>
        <w:rPr>
          <w:rFonts w:ascii="Arial" w:cs="Arial" w:eastAsia="Arial" w:hAnsi="Arial"/>
          <w:b/>
          <w:bCs/>
          <w:color w:val="1A56DB"/>
          <w:sz w:val="26"/>
          <w:szCs w:val="26"/>
        </w:rPr>
        <w:t xml:space="preserve">4.7  Post-Survey Analysis Plan</w:t>
      </w:r>
    </w:p>
    <w:p>
      <w:pPr>
        <w:spacing w:after="60" w:before="60"/>
        <w:jc w:val="left"/>
      </w:pPr>
      <w:r>
        <w:rPr>
          <w:rFonts w:ascii="Arial" w:cs="Arial" w:eastAsia="Arial" w:hAnsi="Arial"/>
          <w:b w:val="false"/>
          <w:bCs w:val="false"/>
          <w:i w:val="false"/>
          <w:iCs w:val="false"/>
          <w:color w:val="111111"/>
          <w:sz w:val="22"/>
          <w:szCs w:val="22"/>
        </w:rPr>
        <w:t xml:space="preserve">Once survey responses are collected, the following five-step analysis framework will be applied to produce the Differentiator Index and bridge to Phase 2 STAR interviews:</w:t>
      </w:r>
    </w:p>
    <w:p>
      <w:pPr>
        <w:spacing w:after="60" w:before="0"/>
      </w:pP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Data Preparation &amp; Cleaning — Export from Microsoft Forms; merge with OLP composite scores via Employee ID; apply 5-filter cleaning protocol (completeness, straight-liner SD check, rank violation, speed filter, B–C consistency check).</w:t>
      </w: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Statistical Item Analysis (Section A) — Mann-Whitney U test per item split by performance tier; record effect size (r = Z / √N); rank 10 competencies by effect size to produce the Differentiator Index. Threshold: effect size &gt; 0.30 = meaningful differentiator.</w:t>
      </w: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Thematic Coding (Section D) — MAXQDA thematic coding of D1–D5 responses split by performance tier; code for action verbs, situational contexts, attribution style; produce Narrative Frequency Score per competency.</w:t>
      </w: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Triangulation Matrix — For each of 10 competencies, combine evidence from all four sections; competencies with strong signal from ≥3 sources are classified as Confirmed Core Competencies.</w:t>
      </w: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Competency Prioritisation &amp; Output Package — Produce: Differentiator Index, Belief-Profile Matrix, Behavioural Fingerprint (modal scenario patterns), Narrative Corpus, Agency Score per respondent.</w:t>
      </w:r>
    </w:p>
    <w:p>
      <w:pPr>
        <w:spacing w:after="120" w:before="0"/>
      </w:pPr>
    </w:p>
    <w:p>
      <w:pPr>
        <w:pStyle w:val="Heading2"/>
        <w:spacing w:after="100" w:before="240"/>
      </w:pPr>
      <w:r>
        <w:rPr>
          <w:rFonts w:ascii="Arial" w:cs="Arial" w:eastAsia="Arial" w:hAnsi="Arial"/>
          <w:b/>
          <w:bCs/>
          <w:color w:val="1A56DB"/>
          <w:sz w:val="26"/>
          <w:szCs w:val="26"/>
        </w:rPr>
        <w:t xml:space="preserve">4.8  Phase 2 STAR Interview Plan (Step 5 — Jul 1–11)</w:t>
      </w:r>
    </w:p>
    <w:p>
      <w:pPr>
        <w:spacing w:after="60" w:before="60"/>
        <w:jc w:val="left"/>
      </w:pPr>
      <w:r>
        <w:rPr>
          <w:rFonts w:ascii="Arial" w:cs="Arial" w:eastAsia="Arial" w:hAnsi="Arial"/>
          <w:b w:val="false"/>
          <w:bCs w:val="false"/>
          <w:i w:val="false"/>
          <w:iCs w:val="false"/>
          <w:color w:val="111111"/>
          <w:sz w:val="22"/>
          <w:szCs w:val="22"/>
        </w:rPr>
        <w:t xml:space="preserve">Survey data directly informs the STAR interview protocol through a 5-step question generation process: (1) identify high-signal scenarios where top vs average performers diverged most sharply in Section C; (2) extract exact action verbs and situational contexts from Section D top-performer narratives; (3) build the STAR question stem from the scenario signal and language; (4) design probing follow-ups for hidden competencies not captured by the 10-code framework; (5) build behavioural rating rubrics anchored in actual JioCX respondent language.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D1DCE8" w:sz="1"/>
              <w:right w:val="single" w:color="D1DCE8" w:sz="1"/>
            </w:tcBorders>
            <w:shd w:fill="EEF4FA"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Interview Structure (60–70 min per session)</w:t>
            </w:r>
          </w:p>
          <w:p>
            <w:pPr>
              <w:spacing w:after="30" w:before="30"/>
            </w:pPr>
            <w:r>
              <w:rPr>
                <w:rFonts w:ascii="Arial" w:cs="Arial" w:eastAsia="Arial" w:hAnsi="Arial"/>
                <w:b w:val="false"/>
                <w:bCs w:val="false"/>
                <w:i w:val="false"/>
                <w:iCs w:val="false"/>
                <w:color w:val="3E5778"/>
                <w:sz w:val="20"/>
                <w:szCs w:val="20"/>
              </w:rPr>
              <w:t xml:space="preserve">Opening (5 min): Warm-up, current role context — not scored; establishes rapport</w:t>
            </w:r>
          </w:p>
          <w:p>
            <w:pPr>
              <w:spacing w:after="30" w:before="30"/>
            </w:pPr>
            <w:r>
              <w:rPr>
                <w:rFonts w:ascii="Arial" w:cs="Arial" w:eastAsia="Arial" w:hAnsi="Arial"/>
                <w:b w:val="false"/>
                <w:bCs w:val="false"/>
                <w:i w:val="false"/>
                <w:iCs w:val="false"/>
                <w:color w:val="3E5778"/>
                <w:sz w:val="20"/>
                <w:szCs w:val="20"/>
              </w:rPr>
              <w:t xml:space="preserve">Core Competencies: Anchor (25 min): 2 STAR questions per top-signal competency — highest scoring weight</w:t>
            </w:r>
          </w:p>
          <w:p>
            <w:pPr>
              <w:spacing w:after="30" w:before="30"/>
            </w:pPr>
            <w:r>
              <w:rPr>
                <w:rFonts w:ascii="Arial" w:cs="Arial" w:eastAsia="Arial" w:hAnsi="Arial"/>
                <w:b w:val="false"/>
                <w:bCs w:val="false"/>
                <w:i w:val="false"/>
                <w:iCs w:val="false"/>
                <w:color w:val="3E5778"/>
                <w:sz w:val="20"/>
                <w:szCs w:val="20"/>
              </w:rPr>
              <w:t xml:space="preserve">Core Competencies: Strong (15 min): 1 STAR question per remaining confirmed competency</w:t>
            </w:r>
          </w:p>
          <w:p>
            <w:pPr>
              <w:spacing w:after="30" w:before="30"/>
            </w:pPr>
            <w:r>
              <w:rPr>
                <w:rFonts w:ascii="Arial" w:cs="Arial" w:eastAsia="Arial" w:hAnsi="Arial"/>
                <w:b w:val="false"/>
                <w:bCs w:val="false"/>
                <w:i w:val="false"/>
                <w:iCs w:val="false"/>
                <w:color w:val="3E5778"/>
                <w:sz w:val="20"/>
                <w:szCs w:val="20"/>
              </w:rPr>
              <w:t xml:space="preserve">Belief Probe (5 min): Theory of success — gap between top and average answers is typically most memorable finding</w:t>
            </w:r>
          </w:p>
          <w:p>
            <w:pPr>
              <w:spacing w:after="30" w:before="30"/>
            </w:pPr>
            <w:r>
              <w:rPr>
                <w:rFonts w:ascii="Arial" w:cs="Arial" w:eastAsia="Arial" w:hAnsi="Arial"/>
                <w:b w:val="false"/>
                <w:bCs w:val="false"/>
                <w:i w:val="false"/>
                <w:iCs w:val="false"/>
                <w:color w:val="3E5778"/>
                <w:sz w:val="20"/>
                <w:szCs w:val="20"/>
              </w:rPr>
              <w:t xml:space="preserve">Self-Awareness Probe (5 min): 'What is one area you could be significantly better at?' — tests growth mindset and humility</w:t>
            </w:r>
          </w:p>
          <w:p>
            <w:pPr>
              <w:spacing w:after="30" w:before="30"/>
            </w:pPr>
            <w:r>
              <w:rPr>
                <w:rFonts w:ascii="Arial" w:cs="Arial" w:eastAsia="Arial" w:hAnsi="Arial"/>
                <w:b w:val="false"/>
                <w:bCs w:val="false"/>
                <w:i w:val="false"/>
                <w:iCs w:val="false"/>
                <w:color w:val="3E5778"/>
                <w:sz w:val="20"/>
                <w:szCs w:val="20"/>
              </w:rPr>
              <w:t xml:space="preserve">Legacy Question (5 min): 'What does it truly take to excel here?' — reveals authentic implicit success theory</w:t>
            </w:r>
          </w:p>
        </w:tc>
      </w:tr>
    </w:tbl>
    <w:p>
      <w:r>
        <w:br w:type="page"/>
      </w:r>
    </w:p>
    <w:p>
      <w:pPr>
        <w:pStyle w:val="Heading1"/>
        <w:pBdr>
          <w:bottom w:val="single" w:color="1A56DB" w:sz="6" w:space="4"/>
        </w:pBdr>
        <w:spacing w:after="140" w:before="360"/>
      </w:pPr>
      <w:r>
        <w:rPr>
          <w:rFonts w:ascii="Arial" w:cs="Arial" w:eastAsia="Arial" w:hAnsi="Arial"/>
          <w:b/>
          <w:bCs/>
          <w:color w:val="0B2A44"/>
          <w:sz w:val="32"/>
          <w:szCs w:val="32"/>
        </w:rPr>
        <w:t xml:space="preserve">5.  Phase 3 — Build &amp; Deliver (Upcoming)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7A9A" w:sz="4"/>
              <w:left w:val="single" w:color="7A7A9A" w:sz="12"/>
              <w:bottom w:val="single" w:color="D1DCE8" w:sz="1"/>
              <w:right w:val="single" w:color="D1DCE8" w:sz="1"/>
            </w:tcBorders>
            <w:shd w:fill="F5F7FA" w:val="clear"/>
            <w:tcMar>
              <w:top w:type="dxa" w:w="140"/>
              <w:left w:type="dxa" w:w="200"/>
              <w:bottom w:type="dxa" w:w="140"/>
              <w:right w:type="dxa" w:w="200"/>
            </w:tcMar>
          </w:tcPr>
          <w:p>
            <w:pPr>
              <w:spacing w:after="60" w:before="0"/>
            </w:pPr>
            <w:r>
              <w:rPr>
                <w:rFonts w:ascii="Arial" w:cs="Arial" w:eastAsia="Arial" w:hAnsi="Arial"/>
                <w:b/>
                <w:bCs/>
                <w:color w:val="7A7A9A"/>
                <w:sz w:val="22"/>
                <w:szCs w:val="22"/>
              </w:rPr>
              <w:t xml:space="preserve">Phase 3 Preview</w:t>
            </w:r>
          </w:p>
          <w:p>
            <w:pPr>
              <w:spacing w:after="30" w:before="30"/>
            </w:pPr>
            <w:r>
              <w:rPr>
                <w:rFonts w:ascii="Arial" w:cs="Arial" w:eastAsia="Arial" w:hAnsi="Arial"/>
                <w:b w:val="false"/>
                <w:bCs w:val="false"/>
                <w:i w:val="false"/>
                <w:iCs w:val="false"/>
                <w:color w:val="3E5778"/>
                <w:sz w:val="20"/>
                <w:szCs w:val="20"/>
              </w:rPr>
              <w:t xml:space="preserve">Duration: July 19 – August 3, 2026  |  Status: UPCOMING</w:t>
            </w:r>
          </w:p>
          <w:p>
            <w:pPr>
              <w:spacing w:after="30" w:before="30"/>
            </w:pPr>
            <w:r>
              <w:rPr>
                <w:rFonts w:ascii="Arial" w:cs="Arial" w:eastAsia="Arial" w:hAnsi="Arial"/>
                <w:b w:val="false"/>
                <w:bCs w:val="false"/>
                <w:i w:val="false"/>
                <w:iCs w:val="false"/>
                <w:color w:val="3E5778"/>
                <w:sz w:val="20"/>
                <w:szCs w:val="20"/>
              </w:rPr>
              <w:t xml:space="preserve">Inputs: Survey competency scores + OLP composite scores + interview coded data + thematic coding results</w:t>
            </w:r>
          </w:p>
          <w:p>
            <w:pPr>
              <w:spacing w:after="30" w:before="30"/>
            </w:pPr>
            <w:r>
              <w:rPr>
                <w:rFonts w:ascii="Arial" w:cs="Arial" w:eastAsia="Arial" w:hAnsi="Arial"/>
                <w:b w:val="false"/>
                <w:bCs w:val="false"/>
                <w:i w:val="false"/>
                <w:iCs w:val="false"/>
                <w:color w:val="3E5778"/>
                <w:sz w:val="20"/>
                <w:szCs w:val="20"/>
              </w:rPr>
              <w:t xml:space="preserve">Outputs: Performance Predictor Model, Success Profiles, HR Dashboard, Final Report, Final Presentation</w:t>
            </w:r>
          </w:p>
        </w:tc>
      </w:tr>
    </w:tbl>
    <w:p>
      <w:pPr>
        <w:spacing w:after="120" w:before="0"/>
      </w:pPr>
    </w:p>
    <w:p>
      <w:pPr>
        <w:pStyle w:val="Heading2"/>
        <w:spacing w:after="100" w:before="240"/>
      </w:pPr>
      <w:r>
        <w:rPr>
          <w:rFonts w:ascii="Arial" w:cs="Arial" w:eastAsia="Arial" w:hAnsi="Arial"/>
          <w:b/>
          <w:bCs/>
          <w:color w:val="1A56DB"/>
          <w:sz w:val="26"/>
          <w:szCs w:val="26"/>
        </w:rPr>
        <w:t xml:space="preserve">5.1  Performance Predictor Scoring Framework</w:t>
      </w:r>
    </w:p>
    <w:p>
      <w:pPr>
        <w:spacing w:after="60" w:before="60"/>
        <w:jc w:val="left"/>
      </w:pPr>
      <w:r>
        <w:rPr>
          <w:rFonts w:ascii="Arial" w:cs="Arial" w:eastAsia="Arial" w:hAnsi="Arial"/>
          <w:b w:val="false"/>
          <w:bCs w:val="false"/>
          <w:i w:val="false"/>
          <w:iCs w:val="false"/>
          <w:color w:val="111111"/>
          <w:sz w:val="22"/>
          <w:szCs w:val="22"/>
        </w:rPr>
        <w:t xml:space="preserve">Phase 3 will build the central deliverable of the project: a rule-based, explainable performance predictor that links competency scores to OLP composite performance. The approach: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Standardise Phase 2 competency survey scores (Z-scores) to enable cross-competency comparison within and across employees.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Run regression analysis with standardised competency scores as independent variables and OLP composite score as the dependent variable — identifying which competencies are the strongest statistical predictors at Jio Platforms.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Calibrate weights using a 70/30 train-test split; validate against the known top-performer cohort (target: ≥70% correct classification).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Produce a weighted scoring matrix (Excel-based) that generates a predicted performance tier for any employee based on their competency profile.</w:t>
      </w:r>
    </w:p>
    <w:p>
      <w:pPr>
        <w:spacing w:after="120" w:before="0"/>
      </w:pPr>
    </w:p>
    <w:p>
      <w:pPr>
        <w:pStyle w:val="Heading2"/>
        <w:spacing w:after="100" w:before="240"/>
      </w:pPr>
      <w:r>
        <w:rPr>
          <w:rFonts w:ascii="Arial" w:cs="Arial" w:eastAsia="Arial" w:hAnsi="Arial"/>
          <w:b/>
          <w:bCs/>
          <w:color w:val="1A56DB"/>
          <w:sz w:val="26"/>
          <w:szCs w:val="26"/>
        </w:rPr>
        <w:t xml:space="preserve">5.2  Success Profile Templates</w:t>
      </w:r>
    </w:p>
    <w:p>
      <w:pPr>
        <w:spacing w:after="60" w:before="60"/>
        <w:jc w:val="left"/>
      </w:pPr>
      <w:r>
        <w:rPr>
          <w:rFonts w:ascii="Arial" w:cs="Arial" w:eastAsia="Arial" w:hAnsi="Arial"/>
          <w:b w:val="false"/>
          <w:bCs w:val="false"/>
          <w:i w:val="false"/>
          <w:iCs w:val="false"/>
          <w:color w:val="111111"/>
          <w:sz w:val="22"/>
          <w:szCs w:val="22"/>
        </w:rPr>
        <w:t xml:space="preserve">Two Success Profile Templates will be produced (one per key role: HR Manager and HRBP), each containing: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Top 5 differentiating competencies with behavioural anchors at three levels (1 = minimum viable, 3 = solid performer, 5 = top performer language from real JioCX respondents).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Iceberg depth analysis per competency — which aspects are trainable (skills/knowledge) vs require screening at hiring (traits, motives, self-concept).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Level-specific behavioural indicators derived from Lominger mapping and SHL OPQ anchors.</w:t>
      </w:r>
    </w:p>
    <w:p>
      <w:pPr>
        <w:spacing w:after="120" w:before="0"/>
      </w:pPr>
    </w:p>
    <w:p>
      <w:pPr>
        <w:pStyle w:val="Heading2"/>
        <w:spacing w:after="100" w:before="240"/>
      </w:pPr>
      <w:r>
        <w:rPr>
          <w:rFonts w:ascii="Arial" w:cs="Arial" w:eastAsia="Arial" w:hAnsi="Arial"/>
          <w:b/>
          <w:bCs/>
          <w:color w:val="1A56DB"/>
          <w:sz w:val="26"/>
          <w:szCs w:val="26"/>
        </w:rPr>
        <w:t xml:space="preserve">5.3  HR Dashboard &amp; Final Deliverables</w:t>
      </w:r>
    </w:p>
    <w:p>
      <w:pPr>
        <w:spacing w:after="60" w:before="60"/>
        <w:jc w:val="left"/>
      </w:pPr>
      <w:r>
        <w:rPr>
          <w:rFonts w:ascii="Arial" w:cs="Arial" w:eastAsia="Arial" w:hAnsi="Arial"/>
          <w:b w:val="false"/>
          <w:bCs w:val="false"/>
          <w:i w:val="false"/>
          <w:iCs w:val="false"/>
          <w:color w:val="111111"/>
          <w:sz w:val="22"/>
          <w:szCs w:val="22"/>
        </w:rPr>
        <w:t xml:space="preserve">A visual HR dashboard will be designed for use by HR leadership — presenting findings in a format suitable for talent decision-making without requiring technical knowledge of the underlying model. The dashboard will show competency profiles by employee tier, success profile benchmarks, development priority recommendations, and succession planning indicators.</w:t>
      </w:r>
    </w:p>
    <w:p>
      <w:pPr>
        <w:spacing w:after="60" w:before="0"/>
      </w:pPr>
    </w:p>
    <w:p>
      <w:pPr>
        <w:spacing w:after="60" w:before="60"/>
        <w:jc w:val="left"/>
      </w:pPr>
      <w:r>
        <w:rPr>
          <w:rFonts w:ascii="Arial" w:cs="Arial" w:eastAsia="Arial" w:hAnsi="Arial"/>
          <w:b w:val="false"/>
          <w:bCs w:val="false"/>
          <w:i w:val="false"/>
          <w:iCs w:val="false"/>
          <w:color w:val="111111"/>
          <w:sz w:val="22"/>
          <w:szCs w:val="22"/>
        </w:rPr>
        <w:t xml:space="preserve">The Final Project Report (comprehensive write-up) and Final Presentation Deck (15–20 slides for Mr. Bharat Bhushan) will consolidate all findings and are due August 3, 2026.</w:t>
      </w:r>
    </w:p>
    <w:p>
      <w:r>
        <w:br w:type="page"/>
      </w:r>
    </w:p>
    <w:p>
      <w:pPr>
        <w:pStyle w:val="Heading1"/>
        <w:pBdr>
          <w:bottom w:val="single" w:color="1A56DB" w:sz="6" w:space="4"/>
        </w:pBdr>
        <w:spacing w:after="140" w:before="360"/>
      </w:pPr>
      <w:r>
        <w:rPr>
          <w:rFonts w:ascii="Arial" w:cs="Arial" w:eastAsia="Arial" w:hAnsi="Arial"/>
          <w:b/>
          <w:bCs/>
          <w:color w:val="0B2A44"/>
          <w:sz w:val="32"/>
          <w:szCs w:val="32"/>
        </w:rPr>
        <w:t xml:space="preserve">6.  Key Deliverables — Status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500"/>
        <w:gridCol w:w="1560"/>
        <w:gridCol w:w="1200"/>
      </w:tblGrid>
      <w:tr>
        <w:tc>
          <w:tcPr>
            <w:tcW w:type="dxa" w:w="5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6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Deliverable</w:t>
            </w:r>
          </w:p>
        </w:tc>
        <w:tc>
          <w:tcPr>
            <w:tcW w:type="dxa" w:w="35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Description</w:t>
            </w:r>
          </w:p>
        </w:tc>
        <w:tc>
          <w:tcPr>
            <w:tcW w:type="dxa" w:w="15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w:t>
            </w:r>
          </w:p>
        </w:tc>
        <w:tc>
          <w:tcPr>
            <w:tcW w:type="dxa" w:w="12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1</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Stakeholder Interview / Survey Summary</w:t>
            </w:r>
          </w:p>
        </w:tc>
        <w:tc>
          <w:tcPr>
            <w:tcW w:type="dxa" w:w="3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Documents patterns from HR and business input</w:t>
            </w:r>
          </w:p>
        </w:tc>
        <w:tc>
          <w:tcPr>
            <w:tcW w:type="dxa" w:w="1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3E5778"/>
                <w:sz w:val="18"/>
                <w:szCs w:val="18"/>
              </w:rPr>
              <w:t xml:space="preserve">Phase 2 output</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1A56DB"/>
                <w:sz w:val="17"/>
                <w:szCs w:val="17"/>
              </w:rPr>
              <w:t xml:space="preserve">In Progress</w:t>
            </w:r>
          </w:p>
        </w:tc>
      </w:tr>
      <w:tr>
        <w:tc>
          <w:tcPr>
            <w:tcW w:type="dxa" w:w="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2</w:t>
            </w:r>
          </w:p>
        </w:tc>
        <w:tc>
          <w:tcPr>
            <w:tcW w:type="dxa" w:w="2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Competency &amp; Literature Review Document</w:t>
            </w:r>
          </w:p>
        </w:tc>
        <w:tc>
          <w:tcPr>
            <w:tcW w:type="dxa" w:w="3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3–5 frameworks synthesized with recommendations</w:t>
            </w:r>
          </w:p>
        </w:tc>
        <w:tc>
          <w:tcPr>
            <w:tcW w:type="dxa" w:w="1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3E5778"/>
                <w:sz w:val="18"/>
                <w:szCs w:val="18"/>
              </w:rPr>
              <w:t xml:space="preserve">Phase 1 output</w:t>
            </w:r>
          </w:p>
        </w:tc>
        <w:tc>
          <w:tcPr>
            <w:tcW w:type="dxa" w:w="1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1A7A4A"/>
                <w:sz w:val="17"/>
                <w:szCs w:val="17"/>
              </w:rPr>
              <w:t xml:space="preserve">Complete</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3</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Cleaned HR Dataset + EDA Report</w:t>
            </w:r>
          </w:p>
        </w:tc>
        <w:tc>
          <w:tcPr>
            <w:tcW w:type="dxa" w:w="3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Descriptive stats, distributions, and correlation insights</w:t>
            </w:r>
          </w:p>
        </w:tc>
        <w:tc>
          <w:tcPr>
            <w:tcW w:type="dxa" w:w="1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3E5778"/>
                <w:sz w:val="18"/>
                <w:szCs w:val="18"/>
              </w:rPr>
              <w:t xml:space="preserve">Phase 1 + 2</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1A56DB"/>
                <w:sz w:val="17"/>
                <w:szCs w:val="17"/>
              </w:rPr>
              <w:t xml:space="preserve">In Progress</w:t>
            </w:r>
          </w:p>
        </w:tc>
      </w:tr>
      <w:tr>
        <w:tc>
          <w:tcPr>
            <w:tcW w:type="dxa" w:w="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4</w:t>
            </w:r>
          </w:p>
        </w:tc>
        <w:tc>
          <w:tcPr>
            <w:tcW w:type="dxa" w:w="2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Success Profile Templates (2 key roles)</w:t>
            </w:r>
          </w:p>
        </w:tc>
        <w:tc>
          <w:tcPr>
            <w:tcW w:type="dxa" w:w="3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Competency levels and behavioural indicators per role</w:t>
            </w:r>
          </w:p>
        </w:tc>
        <w:tc>
          <w:tcPr>
            <w:tcW w:type="dxa" w:w="1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3E5778"/>
                <w:sz w:val="18"/>
                <w:szCs w:val="18"/>
              </w:rPr>
              <w:t xml:space="preserve">Phase 3</w:t>
            </w:r>
          </w:p>
        </w:tc>
        <w:tc>
          <w:tcPr>
            <w:tcW w:type="dxa" w:w="1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Upcoming</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5</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Performance Predictor Scoring Framework</w:t>
            </w:r>
          </w:p>
        </w:tc>
        <w:tc>
          <w:tcPr>
            <w:tcW w:type="dxa" w:w="3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Usable Excel/scoring matrix with documented methodology</w:t>
            </w:r>
          </w:p>
        </w:tc>
        <w:tc>
          <w:tcPr>
            <w:tcW w:type="dxa" w:w="1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3E5778"/>
                <w:sz w:val="18"/>
                <w:szCs w:val="18"/>
              </w:rPr>
              <w:t xml:space="preserve">Phase 3</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Upcoming</w:t>
            </w:r>
          </w:p>
        </w:tc>
      </w:tr>
      <w:tr>
        <w:tc>
          <w:tcPr>
            <w:tcW w:type="dxa" w:w="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6</w:t>
            </w:r>
          </w:p>
        </w:tc>
        <w:tc>
          <w:tcPr>
            <w:tcW w:type="dxa" w:w="2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Visual Dashboard / Infographic</w:t>
            </w:r>
          </w:p>
        </w:tc>
        <w:tc>
          <w:tcPr>
            <w:tcW w:type="dxa" w:w="3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Summary of findings for HR leadership presentation</w:t>
            </w:r>
          </w:p>
        </w:tc>
        <w:tc>
          <w:tcPr>
            <w:tcW w:type="dxa" w:w="1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3E5778"/>
                <w:sz w:val="18"/>
                <w:szCs w:val="18"/>
              </w:rPr>
              <w:t xml:space="preserve">Phase 3</w:t>
            </w:r>
          </w:p>
        </w:tc>
        <w:tc>
          <w:tcPr>
            <w:tcW w:type="dxa" w:w="1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Upcoming</w:t>
            </w:r>
          </w:p>
        </w:tc>
      </w:tr>
      <w:tr>
        <w:tc>
          <w:tcPr>
            <w:tcW w:type="dxa" w:w="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7</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Final Project Report</w:t>
            </w:r>
          </w:p>
        </w:tc>
        <w:tc>
          <w:tcPr>
            <w:tcW w:type="dxa" w:w="35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Comprehensive write-up of methodology, findings, recommendations</w:t>
            </w:r>
          </w:p>
        </w:tc>
        <w:tc>
          <w:tcPr>
            <w:tcW w:type="dxa" w:w="1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3E5778"/>
                <w:sz w:val="18"/>
                <w:szCs w:val="18"/>
              </w:rPr>
              <w:t xml:space="preserve">Phase 3</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Upcoming</w:t>
            </w:r>
          </w:p>
        </w:tc>
      </w:tr>
      <w:tr>
        <w:tc>
          <w:tcPr>
            <w:tcW w:type="dxa" w:w="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bCs/>
                <w:i w:val="false"/>
                <w:iCs w:val="false"/>
                <w:color w:val="1A56DB"/>
                <w:sz w:val="19"/>
                <w:szCs w:val="19"/>
              </w:rPr>
              <w:t xml:space="preserve">8</w:t>
            </w:r>
          </w:p>
        </w:tc>
        <w:tc>
          <w:tcPr>
            <w:tcW w:type="dxa" w:w="2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Final Presentation Deck</w:t>
            </w:r>
          </w:p>
        </w:tc>
        <w:tc>
          <w:tcPr>
            <w:tcW w:type="dxa" w:w="35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15–20 slides for presentation to HR Head and mentor</w:t>
            </w:r>
          </w:p>
        </w:tc>
        <w:tc>
          <w:tcPr>
            <w:tcW w:type="dxa" w:w="1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3E5778"/>
                <w:sz w:val="18"/>
                <w:szCs w:val="18"/>
              </w:rPr>
              <w:t xml:space="preserve">Phase 3</w:t>
            </w:r>
          </w:p>
        </w:tc>
        <w:tc>
          <w:tcPr>
            <w:tcW w:type="dxa" w:w="1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Upcoming</w:t>
            </w:r>
          </w:p>
        </w:tc>
      </w:tr>
    </w:tbl>
    <w:p>
      <w:pPr>
        <w:spacing w:after="120" w:before="0"/>
      </w:pPr>
    </w:p>
    <w:p>
      <w:pPr>
        <w:pStyle w:val="Heading1"/>
        <w:pBdr>
          <w:bottom w:val="single" w:color="1A56DB" w:sz="6" w:space="4"/>
        </w:pBdr>
        <w:spacing w:after="140" w:before="360"/>
      </w:pPr>
      <w:r>
        <w:rPr>
          <w:rFonts w:ascii="Arial" w:cs="Arial" w:eastAsia="Arial" w:hAnsi="Arial"/>
          <w:b/>
          <w:bCs/>
          <w:color w:val="0B2A44"/>
          <w:sz w:val="32"/>
          <w:szCs w:val="32"/>
        </w:rPr>
        <w:t xml:space="preserve">7.  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1560"/>
      </w:tblGrid>
      <w:tr>
        <w:tc>
          <w:tcPr>
            <w:tcW w:type="dxa" w:w="20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KPI</w:t>
            </w:r>
          </w:p>
        </w:tc>
        <w:tc>
          <w:tcPr>
            <w:tcW w:type="dxa" w:w="26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Target</w:t>
            </w:r>
          </w:p>
        </w:tc>
        <w:tc>
          <w:tcPr>
            <w:tcW w:type="dxa" w:w="32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Current Status</w:t>
            </w:r>
          </w:p>
        </w:tc>
        <w:tc>
          <w:tcPr>
            <w:tcW w:type="dxa" w:w="15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Tracking</w:t>
            </w:r>
          </w:p>
        </w:tc>
      </w:tr>
      <w:tr>
        <w:tc>
          <w:tcPr>
            <w:tcW w:type="dxa" w:w="2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Data Coverage</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 80% of target employee segments in dataset</w:t>
            </w:r>
          </w:p>
        </w:tc>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Phase 1 complete — 920 OLP employees, 153 JioCX subset</w:t>
            </w:r>
          </w:p>
        </w:tc>
        <w:tc>
          <w:tcPr>
            <w:tcW w:type="dxa" w:w="1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1A7A4A"/>
                <w:sz w:val="17"/>
                <w:szCs w:val="17"/>
              </w:rPr>
              <w:t xml:space="preserve">On Track</w:t>
            </w:r>
          </w:p>
        </w:tc>
      </w:tr>
      <w:tr>
        <w:tc>
          <w:tcPr>
            <w:tcW w:type="dxa" w:w="20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Survey Response Rate</w:t>
            </w:r>
          </w:p>
        </w:tc>
        <w:tc>
          <w:tcPr>
            <w:tcW w:type="dxa" w:w="2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 60% response rate from survey distribution</w:t>
            </w:r>
          </w:p>
        </w:tc>
        <w:tc>
          <w:tcPr>
            <w:tcW w:type="dxa" w:w="3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Survey deploying — targeting 150+ of 176 JioCX employees</w:t>
            </w:r>
          </w:p>
        </w:tc>
        <w:tc>
          <w:tcPr>
            <w:tcW w:type="dxa" w:w="1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1A56DB"/>
                <w:sz w:val="17"/>
                <w:szCs w:val="17"/>
              </w:rPr>
              <w:t xml:space="preserve">In Progress</w:t>
            </w:r>
          </w:p>
        </w:tc>
      </w:tr>
      <w:tr>
        <w:tc>
          <w:tcPr>
            <w:tcW w:type="dxa" w:w="2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Model Accuracy</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Predictor validated against ≥ 1 historical cohort</w:t>
            </w:r>
          </w:p>
        </w:tc>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Phase 3 (Jul 19–31) — not yet started</w:t>
            </w:r>
          </w:p>
        </w:tc>
        <w:tc>
          <w:tcPr>
            <w:tcW w:type="dxa" w:w="1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Upcoming</w:t>
            </w:r>
          </w:p>
        </w:tc>
      </w:tr>
      <w:tr>
        <w:tc>
          <w:tcPr>
            <w:tcW w:type="dxa" w:w="20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Stakeholder Satisfaction</w:t>
            </w:r>
          </w:p>
        </w:tc>
        <w:tc>
          <w:tcPr>
            <w:tcW w:type="dxa" w:w="26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 4/5 rating from HR Head on final presentation</w:t>
            </w:r>
          </w:p>
        </w:tc>
        <w:tc>
          <w:tcPr>
            <w:tcW w:type="dxa" w:w="3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Phase 2 presentation delivered June 25</w:t>
            </w:r>
          </w:p>
        </w:tc>
        <w:tc>
          <w:tcPr>
            <w:tcW w:type="dxa" w:w="1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3E5778"/>
                <w:sz w:val="17"/>
                <w:szCs w:val="17"/>
              </w:rPr>
              <w:t xml:space="preserve">Pending</w:t>
            </w:r>
          </w:p>
        </w:tc>
      </w:tr>
      <w:tr>
        <w:tc>
          <w:tcPr>
            <w:tcW w:type="dxa" w:w="2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Deliverable Timeliness</w:t>
            </w:r>
          </w:p>
        </w:tc>
        <w:tc>
          <w:tcPr>
            <w:tcW w:type="dxa" w:w="2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All deliverables submitted on or before due dates</w:t>
            </w:r>
          </w:p>
        </w:tc>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8 deliverables on track for August 3</w:t>
            </w:r>
          </w:p>
        </w:tc>
        <w:tc>
          <w:tcPr>
            <w:tcW w:type="dxa" w:w="1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1A7A4A"/>
                <w:sz w:val="17"/>
                <w:szCs w:val="17"/>
              </w:rPr>
              <w:t xml:space="preserve">On Track</w:t>
            </w:r>
          </w:p>
        </w:tc>
      </w:tr>
    </w:tbl>
    <w:p>
      <w:r>
        <w:br w:type="page"/>
      </w:r>
    </w:p>
    <w:p>
      <w:pPr>
        <w:pStyle w:val="Heading1"/>
        <w:pBdr>
          <w:bottom w:val="single" w:color="1A56DB" w:sz="6" w:space="4"/>
        </w:pBdr>
        <w:spacing w:after="140" w:before="360"/>
      </w:pPr>
      <w:r>
        <w:rPr>
          <w:rFonts w:ascii="Arial" w:cs="Arial" w:eastAsia="Arial" w:hAnsi="Arial"/>
          <w:b/>
          <w:bCs/>
          <w:color w:val="0B2A44"/>
          <w:sz w:val="32"/>
          <w:szCs w:val="32"/>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4860"/>
        <w:gridCol w:w="1200"/>
      </w:tblGrid>
      <w:tr>
        <w:tc>
          <w:tcPr>
            <w:tcW w:type="dxa" w:w="24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Risk</w:t>
            </w:r>
          </w:p>
        </w:tc>
        <w:tc>
          <w:tcPr>
            <w:tcW w:type="dxa" w:w="9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Likelihood</w:t>
            </w:r>
          </w:p>
        </w:tc>
        <w:tc>
          <w:tcPr>
            <w:tcW w:type="dxa" w:w="48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Mitigation Strategy</w:t>
            </w:r>
          </w:p>
        </w:tc>
        <w:tc>
          <w:tcPr>
            <w:tcW w:type="dxa" w:w="12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Owner</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Low Survey Participation</w:t>
            </w:r>
          </w:p>
        </w:tc>
        <w:tc>
          <w:tcPr>
            <w:tcW w:type="dxa" w:w="9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A32D2D"/>
                <w:sz w:val="17"/>
                <w:szCs w:val="17"/>
              </w:rPr>
              <w:t xml:space="preserve">High</w:t>
            </w:r>
          </w:p>
        </w:tc>
        <w:tc>
          <w:tcPr>
            <w:tcW w:type="dxa" w:w="48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Manager advocacy letters + full anonymity guarantee + link to individual development benefit</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Mentor</w:t>
            </w:r>
          </w:p>
        </w:tc>
      </w:tr>
      <w:tr>
        <w:tc>
          <w:tcPr>
            <w:tcW w:type="dxa" w:w="2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Data Privacy / HRMS Access Restrictions</w:t>
            </w:r>
          </w:p>
        </w:tc>
        <w:tc>
          <w:tcPr>
            <w:tcW w:type="dxa" w:w="9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Medium</w:t>
            </w:r>
          </w:p>
        </w:tc>
        <w:tc>
          <w:tcPr>
            <w:tcW w:type="dxa" w:w="48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Work with anonymised/aggregated data only; IT clearance obtained early</w:t>
            </w:r>
          </w:p>
        </w:tc>
        <w:tc>
          <w:tcPr>
            <w:tcW w:type="dxa" w:w="1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HR Head</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Self-Report Bias in Survey</w:t>
            </w:r>
          </w:p>
        </w:tc>
        <w:tc>
          <w:tcPr>
            <w:tcW w:type="dxa" w:w="9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Medium</w:t>
            </w:r>
          </w:p>
        </w:tc>
        <w:tc>
          <w:tcPr>
            <w:tcW w:type="dxa" w:w="48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12 reverse-scored items + 2 attention checks + scenario section (no obvious right answer) + forced ranking</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Intern</w:t>
            </w:r>
          </w:p>
        </w:tc>
      </w:tr>
      <w:tr>
        <w:tc>
          <w:tcPr>
            <w:tcW w:type="dxa" w:w="2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Scope Creep Beyond 2-Month Window</w:t>
            </w:r>
          </w:p>
        </w:tc>
        <w:tc>
          <w:tcPr>
            <w:tcW w:type="dxa" w:w="9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Medium</w:t>
            </w:r>
          </w:p>
        </w:tc>
        <w:tc>
          <w:tcPr>
            <w:tcW w:type="dxa" w:w="48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Strict WBS adherence; weekly scope review with mentor; modular delivery approach</w:t>
            </w:r>
          </w:p>
        </w:tc>
        <w:tc>
          <w:tcPr>
            <w:tcW w:type="dxa" w:w="1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Mentor</w:t>
            </w:r>
          </w:p>
        </w:tc>
      </w:tr>
      <w:tr>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Stakeholder Availability for Interviews</w:t>
            </w:r>
          </w:p>
        </w:tc>
        <w:tc>
          <w:tcPr>
            <w:tcW w:type="dxa" w:w="9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jc w:val="center"/>
            </w:pPr>
            <w:r>
              <w:rPr>
                <w:rFonts w:ascii="Arial" w:cs="Arial" w:eastAsia="Arial" w:hAnsi="Arial"/>
                <w:b/>
                <w:bCs/>
                <w:color w:val="1A7A4A"/>
                <w:sz w:val="17"/>
                <w:szCs w:val="17"/>
              </w:rPr>
              <w:t xml:space="preserve">Low</w:t>
            </w:r>
          </w:p>
        </w:tc>
        <w:tc>
          <w:tcPr>
            <w:tcW w:type="dxa" w:w="48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18-person shortlist pre-built; async questionnaire as backup; interviews Jul 1–11</w:t>
            </w:r>
          </w:p>
        </w:tc>
        <w:tc>
          <w:tcPr>
            <w:tcW w:type="dxa" w:w="1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Intern</w:t>
            </w:r>
          </w:p>
        </w:tc>
      </w:tr>
      <w:tr>
        <w:tc>
          <w:tcPr>
            <w:tcW w:type="dxa" w:w="24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Uneven Response Distribution Across Levels</w:t>
            </w:r>
          </w:p>
        </w:tc>
        <w:tc>
          <w:tcPr>
            <w:tcW w:type="dxa" w:w="9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tcPr>
          <w:p>
            <w:pPr>
              <w:jc w:val="center"/>
            </w:pPr>
            <w:r>
              <w:rPr>
                <w:rFonts w:ascii="Arial" w:cs="Arial" w:eastAsia="Arial" w:hAnsi="Arial"/>
                <w:b/>
                <w:bCs/>
                <w:color w:val="B08020"/>
                <w:sz w:val="17"/>
                <w:szCs w:val="17"/>
              </w:rPr>
              <w:t xml:space="preserve">Medium</w:t>
            </w:r>
          </w:p>
        </w:tc>
        <w:tc>
          <w:tcPr>
            <w:tcW w:type="dxa" w:w="48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Segmentation tracking during deployment; targeted reminders by level</w:t>
            </w:r>
          </w:p>
        </w:tc>
        <w:tc>
          <w:tcPr>
            <w:tcW w:type="dxa" w:w="12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Intern</w:t>
            </w:r>
          </w:p>
        </w:tc>
      </w:tr>
    </w:tbl>
    <w:p>
      <w:pPr>
        <w:spacing w:after="120" w:before="0"/>
      </w:pPr>
    </w:p>
    <w:p>
      <w:pPr>
        <w:pStyle w:val="Heading1"/>
        <w:pBdr>
          <w:bottom w:val="single" w:color="1A56DB" w:sz="6" w:space="4"/>
        </w:pBdr>
        <w:spacing w:after="140" w:before="360"/>
      </w:pPr>
      <w:r>
        <w:rPr>
          <w:rFonts w:ascii="Arial" w:cs="Arial" w:eastAsia="Arial" w:hAnsi="Arial"/>
          <w:b/>
          <w:bCs/>
          <w:color w:val="0B2A44"/>
          <w:sz w:val="32"/>
          <w:szCs w:val="32"/>
        </w:rPr>
        <w:t xml:space="preserve">9.  Data Assets &amp; Tools</w:t>
      </w:r>
    </w:p>
    <w:p>
      <w:pPr>
        <w:pStyle w:val="Heading2"/>
        <w:spacing w:after="100" w:before="240"/>
      </w:pPr>
      <w:r>
        <w:rPr>
          <w:rFonts w:ascii="Arial" w:cs="Arial" w:eastAsia="Arial" w:hAnsi="Arial"/>
          <w:b/>
          <w:bCs/>
          <w:color w:val="1A56DB"/>
          <w:sz w:val="26"/>
          <w:szCs w:val="26"/>
        </w:rPr>
        <w:t xml:space="preserve">9.1  Data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Asset</w:t>
            </w:r>
          </w:p>
        </w:tc>
        <w:tc>
          <w:tcPr>
            <w:tcW w:type="dxa" w:w="18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Records</w:t>
            </w:r>
          </w:p>
        </w:tc>
        <w:tc>
          <w:tcPr>
            <w:tcW w:type="dxa" w:w="47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Usage in Project</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OLP_Data.xlsx (File D)</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920 employees × 27 cols, 5 rating years</w:t>
            </w:r>
          </w:p>
        </w:tc>
        <w:tc>
          <w:tcPr>
            <w:tcW w:type="dxa" w:w="47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Primary source for composite scoring model, top performer identification, and OLP merge key for survey data</w:t>
            </w:r>
          </w:p>
        </w:tc>
      </w:tr>
      <w:tr>
        <w:tc>
          <w:tcPr>
            <w:tcW w:type="dxa" w:w="2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Stay_and_Exit_Data.xlsx (File D)</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49 stay + 38 exit interviews</w:t>
            </w:r>
          </w:p>
        </w:tc>
        <w:tc>
          <w:tcPr>
            <w:tcW w:type="dxa" w:w="47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Workforce behaviour, attrition signals, 12 cross-dataset inferences (INF-01 to INF-12)</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OLP_Scored_Output.xlsx (File E)</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920 rows × 57 cols</w:t>
            </w:r>
          </w:p>
        </w:tc>
        <w:tc>
          <w:tcPr>
            <w:tcW w:type="dxa" w:w="47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Final scored dataset with composite scores, tiers, trajectory labels, top performer flags — Phase 2 merge target</w:t>
            </w:r>
          </w:p>
        </w:tc>
      </w:tr>
      <w:tr>
        <w:tc>
          <w:tcPr>
            <w:tcW w:type="dxa" w:w="2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Employee_Rating_Analysis.xlsx (File G)</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920 rows, 3 sheets</w:t>
            </w:r>
          </w:p>
        </w:tc>
        <w:tc>
          <w:tcPr>
            <w:tcW w:type="dxa" w:w="47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Live Excel scoring model with formula guide and assumptions tab — stakeholder-ready validation tool</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M2M.xlsx &amp; CSV (File G)</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153 JioCX employees</w:t>
            </w:r>
          </w:p>
        </w:tc>
        <w:tc>
          <w:tcPr>
            <w:tcW w:type="dxa" w:w="47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Manager hierarchy for HRBP analysis, manager effectiveness index, interview scheduling</w:t>
            </w:r>
          </w:p>
        </w:tc>
      </w:tr>
      <w:tr>
        <w:tc>
          <w:tcPr>
            <w:tcW w:type="dxa" w:w="2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Survey Responses (Upcoming)</w:t>
            </w:r>
          </w:p>
        </w:tc>
        <w:tc>
          <w:tcPr>
            <w:tcW w:type="dxa" w:w="1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center"/>
            </w:pPr>
            <w:r>
              <w:rPr>
                <w:rFonts w:ascii="Arial" w:cs="Arial" w:eastAsia="Arial" w:hAnsi="Arial"/>
                <w:b w:val="false"/>
                <w:bCs w:val="false"/>
                <w:i w:val="false"/>
                <w:iCs w:val="false"/>
                <w:color w:val="0B2A44"/>
                <w:sz w:val="18"/>
                <w:szCs w:val="18"/>
              </w:rPr>
              <w:t xml:space="preserve">Target: 150+ employees</w:t>
            </w:r>
          </w:p>
        </w:tc>
        <w:tc>
          <w:tcPr>
            <w:tcW w:type="dxa" w:w="47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Primary Phase 2 data — will be merged with OLP composite scores for Differentiator Index</w:t>
            </w:r>
          </w:p>
        </w:tc>
      </w:tr>
    </w:tbl>
    <w:p>
      <w:pPr>
        <w:spacing w:after="120" w:before="0"/>
      </w:pPr>
    </w:p>
    <w:p>
      <w:pPr>
        <w:pStyle w:val="Heading2"/>
        <w:spacing w:after="100" w:before="240"/>
      </w:pPr>
      <w:r>
        <w:rPr>
          <w:rFonts w:ascii="Arial" w:cs="Arial" w:eastAsia="Arial" w:hAnsi="Arial"/>
          <w:b/>
          <w:bCs/>
          <w:color w:val="1A56DB"/>
          <w:sz w:val="26"/>
          <w:szCs w:val="26"/>
        </w:rPr>
        <w:t xml:space="preserve">9.2  Tools &amp; Instruments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Tool</w:t>
            </w:r>
          </w:p>
        </w:tc>
        <w:tc>
          <w:tcPr>
            <w:tcW w:type="dxa" w:w="6560"/>
            <w:tcBorders>
              <w:top w:val="single" w:color="D1DCE8" w:sz="1"/>
              <w:left w:val="single" w:color="D1DCE8" w:sz="1"/>
              <w:bottom w:val="single" w:color="D1DCE8" w:sz="1"/>
              <w:right w:val="single" w:color="D1DCE8" w:sz="1"/>
            </w:tcBorders>
            <w:shd w:fill="0B2A4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Description</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Matrice Explainer (File G)</w:t>
            </w:r>
          </w:p>
        </w:tc>
        <w:tc>
          <w:tcPr>
            <w:tcW w:type="dxa" w:w="6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Interactive HTML explainer of the OLP composite scoring model — 6-step tour (Inputs→Mapping→Aggregates→Normalize→Composite→Tiers), what-if simulator, dependency graph, glossary</w:t>
            </w:r>
          </w:p>
        </w:tc>
      </w:tr>
      <w:tr>
        <w:tc>
          <w:tcPr>
            <w:tcW w:type="dxa" w:w="2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Performer Dashboard (File G)</w:t>
            </w:r>
          </w:p>
        </w:tc>
        <w:tc>
          <w:tcPr>
            <w:tcW w:type="dxa" w:w="6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Full HR analytics dashboard — employee search, filters, score distribution charts, manager effectiveness index, top-30 table, M2M trio analysis</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Competency Survey — HTML Prototype (File K)</w:t>
            </w:r>
          </w:p>
        </w:tc>
        <w:tc>
          <w:tcPr>
            <w:tcW w:type="dxa" w:w="6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Second demo survey with all 6 methodological safeguards — 3 levels, 40 Likert items, forced ranking, scenarios, open-ended, localStorage + export</w:t>
            </w:r>
          </w:p>
        </w:tc>
      </w:tr>
      <w:tr>
        <w:tc>
          <w:tcPr>
            <w:tcW w:type="dxa" w:w="280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Survey Methodology Report (File K)</w:t>
            </w:r>
          </w:p>
        </w:tc>
        <w:tc>
          <w:tcPr>
            <w:tcW w:type="dxa" w:w="6560"/>
            <w:tcBorders>
              <w:top w:val="single" w:color="D1DCE8" w:sz="1"/>
              <w:left w:val="single" w:color="D1DCE8" w:sz="1"/>
              <w:bottom w:val="single" w:color="D1DCE8" w:sz="1"/>
              <w:right w:val="single" w:color="D1DCE8"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v4.0 comprehensive Word document — complete design specification, theoretical grounding, bias analysis, analysis plan, 3 appendices</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B2A44"/>
                <w:sz w:val="19"/>
                <w:szCs w:val="19"/>
              </w:rPr>
              <w:t xml:space="preserve">Phase 2 Presentation (File L)</w:t>
            </w:r>
          </w:p>
        </w:tc>
        <w:tc>
          <w:tcPr>
            <w:tcW w:type="dxa" w:w="656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B2A44"/>
                <w:sz w:val="18"/>
                <w:szCs w:val="18"/>
              </w:rPr>
              <w:t xml:space="preserve">14-slide status update deck presented June 25, 2026 — covers Steps 1-2 complete, methodology, next phases, KPIs, roadblocks</w:t>
            </w:r>
          </w:p>
        </w:tc>
      </w:tr>
    </w:tbl>
    <w:p>
      <w:r>
        <w:br w:type="page"/>
      </w:r>
    </w:p>
    <w:p>
      <w:pPr>
        <w:pStyle w:val="Heading1"/>
        <w:pBdr>
          <w:bottom w:val="single" w:color="1A56DB" w:sz="6" w:space="4"/>
        </w:pBdr>
        <w:spacing w:after="140" w:before="360"/>
      </w:pPr>
      <w:r>
        <w:rPr>
          <w:rFonts w:ascii="Arial" w:cs="Arial" w:eastAsia="Arial" w:hAnsi="Arial"/>
          <w:b/>
          <w:bCs/>
          <w:color w:val="0B2A44"/>
          <w:sz w:val="32"/>
          <w:szCs w:val="32"/>
        </w:rPr>
        <w:t xml:space="preserve">10.  Immediate Next Steps</w:t>
      </w:r>
    </w:p>
    <w:p>
      <w:pPr>
        <w:spacing w:after="60" w:before="60"/>
        <w:jc w:val="left"/>
      </w:pPr>
      <w:r>
        <w:rPr>
          <w:rFonts w:ascii="Arial" w:cs="Arial" w:eastAsia="Arial" w:hAnsi="Arial"/>
          <w:b w:val="false"/>
          <w:bCs w:val="false"/>
          <w:i w:val="false"/>
          <w:iCs w:val="false"/>
          <w:color w:val="111111"/>
          <w:sz w:val="22"/>
          <w:szCs w:val="22"/>
        </w:rPr>
        <w:t xml:space="preserve">As of June 25, 2026, the following five actions are the critical path to Phase 2 completion:</w:t>
      </w:r>
    </w:p>
    <w:p>
      <w:pPr>
        <w:spacing w:after="80" w:before="0"/>
      </w:pP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Deploy survey via Microsoft Forms with conditional branching for level adaptation — target launch by June 27, 2026.</w:t>
      </w: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Distribute to 176 JioCX employees with manager advocacy letters and anonymity guarantee — target 150+ responses within a 2-day collection window.</w:t>
      </w: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Monitor response rates in real time; send targeted reminders if response rate falls below 40% at the 24-hour mark; segment by job level.</w:t>
      </w: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Export, clean, and merge data with OLP composite scores (Employee ID join) — apply all 5 cleaning filters; produce clean dataset for analysis by July 5.</w:t>
      </w:r>
    </w:p>
    <w:p>
      <w:pPr>
        <w:pStyle w:val="ListParagraph"/>
        <w:numPr>
          <w:ilvl w:val="0"/>
          <w:numId w:val="3"/>
        </w:numPr>
        <w:spacing w:after="40" w:before="40"/>
      </w:pPr>
      <w:r>
        <w:rPr>
          <w:rFonts w:ascii="Arial" w:cs="Arial" w:eastAsia="Arial" w:hAnsi="Arial"/>
          <w:b w:val="false"/>
          <w:bCs w:val="false"/>
          <w:i w:val="false"/>
          <w:iCs w:val="false"/>
          <w:color w:val="111111"/>
          <w:sz w:val="22"/>
          <w:szCs w:val="22"/>
        </w:rPr>
        <w:t xml:space="preserve">Begin STAR interview scheduling for 15-person shortlist (13 top performers + 5 contrast cases) — interviews to be conducted July 1–11 with Ms. Arya Khamparia.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D1DCE8" w:sz="1"/>
              <w:right w:val="single" w:color="D1DCE8" w:sz="1"/>
            </w:tcBorders>
            <w:shd w:fill="EEF4FA"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Phase 2 → Phase 3 Bridge</w:t>
            </w:r>
          </w:p>
          <w:p>
            <w:pPr>
              <w:spacing w:after="30" w:before="30"/>
            </w:pPr>
            <w:r>
              <w:rPr>
                <w:rFonts w:ascii="Arial" w:cs="Arial" w:eastAsia="Arial" w:hAnsi="Arial"/>
                <w:b w:val="false"/>
                <w:bCs w:val="false"/>
                <w:i w:val="false"/>
                <w:iCs w:val="false"/>
                <w:color w:val="3E5778"/>
                <w:sz w:val="20"/>
                <w:szCs w:val="20"/>
              </w:rPr>
              <w:t xml:space="preserve">The critical output of Phase 2 is the Differentiator Index — a ranked list of the 10 competencies by their statistical association with OLP top-performer status.</w:t>
            </w:r>
          </w:p>
          <w:p>
            <w:pPr>
              <w:spacing w:after="30" w:before="30"/>
            </w:pPr>
            <w:r>
              <w:rPr>
                <w:rFonts w:ascii="Arial" w:cs="Arial" w:eastAsia="Arial" w:hAnsi="Arial"/>
                <w:b w:val="false"/>
                <w:bCs w:val="false"/>
                <w:i w:val="false"/>
                <w:iCs w:val="false"/>
                <w:color w:val="3E5778"/>
                <w:sz w:val="20"/>
                <w:szCs w:val="20"/>
              </w:rPr>
              <w:t xml:space="preserve">This index directly determines the weights in the Phase 3 Performance Predictor scoring formula.</w:t>
            </w:r>
          </w:p>
          <w:p>
            <w:pPr>
              <w:spacing w:after="30" w:before="30"/>
            </w:pPr>
            <w:r>
              <w:rPr>
                <w:rFonts w:ascii="Arial" w:cs="Arial" w:eastAsia="Arial" w:hAnsi="Arial"/>
                <w:b w:val="false"/>
                <w:bCs w:val="false"/>
                <w:i w:val="false"/>
                <w:iCs w:val="false"/>
                <w:color w:val="3E5778"/>
                <w:sz w:val="20"/>
                <w:szCs w:val="20"/>
              </w:rPr>
              <w:t xml:space="preserve">It also determines which competencies become the focus of the STAR interview protocol and the targeted Phase 3 quantitative survey.</w:t>
            </w:r>
          </w:p>
          <w:p>
            <w:pPr>
              <w:spacing w:after="30" w:before="30"/>
            </w:pPr>
            <w:r>
              <w:rPr>
                <w:rFonts w:ascii="Arial" w:cs="Arial" w:eastAsia="Arial" w:hAnsi="Arial"/>
                <w:b w:val="false"/>
                <w:bCs w:val="false"/>
                <w:i w:val="false"/>
                <w:iCs w:val="false"/>
                <w:color w:val="3E5778"/>
                <w:sz w:val="20"/>
                <w:szCs w:val="20"/>
              </w:rPr>
              <w:t xml:space="preserve">Everything from this point forward flows from the quality and coverage of Phase 2 data collection — which makes survey deployment the single highest-priority action item.</w:t>
            </w:r>
          </w:p>
        </w:tc>
      </w:tr>
    </w:tbl>
    <w:p>
      <w:pPr>
        <w:spacing w:after="200" w:before="0"/>
      </w:pPr>
    </w:p>
    <w:p>
      <w:pPr>
        <w:pBdr>
          <w:top w:val="single" w:color="D1DCE8" w:sz="4" w:space="4"/>
        </w:pBdr>
        <w:spacing w:after="0" w:before="200"/>
        <w:jc w:val="center"/>
      </w:pPr>
      <w:r>
        <w:rPr>
          <w:rFonts w:ascii="Arial" w:cs="Arial" w:eastAsia="Arial" w:hAnsi="Arial"/>
          <w:b w:val="false"/>
          <w:bCs w:val="false"/>
          <w:i w:val="false"/>
          <w:iCs w:val="false"/>
          <w:color w:val="3E5778"/>
          <w:sz w:val="16"/>
          <w:szCs w:val="16"/>
        </w:rPr>
        <w:t xml:space="preserve">End of Report  |  v1.0  |  June 25, 2026  |  Internal / Confidential  |  Jio Platforms Ltd</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E8" w:sz="4" w:space="4"/>
      </w:pBdr>
      <w:tabs>
        <w:tab w:val="right" w:pos="9360"/>
      </w:tabs>
      <w:spacing w:after="0" w:before="120"/>
    </w:pPr>
    <w:r>
      <w:rPr>
        <w:rFonts w:ascii="Arial" w:cs="Arial" w:eastAsia="Arial" w:hAnsi="Arial"/>
        <w:b w:val="false"/>
        <w:bCs w:val="false"/>
        <w:i w:val="false"/>
        <w:iCs w:val="false"/>
        <w:color w:val="3E5778"/>
        <w:sz w:val="16"/>
        <w:szCs w:val="16"/>
      </w:rPr>
      <w:t xml:space="preserve">Vivek Kumar Kohli | m2025anl036 | HR Analytics Internship 2026</w:t>
    </w:r>
    <w:r>
      <w:rPr>
        <w:rFonts w:ascii="Arial" w:cs="Arial" w:eastAsia="Arial" w:hAnsi="Arial"/>
        <w:sz w:val="16"/>
        <w:szCs w:val="16"/>
      </w:rPr>
      <w:t xml:space="preserve">	</w:t>
    </w:r>
    <w:r>
      <w:rPr>
        <w:rFonts w:ascii="Arial" w:cs="Arial" w:eastAsia="Arial" w:hAnsi="Arial"/>
        <w:color w:val="3E577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CE8" w:sz="4" w:space="4"/>
      </w:pBdr>
      <w:tabs>
        <w:tab w:val="right" w:pos="9360"/>
      </w:tabs>
      <w:spacing w:after="120" w:before="0"/>
    </w:pPr>
    <w:r>
      <w:rPr>
        <w:rFonts w:ascii="Arial" w:cs="Arial" w:eastAsia="Arial" w:hAnsi="Arial"/>
        <w:b w:val="false"/>
        <w:bCs w:val="false"/>
        <w:i w:val="false"/>
        <w:iCs w:val="false"/>
        <w:color w:val="3E5778"/>
        <w:sz w:val="16"/>
        <w:szCs w:val="16"/>
      </w:rPr>
      <w:t xml:space="preserve">Performance Predictor &amp; Success Profile Analysis — Project Report</w:t>
    </w:r>
    <w:r>
      <w:rPr>
        <w:rFonts w:ascii="Arial" w:cs="Arial" w:eastAsia="Arial" w:hAnsi="Arial"/>
        <w:sz w:val="16"/>
        <w:szCs w:val="16"/>
      </w:rPr>
      <w:t xml:space="preserve">	</w:t>
    </w:r>
    <w:r>
      <w:rPr>
        <w:rFonts w:ascii="Arial" w:cs="Arial" w:eastAsia="Arial" w:hAnsi="Arial"/>
        <w:b w:val="false"/>
        <w:bCs w:val="false"/>
        <w:i w:val="false"/>
        <w:iCs w:val="false"/>
        <w:color w:val="3E5778"/>
        <w:sz w:val="16"/>
        <w:szCs w:val="16"/>
      </w:rPr>
      <w:t xml:space="preserve">Jio Platforms Ltd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6DB" w:sz="6" w:space="4"/>
      </w:pBdr>
      <w:spacing w:after="140" w:before="360"/>
      <w:outlineLvl w:val="0"/>
    </w:pPr>
    <w:rPr>
      <w:rFonts w:ascii="Arial" w:cs="Arial" w:eastAsia="Arial" w:hAnsi="Arial"/>
      <w:b/>
      <w:bCs/>
      <w:color w:val="0B2A4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2026-06-24T10:10:06.948Z</dcterms:created>
  <dcterms:modified xsi:type="dcterms:W3CDTF">2026-06-24T10:10:06.959Z</dcterms:modified>
</cp:coreProperties>
</file>

<file path=docProps/custom.xml><?xml version="1.0" encoding="utf-8"?>
<Properties xmlns="http://schemas.openxmlformats.org/officeDocument/2006/custom-properties" xmlns:vt="http://schemas.openxmlformats.org/officeDocument/2006/docPropsVTypes"/>
</file>