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Отчет по практической работе №2</w:t>
      </w:r>
    </w:p>
    <w:p w:rsidR="00000000" w:rsidDel="00000000" w:rsidP="00000000" w:rsidRDefault="00000000" w:rsidRPr="00000000" w14:paraId="00000002">
      <w:pPr>
        <w:spacing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sz w:val="26"/>
          <w:szCs w:val="26"/>
          <w:rtl w:val="0"/>
        </w:rPr>
        <w:t xml:space="preserve">На странице всего 4 вопроса, согласно требованиям, их должно быть 5.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sz w:val="26"/>
          <w:szCs w:val="26"/>
          <w:rtl w:val="0"/>
        </w:rPr>
        <w:t xml:space="preserve"> В третьем вопросе: поле ответа пустое, согласно требованиям, ответ не должен быть пустым.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sz w:val="26"/>
          <w:szCs w:val="26"/>
          <w:rtl w:val="0"/>
        </w:rPr>
        <w:t xml:space="preserve"> В четвертом вопросе отсутствует слово «Ответ», согласно требованиям, каждый ответ должен начинаться со слова «Ответ».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sz w:val="26"/>
          <w:szCs w:val="26"/>
          <w:rtl w:val="0"/>
        </w:rPr>
        <w:t xml:space="preserve"> Не открывается сразу два вопроса, согласно требования, одновременно может быть раскрыто несколько вопросов.</w:t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