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60"/>
      </w:pPr>
    </w:p>
    <w:p>
      <w:pPr>
        <w:spacing w:after="320"/>
        <w:jc w:val="center"/>
      </w:pPr>
      <w:r>
        <w:rPr>
          <w:rFonts w:ascii="Calibri" w:hAnsi="Calibri" w:eastAsia="Microsoft YaHei"/>
          <w:b/>
          <w:color w:val="2E74B5"/>
          <w:sz w:val="20"/>
        </w:rPr>
        <w:t>PROJECT HANDOVER · RELEASE 0.7.0</w:t>
      </w:r>
    </w:p>
    <w:p>
      <w:pPr>
        <w:spacing w:after="240"/>
        <w:jc w:val="center"/>
      </w:pPr>
      <w:r>
        <w:rPr>
          <w:rFonts w:ascii="Calibri" w:hAnsi="Calibri" w:eastAsia="Microsoft YaHei"/>
          <w:b/>
          <w:color w:val="0B2545"/>
          <w:sz w:val="58"/>
        </w:rPr>
        <w:t>园区低碳规划与</w:t>
        <w:br/>
        <w:t>绿电直连优化平台</w:t>
      </w:r>
    </w:p>
    <w:p>
      <w:pPr>
        <w:spacing w:after="680"/>
        <w:jc w:val="center"/>
      </w:pPr>
      <w:r>
        <w:rPr>
          <w:rFonts w:ascii="Calibri" w:hAnsi="Calibri" w:eastAsia="Microsoft YaHei"/>
          <w:color w:val="1F4D78"/>
          <w:sz w:val="30"/>
        </w:rPr>
        <w:t>项目交接手册与逐页面演示讲稿</w:t>
      </w:r>
    </w:p>
    <w:p>
      <w:pPr>
        <w:spacing w:after="1680"/>
        <w:jc w:val="center"/>
      </w:pPr>
      <w:r>
        <w:rPr>
          <w:rFonts w:ascii="Calibri" w:hAnsi="Calibri" w:eastAsia="Microsoft YaHei"/>
          <w:b/>
          <w:color w:val="2E74B5"/>
          <w:sz w:val="22"/>
        </w:rPr>
        <w:t>可部署  ·  可交付  ·  可维护  ·  可扩展</w:t>
      </w:r>
    </w:p>
    <w:p>
      <w:pPr>
        <w:spacing w:after="80"/>
        <w:jc w:val="center"/>
      </w:pPr>
      <w:r>
        <w:rPr>
          <w:rFonts w:ascii="Calibri" w:hAnsi="Calibri" w:eastAsia="Microsoft YaHei"/>
          <w:color w:val="667085"/>
          <w:sz w:val="20"/>
        </w:rPr>
        <w:t>版本日期：2026-07-18</w:t>
      </w:r>
    </w:p>
    <w:p>
      <w:pPr>
        <w:jc w:val="center"/>
      </w:pPr>
      <w:r>
        <w:rPr>
          <w:rFonts w:ascii="Calibri" w:hAnsi="Calibri" w:eastAsia="Microsoft YaHei"/>
          <w:color w:val="667085"/>
          <w:sz w:val="20"/>
        </w:rPr>
        <w:t>交付分支：upgrade/v0.7.0-productization</w:t>
      </w:r>
    </w:p>
    <w:p>
      <w:r>
        <w:br w:type="page"/>
      </w:r>
    </w:p>
    <w:p>
      <w:pPr>
        <w:pStyle w:val="Heading1"/>
      </w:pPr>
      <w:r>
        <w:t>阅读导航</w:t>
      </w:r>
    </w:p>
    <w:p>
      <w:pPr>
        <w:spacing w:after="200"/>
      </w:pPr>
      <w:r>
        <w:t>本文件由两部分组成：第一部分用于工程交接与维护，第二部分可直接作为现场逐页面讲稿。</w:t>
      </w:r>
    </w:p>
    <w:p>
      <w:pPr>
        <w:pStyle w:val="ListBullet"/>
      </w:pPr>
      <w:r>
        <w:t>产品定位、交付物与系统架构</w:t>
      </w:r>
    </w:p>
    <w:p>
      <w:pPr>
        <w:pStyle w:val="ListBullet"/>
      </w:pPr>
      <w:r>
        <w:t>快速调度与V17两套逐页面说明</w:t>
      </w:r>
    </w:p>
    <w:p>
      <w:pPr>
        <w:pStyle w:val="ListBullet"/>
      </w:pPr>
      <w:r>
        <w:t>优化、预测、比较、任务与备份算法</w:t>
      </w:r>
    </w:p>
    <w:p>
      <w:pPr>
        <w:pStyle w:val="ListBullet"/>
      </w:pPr>
      <w:r>
        <w:t>数据字典、API、部署、测试与维护</w:t>
      </w:r>
    </w:p>
    <w:p>
      <w:pPr>
        <w:pStyle w:val="ListBullet"/>
      </w:pPr>
      <w:r>
        <w:t>15分钟主线演示、全页面扩展讲法</w:t>
      </w:r>
    </w:p>
    <w:p>
      <w:pPr>
        <w:pStyle w:val="ListBullet"/>
      </w:pPr>
      <w:r>
        <w:t>现场问答、故障应急与演示后动作</w:t>
      </w:r>
    </w:p>
    <w:p>
      <w:pPr>
        <w:spacing w:before="200" w:after="0"/>
      </w:pPr>
      <w:r>
        <w:rPr>
          <w:rFonts w:ascii="Calibri" w:hAnsi="Calibri" w:eastAsia="Microsoft YaHei"/>
          <w:b/>
          <w:color w:val="1F4D78"/>
        </w:rPr>
        <w:t>使用建议：</w:t>
      </w:r>
      <w:r>
        <w:rPr>
          <w:rFonts w:ascii="Calibri" w:hAnsi="Calibri" w:eastAsia="Microsoft YaHei"/>
        </w:rPr>
        <w:t>演示人员先阅读第二部分；工程师按第一部分完成环境、模型、数据与运维交接。</w:t>
      </w:r>
    </w:p>
    <w:p>
      <w:r>
        <w:br w:type="page"/>
      </w:r>
    </w:p>
    <w:p>
      <w:pPr>
        <w:spacing w:before="320" w:after="360"/>
        <w:jc w:val="center"/>
      </w:pPr>
      <w:r>
        <w:rPr>
          <w:rFonts w:ascii="Calibri" w:hAnsi="Calibri" w:eastAsia="Microsoft YaHei"/>
          <w:b/>
          <w:color w:val="0B2545"/>
          <w:sz w:val="38"/>
        </w:rPr>
        <w:t>第一部分  ·  项目交接手册</w:t>
      </w:r>
    </w:p>
    <w:p>
      <w:pPr>
        <w:pStyle w:val="Heading2"/>
      </w:pPr>
      <w:r>
        <w:t>1. 文档用途与交付结论</w:t>
      </w:r>
    </w:p>
    <w:p>
      <w:r>
        <w:rPr>
          <w:rFonts w:ascii="Calibri" w:hAnsi="Calibri" w:eastAsia="Microsoft YaHei"/>
        </w:rPr>
        <w:t>本手册供产品负责人、算法工程师、后端工程师、前端工程师、测试人员和运维人员共同交接。它描述平台当前真实能力、逐页面操作、模块实现、算法口径、数据结构、部署运维、验证方法和扩展边界。</w:t>
      </w:r>
    </w:p>
    <w:p>
      <w:r>
        <w:rPr>
          <w:rFonts w:ascii="Calibri" w:hAnsi="Calibri" w:eastAsia="Microsoft YaHei"/>
        </w:rPr>
        <w:t>v0.7.0已经形成四个闭环：用户可在前台直接完成单会话计算；完整部署下可保存项目和场景版本、提交后台任务并读取历史结果；两类模型通过统一服务执行并导出可追溯成果；运维侧具备检查、日志、指标、审计、备份、恢复和回滚基础。</w:t>
      </w:r>
    </w:p>
    <w:p>
      <w:r>
        <w:rPr>
          <w:rFonts w:ascii="Calibri" w:hAnsi="Calibri" w:eastAsia="Microsoft YaHei"/>
        </w:rPr>
        <w:t>当前版本适合演示、研究验证、方案筛选、受控内网试点和单服务器项目交付。它不替代配电网潮流、短路电流、继电保护、接入系统审查、设备选型和施工图设计，也不应被描述为已经实现跨主机高可用。</w:t>
      </w:r>
    </w:p>
    <w:p>
      <w:pPr>
        <w:pStyle w:val="Heading2"/>
      </w:pPr>
      <w:r>
        <w:t>2. 产品定位与使用对象</w:t>
      </w:r>
    </w:p>
    <w:p>
      <w:r>
        <w:rPr>
          <w:rFonts w:ascii="Calibri" w:hAnsi="Calibri" w:eastAsia="Microsoft YaHei"/>
        </w:rPr>
        <w:t>平台面向园区综合能源规划与运行决策，支持两种模型模式。</w:t>
      </w:r>
    </w:p>
    <w:p>
      <w:pPr>
        <w:pStyle w:val="ListNumber"/>
        <w:numPr>
          <w:ilvl w:val="0"/>
          <w:numId w:val="10"/>
        </w:numPr>
      </w:pPr>
      <w:r>
        <w:rPr>
          <w:rFonts w:ascii="Calibri" w:hAnsi="Calibri" w:eastAsia="Microsoft YaHei"/>
        </w:rPr>
        <w:t>快速电力滚动调度：关注光伏、风电、气电、电网和电储能的运行，适合快速演示、参数敏感性分析和小时级电力调度。</w:t>
      </w:r>
    </w:p>
    <w:p>
      <w:pPr>
        <w:pStyle w:val="ListNumber"/>
        <w:numPr>
          <w:ilvl w:val="0"/>
          <w:numId w:val="10"/>
        </w:numPr>
      </w:pPr>
      <w:r>
        <w:rPr>
          <w:rFonts w:ascii="Calibri" w:hAnsi="Calibri" w:eastAsia="Microsoft YaHei"/>
        </w:rPr>
        <w:t>V17综合能源规划：关注电、热、冷、气、储能、柔性负荷、碳约束、绿电直连和P2X/绿氢，适合技术组合筛选、典型日规划和S0—S8政策场景比较。</w:t>
      </w:r>
    </w:p>
    <w:p>
      <w:r>
        <w:rPr>
          <w:rFonts w:ascii="Calibri" w:hAnsi="Calibri" w:eastAsia="Microsoft YaHei"/>
        </w:rPr>
        <w:t>典型用户包括园区能源管理人员、规划咨询工程师、科研团队、低碳项目负责人和系统交付工程师。</w:t>
      </w:r>
    </w:p>
    <w:p>
      <w:pPr>
        <w:pStyle w:val="Heading2"/>
      </w:pPr>
      <w:r>
        <w:t>3. 交付物清单</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098"/>
        <w:gridCol w:w="3631"/>
        <w:gridCol w:w="3631"/>
      </w:tblGrid>
      <w:tr>
        <w:trPr>
          <w:tblHeader w:val="true"/>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交付物</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位置</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用途</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Streamlit前台</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app.py</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页面交互、会话计算、图表和下载</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应用服务</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src/application</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双模型路由、预测、场景比较、日内请求、绿电直连</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核心契约</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src/core</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输入结构、数据契约、验证、参数指纹</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快速调度模型</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src/storemore_engine.py</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容量预规划、滚动线性调度、指标与成果包</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V17综合模型</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src/model</w:t>
            </w:r>
            <w:r>
              <w:rPr>
                <w:rFonts w:ascii="Calibri" w:hAnsi="Calibri" w:eastAsia="Microsoft YaHei"/>
                <w:b w:val="0"/>
                <w:color w:val="000000"/>
                <w:sz w:val="18"/>
              </w:rPr>
              <w:t>、</w:t>
            </w:r>
            <w:r>
              <w:rPr>
                <w:rStyle w:val="CodeInline"/>
                <w:rFonts w:ascii="Calibri" w:hAnsi="Calibri" w:eastAsia="Microsoft YaHei"/>
                <w:b w:val="0"/>
                <w:color w:val="000000"/>
                <w:sz w:val="18"/>
              </w:rPr>
              <w:t>src/model_adapter.py</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电热冷多能规划、S0—S8/R0—R4、P2X</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FastAPI接口</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api.py</w:t>
            </w:r>
            <w:r>
              <w:rPr>
                <w:rFonts w:ascii="Calibri" w:hAnsi="Calibri" w:eastAsia="Microsoft YaHei"/>
                <w:b w:val="0"/>
                <w:color w:val="000000"/>
                <w:sz w:val="18"/>
              </w:rPr>
              <w:t>、</w:t>
            </w:r>
            <w:r>
              <w:rPr>
                <w:rStyle w:val="CodeInline"/>
                <w:rFonts w:ascii="Calibri" w:hAnsi="Calibri" w:eastAsia="Microsoft YaHei"/>
                <w:b w:val="0"/>
                <w:color w:val="000000"/>
                <w:sz w:val="18"/>
              </w:rPr>
              <w:t>src/api</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项目、场景、任务、结果、审计、健康与指标</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数据持久化</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src/persistence</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SQLite迁移、仓储、任务租约和审计</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后台Worker</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worker.py</w:t>
            </w:r>
            <w:r>
              <w:rPr>
                <w:rFonts w:ascii="Calibri" w:hAnsi="Calibri" w:eastAsia="Microsoft YaHei"/>
                <w:b w:val="0"/>
                <w:color w:val="000000"/>
                <w:sz w:val="18"/>
              </w:rPr>
              <w:t>、</w:t>
            </w:r>
            <w:r>
              <w:rPr>
                <w:rStyle w:val="CodeInline"/>
                <w:rFonts w:ascii="Calibri" w:hAnsi="Calibri" w:eastAsia="Microsoft YaHei"/>
                <w:b w:val="0"/>
                <w:color w:val="000000"/>
                <w:sz w:val="18"/>
              </w:rPr>
              <w:t>src/jobs</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领取任务、心跳、求解、保存成果</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运维能力</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src/observability</w:t>
            </w:r>
            <w:r>
              <w:rPr>
                <w:rFonts w:ascii="Calibri" w:hAnsi="Calibri" w:eastAsia="Microsoft YaHei"/>
                <w:b w:val="0"/>
                <w:color w:val="000000"/>
                <w:sz w:val="18"/>
              </w:rPr>
              <w:t>、</w:t>
            </w:r>
            <w:r>
              <w:rPr>
                <w:rStyle w:val="CodeInline"/>
                <w:rFonts w:ascii="Calibri" w:hAnsi="Calibri" w:eastAsia="Microsoft YaHei"/>
                <w:b w:val="0"/>
                <w:color w:val="000000"/>
                <w:sz w:val="18"/>
              </w:rPr>
              <w:t>src/operations</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JSON日志、备份、校验、恢复与回滚</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部署配置</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Dockerfile</w:t>
            </w:r>
            <w:r>
              <w:rPr>
                <w:rFonts w:ascii="Calibri" w:hAnsi="Calibri" w:eastAsia="Microsoft YaHei"/>
                <w:b w:val="0"/>
                <w:color w:val="000000"/>
                <w:sz w:val="18"/>
              </w:rPr>
              <w:t>、</w:t>
            </w:r>
            <w:r>
              <w:rPr>
                <w:rStyle w:val="CodeInline"/>
                <w:rFonts w:ascii="Calibri" w:hAnsi="Calibri" w:eastAsia="Microsoft YaHei"/>
                <w:b w:val="0"/>
                <w:color w:val="000000"/>
                <w:sz w:val="18"/>
              </w:rPr>
              <w:t>compose*.yaml</w:t>
            </w:r>
            <w:r>
              <w:rPr>
                <w:rFonts w:ascii="Calibri" w:hAnsi="Calibri" w:eastAsia="Microsoft YaHei"/>
                <w:b w:val="0"/>
                <w:color w:val="000000"/>
                <w:sz w:val="18"/>
              </w:rPr>
              <w:t>、</w:t>
            </w:r>
            <w:r>
              <w:rPr>
                <w:rStyle w:val="CodeInline"/>
                <w:rFonts w:ascii="Calibri" w:hAnsi="Calibri" w:eastAsia="Microsoft YaHei"/>
                <w:b w:val="0"/>
                <w:color w:val="000000"/>
                <w:sz w:val="18"/>
              </w:rPr>
              <w:t>deploy</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单节点部署与生产覆盖配置</w:t>
            </w:r>
          </w:p>
        </w:tc>
      </w:tr>
      <w:tr>
        <w:trPr>
          <w:cantSplit/>
        </w:trPr>
        <w:tc>
          <w:tcPr>
            <w:tcW w:type="dxa" w:w="209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自动验证</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Style w:val="CodeInline"/>
                <w:rFonts w:ascii="Calibri" w:hAnsi="Calibri" w:eastAsia="Microsoft YaHei"/>
                <w:b w:val="0"/>
                <w:color w:val="000000"/>
                <w:sz w:val="18"/>
              </w:rPr>
              <w:t>tests</w:t>
            </w:r>
            <w:r>
              <w:rPr>
                <w:rFonts w:ascii="Calibri" w:hAnsi="Calibri" w:eastAsia="Microsoft YaHei"/>
                <w:b w:val="0"/>
                <w:color w:val="000000"/>
                <w:sz w:val="18"/>
              </w:rPr>
              <w:t>、</w:t>
            </w:r>
            <w:r>
              <w:rPr>
                <w:rStyle w:val="CodeInline"/>
                <w:rFonts w:ascii="Calibri" w:hAnsi="Calibri" w:eastAsia="Microsoft YaHei"/>
                <w:b w:val="0"/>
                <w:color w:val="000000"/>
                <w:sz w:val="18"/>
              </w:rPr>
              <w:t>.github/workflows/ci.yml</w:t>
            </w:r>
          </w:p>
        </w:tc>
        <w:tc>
          <w:tcPr>
            <w:tcW w:type="dxa" w:w="363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黄金回归、接口、恢复和镜像构建门禁</w:t>
            </w:r>
          </w:p>
        </w:tc>
      </w:tr>
    </w:tbl>
    <w:p>
      <w:pPr>
        <w:spacing w:after="40"/>
      </w:pPr>
    </w:p>
    <w:p>
      <w:pPr>
        <w:pStyle w:val="Heading2"/>
      </w:pPr>
      <w:r>
        <w:t>4. 系统架构与运行链路</w:t>
      </w:r>
    </w:p>
    <w:p>
      <w:pPr>
        <w:pStyle w:val="Heading3"/>
      </w:pPr>
      <w:r>
        <w:t>4.1 前台直算链路</w:t>
      </w:r>
    </w:p>
    <w:p>
      <w:r>
        <w:rPr>
          <w:rFonts w:ascii="Calibri" w:hAnsi="Calibri" w:eastAsia="Microsoft YaHei"/>
        </w:rPr>
        <w:t>用户在“参数配置与运行”提交表单，页面把参数转换成稳定载荷。</w:t>
      </w:r>
      <w:r>
        <w:rPr>
          <w:rStyle w:val="CodeInline"/>
        </w:rPr>
        <w:t>UnifiedModelService</w:t>
      </w:r>
      <w:r>
        <w:rPr>
          <w:rFonts w:ascii="Calibri" w:hAnsi="Calibri" w:eastAsia="Microsoft YaHei"/>
        </w:rPr>
        <w:t>按</w:t>
      </w:r>
      <w:r>
        <w:rPr>
          <w:rStyle w:val="CodeInline"/>
        </w:rPr>
        <w:t>model_kind</w:t>
      </w:r>
      <w:r>
        <w:rPr>
          <w:rFonts w:ascii="Calibri" w:hAnsi="Calibri" w:eastAsia="Microsoft YaHei"/>
        </w:rPr>
        <w:t>路由到快速调度或V17适配器，返回统一的成功状态、错误结构、元数据、摘要、指标、表格和ZIP成果包。结果保存在当前Streamlit会话，后续页面只读取本次结果，不使用固定演示数字。</w:t>
      </w:r>
    </w:p>
    <w:p>
      <w:pPr>
        <w:pStyle w:val="Heading3"/>
      </w:pPr>
      <w:r>
        <w:t>4.2 完整后台链路</w:t>
      </w:r>
    </w:p>
    <w:p>
      <w:r>
        <w:rPr>
          <w:rFonts w:ascii="Calibri" w:hAnsi="Calibri" w:eastAsia="Microsoft YaHei"/>
        </w:rPr>
        <w:t>UI通过</w:t>
      </w:r>
      <w:r>
        <w:rPr>
          <w:rStyle w:val="CodeInline"/>
        </w:rPr>
        <w:t>PlatformApiClient</w:t>
      </w:r>
      <w:r>
        <w:rPr>
          <w:rFonts w:ascii="Calibri" w:hAnsi="Calibri" w:eastAsia="Microsoft YaHei"/>
        </w:rPr>
        <w:t>创建项目和场景版本，再提交优化任务。API只登记任务，不在请求线程执行求解。Worker原子领取任务并续租，调用统一模型服务，成果包写入文件存储，摘要、指标、校验和与任务状态写入数据库。用户随后可以读取任务和结果。</w:t>
      </w:r>
    </w:p>
    <w:p>
      <w:pPr>
        <w:pStyle w:val="Heading3"/>
      </w:pPr>
      <w:r>
        <w:t>4.3 部署形态</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835"/>
        <w:gridCol w:w="2508"/>
        <w:gridCol w:w="2508"/>
        <w:gridCol w:w="2509"/>
      </w:tblGrid>
      <w:tr>
        <w:trPr>
          <w:tblHeader w:val="true"/>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形态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组成</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可用能力</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限制</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Community Cloud演示</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Streamlit UI</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两类模型直算、图表、指标、比较、导出</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没有独立API时项目版本与后台历史关闭</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本机开发</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UI、API、Worker、本地SQLite</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完整业务闭环</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仅供开发或受控演示</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单节点交付</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Docker Compose、持久化卷、令牌认证</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完整闭环、任务可靠性、日志、指标、备份恢复</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不是跨主机高可用</w:t>
            </w:r>
          </w:p>
        </w:tc>
      </w:tr>
      <w:tr>
        <w:trPr>
          <w:cantSplit/>
        </w:trPr>
        <w:tc>
          <w:tcPr>
            <w:tcW w:type="dxa" w:w="183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后续高可用</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多实例API、PostgreSQL、Redis、对象存储、SSO</w:t>
            </w:r>
          </w:p>
        </w:tc>
        <w:tc>
          <w:tcPr>
            <w:tcW w:type="dxa" w:w="2508"/>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目标架构</w:t>
            </w:r>
          </w:p>
        </w:tc>
        <w:tc>
          <w:tcPr>
            <w:tcW w:type="dxa" w:w="2509"/>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当前仓库尚未实现</w:t>
            </w:r>
          </w:p>
        </w:tc>
      </w:tr>
    </w:tbl>
    <w:p>
      <w:pPr>
        <w:spacing w:after="40"/>
      </w:pPr>
    </w:p>
    <w:p>
      <w:pPr>
        <w:pStyle w:val="Heading2"/>
      </w:pPr>
      <w:r>
        <w:t>5. 通用页面规则</w:t>
      </w:r>
    </w:p>
    <w:p>
      <w:r>
        <w:rPr>
          <w:rFonts w:ascii="Calibri" w:hAnsi="Calibri" w:eastAsia="Microsoft YaHei"/>
        </w:rPr>
        <w:t>侧栏顶部的“模型模式”决定导航与页面数据源。快速模式有9页，综合模式有10页。修改任何配置后都必须重新运行；侧栏状态卡只表示当前会话最近一次成功结果。刷新浏览器会清空单会话结果，但完整后台部署中的项目、场景、任务和成果仍保存在数据库与成果目录。</w:t>
      </w:r>
    </w:p>
    <w:p>
      <w:r>
        <w:rPr>
          <w:rFonts w:ascii="Calibri" w:hAnsi="Calibri" w:eastAsia="Microsoft YaHei"/>
        </w:rPr>
        <w:t>参数指纹是对规范化载荷计算的SHA-256摘要，用于判断两次场景输入是否一致。指纹不是安全签名，也不替代数据库版本号。</w:t>
      </w:r>
    </w:p>
    <w:p>
      <w:pPr>
        <w:pStyle w:val="Heading2"/>
      </w:pPr>
      <w:r>
        <w:t>6. 逐页面交接说明</w:t>
      </w:r>
    </w:p>
    <w:p>
      <w:pPr>
        <w:pStyle w:val="Heading3"/>
      </w:pPr>
      <w:r>
        <w:t>6.1 平台概览</w:t>
      </w:r>
    </w:p>
    <w:p>
      <w:r>
        <w:rPr>
          <w:rFonts w:ascii="Calibri" w:hAnsi="Calibri" w:eastAsia="Microsoft YaHei"/>
        </w:rPr>
        <w:t>页面目标：解释平台定位、当前模型状态和从模型选型到决策交付的四步流程。</w:t>
      </w:r>
    </w:p>
    <w:p>
      <w:r>
        <w:rPr>
          <w:rFonts w:ascii="Calibri" w:hAnsi="Calibri" w:eastAsia="Microsoft YaHei"/>
        </w:rPr>
        <w:t>操作方式：先在侧栏选择模型。若已有当前会话结果，页面展示四张关键指标卡；没有结果时提示进入配置页。</w:t>
      </w:r>
    </w:p>
    <w:p>
      <w:r>
        <w:rPr>
          <w:rFonts w:ascii="Calibri" w:hAnsi="Calibri" w:eastAsia="Microsoft YaHei"/>
        </w:rPr>
        <w:t>实现方式：</w:t>
      </w:r>
      <w:r>
        <w:rPr>
          <w:rStyle w:val="CodeInline"/>
        </w:rPr>
        <w:t>overview_page</w:t>
      </w:r>
      <w:r>
        <w:rPr>
          <w:rFonts w:ascii="Calibri" w:hAnsi="Calibri" w:eastAsia="Microsoft YaHei"/>
        </w:rPr>
        <w:t>读取会话中的</w:t>
      </w:r>
      <w:r>
        <w:rPr>
          <w:rStyle w:val="CodeInline"/>
        </w:rPr>
        <w:t>simulation_result</w:t>
      </w:r>
      <w:r>
        <w:rPr>
          <w:rFonts w:ascii="Calibri" w:hAnsi="Calibri" w:eastAsia="Microsoft YaHei"/>
        </w:rPr>
        <w:t>或</w:t>
      </w:r>
      <w:r>
        <w:rPr>
          <w:rStyle w:val="CodeInline"/>
        </w:rPr>
        <w:t>integrated_result</w:t>
      </w:r>
      <w:r>
        <w:rPr>
          <w:rFonts w:ascii="Calibri" w:hAnsi="Calibri" w:eastAsia="Microsoft YaHei"/>
        </w:rPr>
        <w:t>。快速模式展示用电量、绿电占比、碳排和综合成本；综合模式展示年度碳排、年度购电、弃电率和多能服务率。</w:t>
      </w:r>
    </w:p>
    <w:p>
      <w:r>
        <w:rPr>
          <w:rFonts w:ascii="Calibri" w:hAnsi="Calibri" w:eastAsia="Microsoft YaHei"/>
        </w:rPr>
        <w:t>讲解重点：这是决策流程入口，不是静态驾驶舱。所有指标都来自当前求解结果。</w:t>
      </w:r>
    </w:p>
    <w:p>
      <w:pPr>
        <w:pStyle w:val="Heading3"/>
      </w:pPr>
      <w:r>
        <w:t>6.2 项目与任务</w:t>
      </w:r>
    </w:p>
    <w:p>
      <w:r>
        <w:rPr>
          <w:rFonts w:ascii="Calibri" w:hAnsi="Calibri" w:eastAsia="Microsoft YaHei"/>
        </w:rPr>
        <w:t>页面目标：保存项目、版本化场景、提交异步任务、查看状态和读取持久化结果。</w:t>
      </w:r>
    </w:p>
    <w:p>
      <w:r>
        <w:rPr>
          <w:rFonts w:ascii="Calibri" w:hAnsi="Calibri" w:eastAsia="Microsoft YaHei"/>
        </w:rPr>
        <w:t>前置条件：需要配置可访问的</w:t>
      </w:r>
      <w:r>
        <w:rPr>
          <w:rStyle w:val="CodeInline"/>
        </w:rPr>
        <w:t>PLATFORM_API_URL</w:t>
      </w:r>
      <w:r>
        <w:rPr>
          <w:rFonts w:ascii="Calibri" w:hAnsi="Calibri" w:eastAsia="Microsoft YaHei"/>
        </w:rPr>
        <w:t>。Community Cloud只部署UI时，本页显示“单机演示模式”，这是设计内的安全降级，不是故障。不能把云端的后台地址配置为</w:t>
      </w:r>
      <w:r>
        <w:rPr>
          <w:rStyle w:val="CodeInline"/>
        </w:rPr>
        <w:t>127.0.0.1:8000</w:t>
      </w:r>
      <w:r>
        <w:rPr>
          <w:rFonts w:ascii="Calibri" w:hAnsi="Calibri" w:eastAsia="Microsoft YaHei"/>
        </w:rPr>
        <w:t>。</w:t>
      </w:r>
    </w:p>
    <w:p>
      <w:r>
        <w:rPr>
          <w:rFonts w:ascii="Calibri" w:hAnsi="Calibri" w:eastAsia="Microsoft YaHei"/>
        </w:rPr>
        <w:t>完整操作：创建项目，选择项目，确认模型和参数指纹，输入场景版本名称，点击“保存场景并提交后台计算”。任务记录显示排队、运行、成功、失败或取消。成功后可以读取结果；排队或运行时可以取消。</w:t>
      </w:r>
    </w:p>
    <w:p>
      <w:r>
        <w:rPr>
          <w:rFonts w:ascii="Calibri" w:hAnsi="Calibri" w:eastAsia="Microsoft YaHei"/>
        </w:rPr>
        <w:t>实现方式：API分别保存</w:t>
      </w:r>
      <w:r>
        <w:rPr>
          <w:rStyle w:val="CodeInline"/>
        </w:rPr>
        <w:t>projects</w:t>
      </w:r>
      <w:r>
        <w:rPr>
          <w:rFonts w:ascii="Calibri" w:hAnsi="Calibri" w:eastAsia="Microsoft YaHei"/>
        </w:rPr>
        <w:t>、</w:t>
      </w:r>
      <w:r>
        <w:rPr>
          <w:rStyle w:val="CodeInline"/>
        </w:rPr>
        <w:t>scenario_versions</w:t>
      </w:r>
      <w:r>
        <w:rPr>
          <w:rFonts w:ascii="Calibri" w:hAnsi="Calibri" w:eastAsia="Microsoft YaHei"/>
        </w:rPr>
        <w:t>、</w:t>
      </w:r>
      <w:r>
        <w:rPr>
          <w:rStyle w:val="CodeInline"/>
        </w:rPr>
        <w:t>optimization_jobs</w:t>
      </w:r>
      <w:r>
        <w:rPr>
          <w:rFonts w:ascii="Calibri" w:hAnsi="Calibri" w:eastAsia="Microsoft YaHei"/>
        </w:rPr>
        <w:t>和</w:t>
      </w:r>
      <w:r>
        <w:rPr>
          <w:rStyle w:val="CodeInline"/>
        </w:rPr>
        <w:t>optimization_results</w:t>
      </w:r>
      <w:r>
        <w:rPr>
          <w:rFonts w:ascii="Calibri" w:hAnsi="Calibri" w:eastAsia="Microsoft YaHei"/>
        </w:rPr>
        <w:t>。同名场景在项目内自动递增版本。任务请求记录模型类型；Worker调用统一模型服务。</w:t>
      </w:r>
      <w:r>
        <w:rPr>
          <w:rStyle w:val="CodeInline"/>
        </w:rPr>
        <w:t>idempotency_key</w:t>
      </w:r>
      <w:r>
        <w:rPr>
          <w:rFonts w:ascii="Calibri" w:hAnsi="Calibri" w:eastAsia="Microsoft YaHei"/>
        </w:rPr>
        <w:t>用于网络重试去重，</w:t>
      </w:r>
      <w:r>
        <w:rPr>
          <w:rStyle w:val="CodeInline"/>
        </w:rPr>
        <w:t>worker_id</w:t>
      </w:r>
      <w:r>
        <w:rPr>
          <w:rFonts w:ascii="Calibri" w:hAnsi="Calibri" w:eastAsia="Microsoft YaHei"/>
        </w:rPr>
        <w:t>和租约用于并发控制。</w:t>
      </w:r>
    </w:p>
    <w:p>
      <w:r>
        <w:rPr>
          <w:rFonts w:ascii="Calibri" w:hAnsi="Calibri" w:eastAsia="Microsoft YaHei"/>
        </w:rPr>
        <w:t>常见问题：后台地址无效时页面停止调用该地址；后台不可用时不影响其余单会话页面；只读用户不能创建项目或任务；任务失败时优先查看</w:t>
      </w:r>
      <w:r>
        <w:rPr>
          <w:rStyle w:val="CodeInline"/>
        </w:rPr>
        <w:t>error_code</w:t>
      </w:r>
      <w:r>
        <w:rPr>
          <w:rFonts w:ascii="Calibri" w:hAnsi="Calibri" w:eastAsia="Microsoft YaHei"/>
        </w:rPr>
        <w:t>、</w:t>
      </w:r>
      <w:r>
        <w:rPr>
          <w:rStyle w:val="CodeInline"/>
        </w:rPr>
        <w:t>error_message</w:t>
      </w:r>
      <w:r>
        <w:rPr>
          <w:rFonts w:ascii="Calibri" w:hAnsi="Calibri" w:eastAsia="Microsoft YaHei"/>
        </w:rPr>
        <w:t>和结构化日志中的</w:t>
      </w:r>
      <w:r>
        <w:rPr>
          <w:rStyle w:val="CodeInline"/>
        </w:rPr>
        <w:t>job_id</w:t>
      </w:r>
      <w:r>
        <w:rPr>
          <w:rFonts w:ascii="Calibri" w:hAnsi="Calibri" w:eastAsia="Microsoft YaHei"/>
        </w:rPr>
        <w:t>。</w:t>
      </w:r>
    </w:p>
    <w:p>
      <w:pPr>
        <w:pStyle w:val="Heading3"/>
      </w:pPr>
      <w:r>
        <w:t>6.3 参数配置与运行：快速电力滚动调度</w:t>
      </w:r>
    </w:p>
    <w:p>
      <w:r>
        <w:rPr>
          <w:rFonts w:ascii="Calibri" w:hAnsi="Calibri" w:eastAsia="Microsoft YaHei"/>
        </w:rPr>
        <w:t>页面目标：建立园区电力边界并运行滚动线性优化。</w:t>
      </w:r>
    </w:p>
    <w:p>
      <w:r>
        <w:rPr>
          <w:rFonts w:ascii="Calibri" w:hAnsi="Calibri" w:eastAsia="Microsoft YaHei"/>
        </w:rPr>
        <w:t>基础场景参数包括场景名称、年用电需求、规划周期、滚动天数、购售电均价、交换容量上限和电价分布国家代码。约束包括最低绿电占比、年度CO2上限、最大弃电率，以及是否允许自动规划和限制投资规模。</w:t>
      </w:r>
    </w:p>
    <w:p>
      <w:r>
        <w:rPr>
          <w:rFonts w:ascii="Calibri" w:hAnsi="Calibri" w:eastAsia="Microsoft YaHei"/>
        </w:rPr>
        <w:t>设备与价格表分为电源、储能、燃料价格和投资成本。用户可以下载8760小时CSV模板，也可以上传时序数据；未上传时系统生成可复现的负荷、风光出力系数和电价曲线。</w:t>
      </w:r>
    </w:p>
    <w:p>
      <w:r>
        <w:rPr>
          <w:rFonts w:ascii="Calibri" w:hAnsi="Calibri" w:eastAsia="Microsoft YaHei"/>
        </w:rPr>
        <w:t>点击“开始实时优化调度”后，页面先执行输入和表格校验，再进行容量预规划和滚动求解。失败时通常需要放宽RPS、CO2或CEEP约束，或提高电网交换容量。</w:t>
      </w:r>
    </w:p>
    <w:p>
      <w:r>
        <w:rPr>
          <w:rFonts w:ascii="Calibri" w:hAnsi="Calibri" w:eastAsia="Microsoft YaHei"/>
        </w:rPr>
        <w:t>实现方式：页面构建</w:t>
      </w:r>
      <w:r>
        <w:rPr>
          <w:rStyle w:val="CodeInline"/>
        </w:rPr>
        <w:t>StoreMoreInputs</w:t>
      </w:r>
      <w:r>
        <w:rPr>
          <w:rFonts w:ascii="Calibri" w:hAnsi="Calibri" w:eastAsia="Microsoft YaHei"/>
        </w:rPr>
        <w:t>与四张参数表，</w:t>
      </w:r>
      <w:r>
        <w:rPr>
          <w:rStyle w:val="CodeInline"/>
        </w:rPr>
        <w:t>SimulationService</w:t>
      </w:r>
      <w:r>
        <w:rPr>
          <w:rFonts w:ascii="Calibri" w:hAnsi="Calibri" w:eastAsia="Microsoft YaHei"/>
        </w:rPr>
        <w:t>校验后调用</w:t>
      </w:r>
      <w:r>
        <w:rPr>
          <w:rStyle w:val="CodeInline"/>
        </w:rPr>
        <w:t>run_storemore_simulation</w:t>
      </w:r>
      <w:r>
        <w:rPr>
          <w:rFonts w:ascii="Calibri" w:hAnsi="Calibri" w:eastAsia="Microsoft YaHei"/>
        </w:rPr>
        <w:t>。求解器为SciPy HiGHS线性规划。</w:t>
      </w:r>
    </w:p>
    <w:p>
      <w:pPr>
        <w:pStyle w:val="Heading3"/>
      </w:pPr>
      <w:r>
        <w:t>6.4 参数配置与运行：V17综合能源规划</w:t>
      </w:r>
    </w:p>
    <w:p>
      <w:r>
        <w:rPr>
          <w:rFonts w:ascii="Calibri" w:hAnsi="Calibri" w:eastAsia="Microsoft YaHei"/>
        </w:rPr>
        <w:t>页面目标：选择S0—S8模板，并配置电、热、冷、储能、柔性负荷、碳、绿电直连和P2X。</w:t>
      </w:r>
    </w:p>
    <w:p>
      <w:r>
        <w:rPr>
          <w:rFonts w:ascii="Calibri" w:hAnsi="Calibri" w:eastAsia="Microsoft YaHei"/>
        </w:rPr>
        <w:t>运行口径包括60/30/15分钟分辨率与可复现随机种子。设备页给出光伏、风电、热电联产、热泵、电制冷和燃气锅炉容量上限；储能页控制电储能与蓄热；柔性负荷页控制日内转移和可中断负荷；碳页控制相对S0排放上限与碳成本；绿电直连页控制园区绿电、直连目标和新能源利用率；P2X页控制电解槽与工艺热替代。</w:t>
      </w:r>
    </w:p>
    <w:p>
      <w:r>
        <w:rPr>
          <w:rFonts w:ascii="Calibri" w:hAnsi="Calibri" w:eastAsia="Microsoft YaHei"/>
        </w:rPr>
        <w:t>页面先把模板与覆盖项合并成</w:t>
      </w:r>
      <w:r>
        <w:rPr>
          <w:rStyle w:val="CodeInline"/>
        </w:rPr>
        <w:t>integrated-planning-v1</w:t>
      </w:r>
      <w:r>
        <w:rPr>
          <w:rFonts w:ascii="Calibri" w:hAnsi="Calibri" w:eastAsia="Microsoft YaHei"/>
        </w:rPr>
        <w:t>载荷，再执行范围和跨字段依赖校验。只有没有错误时才调用V17模型。较高分辨率显著增加求解时间，现场演示建议60分钟。</w:t>
      </w:r>
    </w:p>
    <w:p>
      <w:r>
        <w:rPr>
          <w:rFonts w:ascii="Calibri" w:hAnsi="Calibri" w:eastAsia="Microsoft YaHei"/>
        </w:rPr>
        <w:t>实现方式：</w:t>
      </w:r>
      <w:r>
        <w:rPr>
          <w:rStyle w:val="CodeInline"/>
        </w:rPr>
        <w:t>IntegratedPlanningConfig</w:t>
      </w:r>
      <w:r>
        <w:rPr>
          <w:rFonts w:ascii="Calibri" w:hAnsi="Calibri" w:eastAsia="Microsoft YaHei"/>
        </w:rPr>
        <w:t>负责默认值、验证、载荷与参数指纹；</w:t>
      </w:r>
      <w:r>
        <w:rPr>
          <w:rStyle w:val="CodeInline"/>
        </w:rPr>
        <w:t>UnifiedModelService</w:t>
      </w:r>
      <w:r>
        <w:rPr>
          <w:rFonts w:ascii="Calibri" w:hAnsi="Calibri" w:eastAsia="Microsoft YaHei"/>
        </w:rPr>
        <w:t>调用</w:t>
      </w:r>
      <w:r>
        <w:rPr>
          <w:rStyle w:val="CodeInline"/>
        </w:rPr>
        <w:t>run_quick_trial</w:t>
      </w:r>
      <w:r>
        <w:rPr>
          <w:rFonts w:ascii="Calibri" w:hAnsi="Calibri" w:eastAsia="Microsoft YaHei"/>
        </w:rPr>
        <w:t>，后者经</w:t>
      </w:r>
      <w:r>
        <w:rPr>
          <w:rStyle w:val="CodeInline"/>
        </w:rPr>
        <w:t>model_adapter</w:t>
      </w:r>
      <w:r>
        <w:rPr>
          <w:rFonts w:ascii="Calibri" w:hAnsi="Calibri" w:eastAsia="Microsoft YaHei"/>
        </w:rPr>
        <w:t>进入V17 LP/MILP核心。</w:t>
      </w:r>
    </w:p>
    <w:p>
      <w:pPr>
        <w:pStyle w:val="Heading3"/>
      </w:pPr>
      <w:r>
        <w:t>6.5 数据与预测</w:t>
      </w:r>
    </w:p>
    <w:p>
      <w:r>
        <w:rPr>
          <w:rFonts w:ascii="Calibri" w:hAnsi="Calibri" w:eastAsia="Microsoft YaHei"/>
        </w:rPr>
        <w:t>页面目标：建立15分钟数据质量、预测评估、日前预测和日内滚动请求的最小闭环。</w:t>
      </w:r>
    </w:p>
    <w:p>
      <w:r>
        <w:rPr>
          <w:rFonts w:ascii="Calibri" w:hAnsi="Calibri" w:eastAsia="Microsoft YaHei"/>
        </w:rPr>
        <w:t>操作顺序：下载模板或加载14天示例数据，检查数据点、间隔、错误与质量状态；通过后点击“评估基准并生成日前96点预测”；查看MAE、RMSE和sMAPE；最后选择R0—R4运行场景、滚动窗口和最新电/热储能SOC，生成日内请求JSON。</w:t>
      </w:r>
    </w:p>
    <w:p>
      <w:r>
        <w:rPr>
          <w:rFonts w:ascii="Calibri" w:hAnsi="Calibri" w:eastAsia="Microsoft YaHei"/>
        </w:rPr>
        <w:t>必填列为</w:t>
      </w:r>
      <w:r>
        <w:rPr>
          <w:rStyle w:val="CodeInline"/>
        </w:rPr>
        <w:t>timestamp</w:t>
      </w:r>
      <w:r>
        <w:rPr>
          <w:rFonts w:ascii="Calibri" w:hAnsi="Calibri" w:eastAsia="Microsoft YaHei"/>
        </w:rPr>
        <w:t>、</w:t>
      </w:r>
      <w:r>
        <w:rPr>
          <w:rStyle w:val="CodeInline"/>
        </w:rPr>
        <w:t>electric_load_mw</w:t>
      </w:r>
      <w:r>
        <w:rPr>
          <w:rFonts w:ascii="Calibri" w:hAnsi="Calibri" w:eastAsia="Microsoft YaHei"/>
        </w:rPr>
        <w:t>、</w:t>
      </w:r>
      <w:r>
        <w:rPr>
          <w:rStyle w:val="CodeInline"/>
        </w:rPr>
        <w:t>pv_available_mw</w:t>
      </w:r>
      <w:r>
        <w:rPr>
          <w:rFonts w:ascii="Calibri" w:hAnsi="Calibri" w:eastAsia="Microsoft YaHei"/>
        </w:rPr>
        <w:t>、</w:t>
      </w:r>
      <w:r>
        <w:rPr>
          <w:rStyle w:val="CodeInline"/>
        </w:rPr>
        <w:t>wind_available_mw</w:t>
      </w:r>
      <w:r>
        <w:rPr>
          <w:rFonts w:ascii="Calibri" w:hAnsi="Calibri" w:eastAsia="Microsoft YaHei"/>
        </w:rPr>
        <w:t>和</w:t>
      </w:r>
      <w:r>
        <w:rPr>
          <w:rStyle w:val="CodeInline"/>
        </w:rPr>
        <w:t>electricity_price_cny_per_mwh</w:t>
      </w:r>
      <w:r>
        <w:rPr>
          <w:rFonts w:ascii="Calibri" w:hAnsi="Calibri" w:eastAsia="Microsoft YaHei"/>
        </w:rPr>
        <w:t>。可选列包括热负荷、冷负荷和温度。数据必须严格15分钟、时间递增、无重复、关键数值可解析、负荷和可再生功率非负。</w:t>
      </w:r>
    </w:p>
    <w:p>
      <w:r>
        <w:rPr>
          <w:rFonts w:ascii="Calibri" w:hAnsi="Calibri" w:eastAsia="Microsoft YaHei"/>
        </w:rPr>
        <w:t>实现方式：数据契约把错误定位到字段、CSV行号和时间戳。预测服务比较前一日同一时刻的季节朴素法与最近96点均值法，按验证集MAE选择模型。日前输出固定96点并生成由算法、训练截止和预测起点决定的版本号。日内请求继承该预测版本和最新SOC。</w:t>
      </w:r>
    </w:p>
    <w:p>
      <w:r>
        <w:rPr>
          <w:rFonts w:ascii="Calibri" w:hAnsi="Calibri" w:eastAsia="Microsoft YaHei"/>
        </w:rPr>
        <w:t>边界：当前预测是透明基准框架，不是训练复杂机器学习模型；接入LSTM、LightGBM或天气预报前，仍需保留同一训练/验证切分和基准对照。</w:t>
      </w:r>
    </w:p>
    <w:p>
      <w:pPr>
        <w:pStyle w:val="Heading3"/>
      </w:pPr>
      <w:r>
        <w:t>6.6 实时结果图</w:t>
      </w:r>
    </w:p>
    <w:p>
      <w:r>
        <w:rPr>
          <w:rFonts w:ascii="Calibri" w:hAnsi="Calibri" w:eastAsia="Microsoft YaHei"/>
        </w:rPr>
        <w:t>适用模式：快速电力滚动调度。</w:t>
      </w:r>
    </w:p>
    <w:p>
      <w:r>
        <w:rPr>
          <w:rFonts w:ascii="Calibri" w:hAnsi="Calibri" w:eastAsia="Microsoft YaHei"/>
        </w:rPr>
        <w:t>页面内容：电力调度图展示负荷、风光、气电及购售电；储能图展示充放电与SOC；平衡图用于检查供需；购售电响应图把电价和电网行为放在同一时间轴；展开区提供逐时明细。</w:t>
      </w:r>
    </w:p>
    <w:p>
      <w:r>
        <w:rPr>
          <w:rFonts w:ascii="Calibri" w:hAnsi="Calibri" w:eastAsia="Microsoft YaHei"/>
        </w:rPr>
        <w:t>实现方式：页面读取本次</w:t>
      </w:r>
      <w:r>
        <w:rPr>
          <w:rStyle w:val="CodeInline"/>
        </w:rPr>
        <w:t>dispatch</w:t>
      </w:r>
      <w:r>
        <w:rPr>
          <w:rFonts w:ascii="Calibri" w:hAnsi="Calibri" w:eastAsia="Microsoft YaHei"/>
        </w:rPr>
        <w:t>表并用Plotly绘图。图表不再求解模型，也不缓存固定结论，因此更改参数后必须回到配置页重算。</w:t>
      </w:r>
    </w:p>
    <w:p>
      <w:r>
        <w:rPr>
          <w:rFonts w:ascii="Calibri" w:hAnsi="Calibri" w:eastAsia="Microsoft YaHei"/>
        </w:rPr>
        <w:t>检查要点：供需误差应接近数值容差；SOC必须处于上下限；高价时段通常减少购电或增加放电，但约束可能改变这一行为。</w:t>
      </w:r>
    </w:p>
    <w:p>
      <w:pPr>
        <w:pStyle w:val="Heading3"/>
      </w:pPr>
      <w:r>
        <w:t>6.7 多能流结果</w:t>
      </w:r>
    </w:p>
    <w:p>
      <w:r>
        <w:rPr>
          <w:rFonts w:ascii="Calibri" w:hAnsi="Calibri" w:eastAsia="Microsoft YaHei"/>
        </w:rPr>
        <w:t>适用模式：V17综合能源规划。</w:t>
      </w:r>
    </w:p>
    <w:p>
      <w:r>
        <w:rPr>
          <w:rFonts w:ascii="Calibri" w:hAnsi="Calibri" w:eastAsia="Microsoft YaHei"/>
        </w:rPr>
        <w:t>页面内容：先选择带年度权重的典型日，再查看电平衡、热平衡、冷平衡和储能状态。下方标签页提供容量、多能调度、成本、碳排和诊断原始表。</w:t>
      </w:r>
    </w:p>
    <w:p>
      <w:r>
        <w:rPr>
          <w:rFonts w:ascii="Calibri" w:hAnsi="Calibri" w:eastAsia="Microsoft YaHei"/>
        </w:rPr>
        <w:t>实现方式：V17使用典型日与</w:t>
      </w:r>
      <w:r>
        <w:rPr>
          <w:rStyle w:val="CodeInline"/>
        </w:rPr>
        <w:t>day_weight</w:t>
      </w:r>
      <w:r>
        <w:rPr>
          <w:rFonts w:ascii="Calibri" w:hAnsi="Calibri" w:eastAsia="Microsoft YaHei"/>
        </w:rPr>
        <w:t>折算年度结果。页面按</w:t>
      </w:r>
      <w:r>
        <w:rPr>
          <w:rStyle w:val="CodeInline"/>
        </w:rPr>
        <w:t>day_id</w:t>
      </w:r>
      <w:r>
        <w:rPr>
          <w:rFonts w:ascii="Calibri" w:hAnsi="Calibri" w:eastAsia="Microsoft YaHei"/>
        </w:rPr>
        <w:t>过滤调度表，只改变显示，不重新求解。容量表来自规划变量，成本与碳排表来自后处理，诊断表包含平衡误差、求解器状态和边界使用情况。</w:t>
      </w:r>
    </w:p>
    <w:p>
      <w:r>
        <w:rPr>
          <w:rFonts w:ascii="Calibri" w:hAnsi="Calibri" w:eastAsia="Microsoft YaHei"/>
        </w:rPr>
        <w:t>检查要点：解释年度指标时必须包含典型日权重；不能把单日曲线直接相加当作年度总量。</w:t>
      </w:r>
    </w:p>
    <w:p>
      <w:pPr>
        <w:pStyle w:val="Heading3"/>
      </w:pPr>
      <w:r>
        <w:t>6.8 调度综合指标</w:t>
      </w:r>
    </w:p>
    <w:p>
      <w:r>
        <w:rPr>
          <w:rFonts w:ascii="Calibri" w:hAnsi="Calibri" w:eastAsia="Microsoft YaHei"/>
        </w:rPr>
        <w:t>适用模式：快速电力滚动调度。</w:t>
      </w:r>
    </w:p>
    <w:p>
      <w:r>
        <w:rPr>
          <w:rFonts w:ascii="Calibri" w:hAnsi="Calibri" w:eastAsia="Microsoft YaHei"/>
        </w:rPr>
        <w:t>页面内容：关键指标卡、指标柱状图与明细表、RPS/CO2/CEEP约束执行检查、各滚动窗口目标值和末端SOC、容量规划结果。</w:t>
      </w:r>
    </w:p>
    <w:p>
      <w:r>
        <w:rPr>
          <w:rFonts w:ascii="Calibri" w:hAnsi="Calibri" w:eastAsia="Microsoft YaHei"/>
        </w:rPr>
        <w:t>实现方式：指标由调度表聚合。CO2年度上限按本次滚动小时数折算为模拟期上限；约束检查用小容差比较目标与结果。</w:t>
      </w:r>
    </w:p>
    <w:p>
      <w:r>
        <w:rPr>
          <w:rFonts w:ascii="Calibri" w:hAnsi="Calibri" w:eastAsia="Microsoft YaHei"/>
        </w:rPr>
        <w:t>讲解重点：滚动日志证明模型不是一次性静态求解，末端SOC从一个窗口传到下一个窗口。</w:t>
      </w:r>
    </w:p>
    <w:p>
      <w:pPr>
        <w:pStyle w:val="Heading3"/>
      </w:pPr>
      <w:r>
        <w:t>6.9 综合规划指标</w:t>
      </w:r>
    </w:p>
    <w:p>
      <w:r>
        <w:rPr>
          <w:rFonts w:ascii="Calibri" w:hAnsi="Calibri" w:eastAsia="Microsoft YaHei"/>
        </w:rPr>
        <w:t>适用模式：V17综合能源规划。</w:t>
      </w:r>
    </w:p>
    <w:p>
      <w:r>
        <w:rPr>
          <w:rFonts w:ascii="Calibri" w:hAnsi="Calibri" w:eastAsia="Microsoft YaHei"/>
        </w:rPr>
        <w:t>页面内容：年度碳排、购电、弃电率和服务率；指标按能源、经济、环境、可靠性、园区与P2X分组；“全部”页保留完整指标；执行追溯显示摘要与模型元数据。</w:t>
      </w:r>
    </w:p>
    <w:p>
      <w:r>
        <w:rPr>
          <w:rFonts w:ascii="Calibri" w:hAnsi="Calibri" w:eastAsia="Microsoft YaHei"/>
        </w:rPr>
        <w:t>实现方式：统一模型服务把V17指标表转换为键值指标，同时保留原表。页面按指标英文名称的稳定模式分组，不修改数值。</w:t>
      </w:r>
    </w:p>
    <w:p>
      <w:r>
        <w:rPr>
          <w:rFonts w:ascii="Calibri" w:hAnsi="Calibri" w:eastAsia="Microsoft YaHei"/>
        </w:rPr>
        <w:t>检查要点：区分私人年成本、碳外部成本、社会总成本和目标函数成本；只有启用碳价内化时碳外部成本才进入优化目标。</w:t>
      </w:r>
    </w:p>
    <w:p>
      <w:pPr>
        <w:pStyle w:val="Heading3"/>
      </w:pPr>
      <w:r>
        <w:t>6.10 S0—S8场景对比</w:t>
      </w:r>
    </w:p>
    <w:p>
      <w:r>
        <w:rPr>
          <w:rFonts w:ascii="Calibri" w:hAnsi="Calibri" w:eastAsia="Microsoft YaHei"/>
        </w:rPr>
        <w:t>适用模式：V17综合能源规划。</w:t>
      </w:r>
    </w:p>
    <w:p>
      <w:r>
        <w:rPr>
          <w:rFonts w:ascii="Calibri" w:hAnsi="Calibri" w:eastAsia="Microsoft YaHei"/>
        </w:rPr>
        <w:t>页面目标：以相同时间分辨率和随机种子逐个真实求解选择的场景，不使用静态对比数据。</w:t>
      </w:r>
    </w:p>
    <w:p>
      <w:r>
        <w:rPr>
          <w:rFonts w:ascii="Calibri" w:hAnsi="Calibri" w:eastAsia="Microsoft YaHei"/>
        </w:rPr>
        <w:t>操作方式：选择场景，演示时用60分钟分辨率，点击“运行真实场景对比”。页面给出成功数量、最低成本、最低碳和最大减排场景，绘制成本碳排图与成本—碳排前沿，并可下载总表和各场景原始ZIP。</w:t>
      </w:r>
    </w:p>
    <w:p>
      <w:r>
        <w:rPr>
          <w:rFonts w:ascii="Calibri" w:hAnsi="Calibri" w:eastAsia="Microsoft YaHei"/>
        </w:rPr>
        <w:t>实现方式：</w:t>
      </w:r>
      <w:r>
        <w:rPr>
          <w:rStyle w:val="CodeInline"/>
        </w:rPr>
        <w:t>ScenarioComparisonService</w:t>
      </w:r>
      <w:r>
        <w:rPr>
          <w:rFonts w:ascii="Calibri" w:hAnsi="Calibri" w:eastAsia="Microsoft YaHei"/>
        </w:rPr>
        <w:t>逐一调用</w:t>
      </w:r>
      <w:r>
        <w:rPr>
          <w:rStyle w:val="CodeInline"/>
        </w:rPr>
        <w:t>UnifiedModelService</w:t>
      </w:r>
      <w:r>
        <w:rPr>
          <w:rFonts w:ascii="Calibri" w:hAnsi="Calibri" w:eastAsia="Microsoft YaHei"/>
        </w:rPr>
        <w:t>。以成功的S0为基准计算减排量、减排比例、成本变化和平均减排成本。若某场景失败，其错误保留在总表与清单，不用占位值替代。</w:t>
      </w:r>
    </w:p>
    <w:p>
      <w:pPr>
        <w:pStyle w:val="Heading3"/>
      </w:pPr>
      <w:r>
        <w:t>6.11 绿电直连规划</w:t>
      </w:r>
    </w:p>
    <w:p>
      <w:r>
        <w:rPr>
          <w:rFonts w:ascii="Calibri" w:hAnsi="Calibri" w:eastAsia="Microsoft YaHei"/>
        </w:rPr>
        <w:t>快速模式下，页面把当前滚动期用电量和绿电量按滚动天数折算为年度，计算目标绿电量与缺口。用户输入规划期、三类电源成本、损耗和固定工程费，系统比较园区内新增、虚拟电厂聚合和绿电基地专线三类方案。</w:t>
      </w:r>
    </w:p>
    <w:p>
      <w:r>
        <w:rPr>
          <w:rFonts w:ascii="Calibri" w:hAnsi="Calibri" w:eastAsia="Microsoft YaHei"/>
        </w:rPr>
        <w:t>综合模式下，页面直接读取V17内生结果中的园区绿电、直连、P2X和电解槽指标，并比较V17输出的三类年度成本，不使用页面固定数字重算模型结论。</w:t>
      </w:r>
    </w:p>
    <w:p>
      <w:r>
        <w:rPr>
          <w:rFonts w:ascii="Calibri" w:hAnsi="Calibri" w:eastAsia="Microsoft YaHei"/>
        </w:rPr>
        <w:t>实现方式：快速模式由</w:t>
      </w:r>
      <w:r>
        <w:rPr>
          <w:rStyle w:val="CodeInline"/>
        </w:rPr>
        <w:t>GreenDirectService.evaluate</w:t>
      </w:r>
      <w:r>
        <w:rPr>
          <w:rFonts w:ascii="Calibri" w:hAnsi="Calibri" w:eastAsia="Microsoft YaHei"/>
        </w:rPr>
        <w:t>计算，综合模式由</w:t>
      </w:r>
      <w:r>
        <w:rPr>
          <w:rStyle w:val="CodeInline"/>
        </w:rPr>
        <w:t>from_v17_metrics</w:t>
      </w:r>
      <w:r>
        <w:rPr>
          <w:rFonts w:ascii="Calibri" w:hAnsi="Calibri" w:eastAsia="Microsoft YaHei"/>
        </w:rPr>
        <w:t>映射结果。最低成本只是经济筛选推荐，工程落地还需要电网接入、土地、线路走廊、合同和可靠性评估。</w:t>
      </w:r>
    </w:p>
    <w:p>
      <w:pPr>
        <w:pStyle w:val="Heading3"/>
      </w:pPr>
      <w:r>
        <w:t>6.12 结果导出</w:t>
      </w:r>
    </w:p>
    <w:p>
      <w:r>
        <w:rPr>
          <w:rFonts w:ascii="Calibri" w:hAnsi="Calibri" w:eastAsia="Microsoft YaHei"/>
        </w:rPr>
        <w:t>快速模式导出输入摘要、使用的时序、调度、投资、指标、滚动日志和图。综合模式导出容量、调度、成本、碳排、指标、诊断、输入曲线、场景定义和执行清单。</w:t>
      </w:r>
    </w:p>
    <w:p>
      <w:r>
        <w:rPr>
          <w:rFonts w:ascii="Calibri" w:hAnsi="Calibri" w:eastAsia="Microsoft YaHei"/>
        </w:rPr>
        <w:t>实现方式：成果包包含平台版本、模型版本、场景摘要和执行元数据。后台保存时额外记录URI和SHA-256，用于检查文件是否被修改。</w:t>
      </w:r>
    </w:p>
    <w:p>
      <w:r>
        <w:rPr>
          <w:rFonts w:ascii="Calibri" w:hAnsi="Calibri" w:eastAsia="Microsoft YaHei"/>
        </w:rPr>
        <w:t>交接要求：任何对外结论都应和原始成果包一起归档；不要只保存截图。</w:t>
      </w:r>
    </w:p>
    <w:p>
      <w:pPr>
        <w:pStyle w:val="Heading3"/>
      </w:pPr>
      <w:r>
        <w:t>6.13 工程架构</w:t>
      </w:r>
    </w:p>
    <w:p>
      <w:r>
        <w:rPr>
          <w:rFonts w:ascii="Calibri" w:hAnsi="Calibri" w:eastAsia="Microsoft YaHei"/>
        </w:rPr>
        <w:t>页面目标：向非开发人员解释交互、应用服务、双模型、项目任务和运维模块，以及核心算法和严谨性边界。</w:t>
      </w:r>
    </w:p>
    <w:p>
      <w:r>
        <w:rPr>
          <w:rFonts w:ascii="Calibri" w:hAnsi="Calibri" w:eastAsia="Microsoft YaHei"/>
        </w:rPr>
        <w:t>实现方式：页面内容与本手册一致，算法列表同时覆盖快速调度、综合能源、预测、场景比较、绿电直连和任务可靠性。</w:t>
      </w:r>
    </w:p>
    <w:p>
      <w:pPr>
        <w:pStyle w:val="Heading2"/>
      </w:pPr>
      <w:r>
        <w:t>7. 算法实现说明</w:t>
      </w:r>
    </w:p>
    <w:p>
      <w:pPr>
        <w:pStyle w:val="Heading3"/>
      </w:pPr>
      <w:r>
        <w:t>7.1 快速调度线性规划</w:t>
      </w:r>
    </w:p>
    <w:p>
      <w:r>
        <w:rPr>
          <w:rFonts w:ascii="Calibri" w:hAnsi="Calibri" w:eastAsia="Microsoft YaHei"/>
        </w:rPr>
        <w:t>每个时段的主要变量包括光伏出力、风电出力、气电出力、电网购电、电网售电、储能充电、储能放电、SOC、弃电和缺电。目标函数最小化燃气成本、购电成本、储能使用成本、弃电惩罚和缺电惩罚，并扣除售电收入。</w:t>
      </w:r>
    </w:p>
    <w:p>
      <w:r>
        <w:rPr>
          <w:rFonts w:ascii="Calibri" w:hAnsi="Calibri" w:eastAsia="Microsoft YaHei"/>
        </w:rPr>
        <w:t>电力平衡可概括为：风光实际出力 + 气电 + 购电 + 放电 + 缺电 = 负荷 + 充电 + 售电 + 弃电。</w:t>
      </w:r>
    </w:p>
    <w:p>
      <w:r>
        <w:rPr>
          <w:rFonts w:ascii="Calibri" w:hAnsi="Calibri" w:eastAsia="Microsoft YaHei"/>
        </w:rPr>
        <w:t>设备变量受可用出力、额定容量和电网交换上限约束。SOC递推为：本期SOC = 上期SOC乘以保留率 + 充电乘以充电效率 - 放电除以放电效率。第一时段使用继承的初始SOC。</w:t>
      </w:r>
    </w:p>
    <w:p>
      <w:r>
        <w:rPr>
          <w:rFonts w:ascii="Calibri" w:hAnsi="Calibri" w:eastAsia="Microsoft YaHei"/>
        </w:rPr>
        <w:t>RPS约束限制风光发电量相对供能规模的最低比例；CO2约束用气电出力乘排放因子并按模拟小时折算年度上限；CEEP约束限制弃电量相对负荷的比例。求解使用</w:t>
      </w:r>
      <w:r>
        <w:rPr>
          <w:rStyle w:val="CodeInline"/>
        </w:rPr>
        <w:t>scipy.optimize.linprog</w:t>
      </w:r>
      <w:r>
        <w:rPr>
          <w:rFonts w:ascii="Calibri" w:hAnsi="Calibri" w:eastAsia="Microsoft YaHei"/>
        </w:rPr>
        <w:t>的HiGHS后端。</w:t>
      </w:r>
    </w:p>
    <w:p>
      <w:pPr>
        <w:pStyle w:val="Heading3"/>
      </w:pPr>
      <w:r>
        <w:t>7.2 48小时滚动时域优化</w:t>
      </w:r>
    </w:p>
    <w:p>
      <w:r>
        <w:rPr>
          <w:rFonts w:ascii="Calibri" w:hAnsi="Calibri" w:eastAsia="Microsoft YaHei"/>
        </w:rPr>
        <w:t>模型为每个运行日构建48小时预测窗口，只保存前24小时为已执行结果。保存段最后一个SOC作为下一窗口初始状态。若运行N天，则产生N个滚动窗口和24N小时最终调度。</w:t>
      </w:r>
    </w:p>
    <w:p>
      <w:r>
        <w:rPr>
          <w:rFonts w:ascii="Calibri" w:hAnsi="Calibri" w:eastAsia="Microsoft YaHei"/>
        </w:rPr>
        <w:t>这种做法同时保留对次日状态的前瞻和跨日储能连续性。窗口目标函数值用于诊断，不应直接相加解释为全生命周期成本，正式成本以最终保存调度和投资口径汇总。</w:t>
      </w:r>
    </w:p>
    <w:p>
      <w:pPr>
        <w:pStyle w:val="Heading3"/>
      </w:pPr>
      <w:r>
        <w:t>7.3 快速容量预规划</w:t>
      </w:r>
    </w:p>
    <w:p>
      <w:r>
        <w:rPr>
          <w:rFonts w:ascii="Calibri" w:hAnsi="Calibri" w:eastAsia="Microsoft YaHei"/>
        </w:rPr>
        <w:t>容量预规划根据年需求、现有容量、投资开关和上限生成光伏、风电与储能增量，再把规划容量送入滚动运行。它用于快速决策，不等同于V17把全部规划与运行变量联立求解的综合容量优化。</w:t>
      </w:r>
    </w:p>
    <w:p>
      <w:pPr>
        <w:pStyle w:val="Heading3"/>
      </w:pPr>
      <w:r>
        <w:t>7.4 V17综合能源LP/MILP</w:t>
      </w:r>
    </w:p>
    <w:p>
      <w:r>
        <w:rPr>
          <w:rFonts w:ascii="Calibri" w:hAnsi="Calibri" w:eastAsia="Microsoft YaHei"/>
        </w:rPr>
        <w:t>V17同时包含规划容量变量和典型日运行变量。容量包括光伏、风电、CHP、热泵、电制冷、燃气锅炉、电储能能量与功率、蓄热能量与功率，以及启用时的电解槽。</w:t>
      </w:r>
    </w:p>
    <w:p>
      <w:r>
        <w:rPr>
          <w:rFonts w:ascii="Calibri" w:hAnsi="Calibri" w:eastAsia="Microsoft YaHei"/>
        </w:rPr>
        <w:t>运行侧联立电、热和冷平衡。CHP把燃气转换为电与热，热泵用电供热，电制冷用电供冷，燃气锅炉供热，电储能与蓄热跨时段递推，柔性负荷执行日内能量守恒，可中断负荷承担高惩罚成本。非关键负荷允许以VOLL表示的高成本缺供，关键服务和年度EENS约束保证可靠性口径。</w:t>
      </w:r>
    </w:p>
    <w:p>
      <w:r>
        <w:rPr>
          <w:rFonts w:ascii="Calibri" w:hAnsi="Calibri" w:eastAsia="Microsoft YaHei"/>
        </w:rPr>
        <w:t>年度目标由资本回收因子折算的年化投资、固定运维、燃料、购售电、需量、储能退化、柔性负荷、弃能、缺供和其他运行成本组成。碳价内化开启时加入碳外部成本；结果同时报告私人年成本、社会年成本和目标函数成本，避免混淆。</w:t>
      </w:r>
    </w:p>
    <w:p>
      <w:r>
        <w:rPr>
          <w:rFonts w:ascii="Calibri" w:hAnsi="Calibri" w:eastAsia="Microsoft YaHei"/>
        </w:rPr>
        <w:t>线性场景使用HiGHS LP。启用严格充放电互斥或购售电互斥等离散约束时使用HiGHS MILP，并受时间上限和相对间隙控制。</w:t>
      </w:r>
    </w:p>
    <w:p>
      <w:pPr>
        <w:pStyle w:val="Heading3"/>
      </w:pPr>
      <w:r>
        <w:t>7.5 典型日与年度折算</w:t>
      </w:r>
    </w:p>
    <w:p>
      <w:r>
        <w:rPr>
          <w:rFonts w:ascii="Calibri" w:hAnsi="Calibri" w:eastAsia="Microsoft YaHei"/>
        </w:rPr>
        <w:t>V17输入中的每个典型日带</w:t>
      </w:r>
      <w:r>
        <w:rPr>
          <w:rStyle w:val="CodeInline"/>
        </w:rPr>
        <w:t>day_weight</w:t>
      </w:r>
      <w:r>
        <w:rPr>
          <w:rFonts w:ascii="Calibri" w:hAnsi="Calibri" w:eastAsia="Microsoft YaHei"/>
        </w:rPr>
        <w:t>。时段能量先乘时间步长，再乘典型日权重汇总为年度量。容量变量不乘权重。多能流页面展示单个典型日，指标页面展示加权年度结果。</w:t>
      </w:r>
    </w:p>
    <w:p>
      <w:pPr>
        <w:pStyle w:val="Heading3"/>
      </w:pPr>
      <w:r>
        <w:t>7.6 S0—S8定义</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1767"/>
        <w:gridCol w:w="4872"/>
        <w:gridCol w:w="2721"/>
      </w:tblGrid>
      <w:tr>
        <w:trPr>
          <w:tblHeader w:val="true"/>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场景</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核心变化</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主要用途</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无碳上限、无储能、无柔性负荷</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基准系统</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碳上限与碳成本</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低碳约束影响</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S2</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S1加电储能和蓄热</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储能贡献</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S3</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S1加可转移负荷</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柔性负荷贡献</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S4</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碳、储能、柔性负荷协同</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核心源荷储场景</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S5</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偏远低空负荷、本地新能源和孤岛保障</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韧性增强</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S6</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产业园绿电、利用率和更严碳约束</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净零园区筛查</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S7</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低空、园区、微电网、绿电直连综合</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综合展示场景</w:t>
            </w:r>
          </w:p>
        </w:tc>
      </w:tr>
      <w:tr>
        <w:trPr>
          <w:cantSplit/>
        </w:trPr>
        <w:tc>
          <w:tcPr>
            <w:tcW w:type="dxa" w:w="176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w:t>
            </w:r>
          </w:p>
        </w:tc>
        <w:tc>
          <w:tcPr>
            <w:tcW w:type="dxa" w:w="487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更严绿电与碳配额，内生P2X/绿氢</w:t>
            </w:r>
          </w:p>
        </w:tc>
        <w:tc>
          <w:tcPr>
            <w:tcW w:type="dxa" w:w="272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深度脱碳场景</w:t>
            </w:r>
          </w:p>
        </w:tc>
      </w:tr>
    </w:tbl>
    <w:p>
      <w:pPr>
        <w:spacing w:after="40"/>
      </w:pPr>
    </w:p>
    <w:p>
      <w:pPr>
        <w:pStyle w:val="Heading3"/>
      </w:pPr>
      <w:r>
        <w:t>7.7 P2X与绿氢</w:t>
      </w:r>
    </w:p>
    <w:p>
      <w:r>
        <w:rPr>
          <w:rFonts w:ascii="Calibri" w:hAnsi="Calibri" w:eastAsia="Microsoft YaHei"/>
        </w:rPr>
        <w:t>启用内生P2X后，电解槽容量、逐时用电、绿氢产量和氢替代工艺热进入优化变量与约束。电解槽耗电受容量上限和可再生电量占比限制；氢产量由单位制氢电耗换算；替代热量由氢低位热值和锅炉效率换算；避免的燃气排放按替代热量、锅炉效率和燃气排放因子计算。</w:t>
      </w:r>
    </w:p>
    <w:p>
      <w:r>
        <w:rPr>
          <w:rFonts w:ascii="Calibri" w:hAnsi="Calibri" w:eastAsia="Microsoft YaHei"/>
        </w:rPr>
        <w:t>该模块是园区规划筛查，不是详细氢网络、储氢安全或设备动态模型。</w:t>
      </w:r>
    </w:p>
    <w:p>
      <w:pPr>
        <w:pStyle w:val="Heading3"/>
      </w:pPr>
      <w:r>
        <w:t>7.8 预测基准与评估</w:t>
      </w:r>
    </w:p>
    <w:p>
      <w:r>
        <w:rPr>
          <w:rFonts w:ascii="Calibri" w:hAnsi="Calibri" w:eastAsia="Microsoft YaHei"/>
        </w:rPr>
        <w:t>季节朴素预测取前96个15分钟点的同一时刻值。近期均值预测取最近96个点的均值。验证集默认最近7天，共672点。</w:t>
      </w:r>
    </w:p>
    <w:p>
      <w:r>
        <w:rPr>
          <w:rFonts w:ascii="Calibri" w:hAnsi="Calibri" w:eastAsia="Microsoft YaHei"/>
        </w:rPr>
        <w:t>MAE是绝对误差均值；RMSE是平方误差均方根；sMAPE使用实际值与预测值绝对值之和进行对称归一化。平台先按MAE、再按RMSE排序选择基准。预测版本由算法、目标、训练截止、预测起点和96点范围的规范载荷生成。</w:t>
      </w:r>
    </w:p>
    <w:p>
      <w:pPr>
        <w:pStyle w:val="Heading3"/>
      </w:pPr>
      <w:r>
        <w:t>7.9 场景比较与平均减排成本</w:t>
      </w:r>
    </w:p>
    <w:p>
      <w:r>
        <w:rPr>
          <w:rFonts w:ascii="Calibri" w:hAnsi="Calibri" w:eastAsia="Microsoft YaHei"/>
        </w:rPr>
        <w:t>相对S0减排量 = S0年度CO2 - 当前场景年度CO2。减排比例 = 减排量 / S0年度CO2。成本变化 = 当前社会年成本 - S0社会年成本。只有减排量为正时才计算平均减排成本：成本变化 / 减排量。</w:t>
      </w:r>
    </w:p>
    <w:p>
      <w:pPr>
        <w:pStyle w:val="Heading3"/>
      </w:pPr>
      <w:r>
        <w:t>7.10 绿电直连成本</w:t>
      </w:r>
    </w:p>
    <w:p>
      <w:r>
        <w:rPr>
          <w:rFonts w:ascii="Calibri" w:hAnsi="Calibri" w:eastAsia="Microsoft YaHei"/>
        </w:rPr>
        <w:t>年度目标绿电 = 年用电量乘目标绿电占比。年度缺口取目标绿电减当前绿电与0的较大值。考虑损耗后需采购电量 = 缺口 / (1 - 损耗率)。规划期成本 = 需采购电量乘LCOE乘规划年数，再加固定工程费。系统在三类方案中选择成本最低者。</w:t>
      </w:r>
    </w:p>
    <w:p>
      <w:pPr>
        <w:pStyle w:val="Heading3"/>
      </w:pPr>
      <w:r>
        <w:t>7.11 任务租约、幂等和失败恢复</w:t>
      </w:r>
    </w:p>
    <w:p>
      <w:r>
        <w:rPr>
          <w:rFonts w:ascii="Calibri" w:hAnsi="Calibri" w:eastAsia="Microsoft YaHei"/>
        </w:rPr>
        <w:t>项目与幂等键组成数据库唯一索引。Worker在</w:t>
      </w:r>
      <w:r>
        <w:rPr>
          <w:rStyle w:val="CodeInline"/>
        </w:rPr>
        <w:t>BEGIN IMMEDIATE</w:t>
      </w:r>
      <w:r>
        <w:rPr>
          <w:rFonts w:ascii="Calibri" w:hAnsi="Calibri" w:eastAsia="Microsoft YaHei"/>
        </w:rPr>
        <w:t>事务中领取最早排队任务，并同时写入所有者、租约截止和尝试次数。运行期间定时心跳续租。租约过期且未达到最大次数时重新排队；达到上限时标记</w:t>
      </w:r>
      <w:r>
        <w:rPr>
          <w:rStyle w:val="CodeInline"/>
        </w:rPr>
        <w:t>WORKER_LEASE_EXPIRED</w:t>
      </w:r>
      <w:r>
        <w:rPr>
          <w:rFonts w:ascii="Calibri" w:hAnsi="Calibri" w:eastAsia="Microsoft YaHei"/>
        </w:rPr>
        <w:t>。完成或失败写入必须匹配当前Worker，防止旧进程覆盖结果。</w:t>
      </w:r>
    </w:p>
    <w:p>
      <w:pPr>
        <w:pStyle w:val="Heading3"/>
      </w:pPr>
      <w:r>
        <w:t>7.12 备份、恢复与完整性</w:t>
      </w:r>
    </w:p>
    <w:p>
      <w:r>
        <w:rPr>
          <w:rFonts w:ascii="Calibri" w:hAnsi="Calibri" w:eastAsia="Microsoft YaHei"/>
        </w:rPr>
        <w:t>备份使用SQLite在线备份接口复制一致性数据库，再与成果文件写入ZIP。清单记录平台版本、时间、文件大小和SHA-256。验证同时检查危险路径、ZIP损坏、文件大小、校验和与</w:t>
      </w:r>
      <w:r>
        <w:rPr>
          <w:rStyle w:val="CodeInline"/>
        </w:rPr>
        <w:t>PRAGMA integrity_check</w:t>
      </w:r>
      <w:r>
        <w:rPr>
          <w:rFonts w:ascii="Calibri" w:hAnsi="Calibri" w:eastAsia="Microsoft YaHei"/>
        </w:rPr>
        <w:t>。</w:t>
      </w:r>
    </w:p>
    <w:p>
      <w:r>
        <w:rPr>
          <w:rFonts w:ascii="Calibri" w:hAnsi="Calibri" w:eastAsia="Microsoft YaHei"/>
        </w:rPr>
        <w:t>恢复前必须停止API和Worker。覆盖已有数据库时系统先创建</w:t>
      </w:r>
      <w:r>
        <w:rPr>
          <w:rStyle w:val="CodeInline"/>
        </w:rPr>
        <w:t>pre-restore</w:t>
      </w:r>
      <w:r>
        <w:rPr>
          <w:rFonts w:ascii="Calibri" w:hAnsi="Calibri" w:eastAsia="Microsoft YaHei"/>
        </w:rPr>
        <w:t>回滚包，再用同目录临时文件原子替换数据库。</w:t>
      </w:r>
    </w:p>
    <w:p>
      <w:pPr>
        <w:pStyle w:val="Heading2"/>
      </w:pPr>
      <w:r>
        <w:t>8. 数据字典</w:t>
      </w:r>
    </w:p>
    <w:p>
      <w:pPr>
        <w:pStyle w:val="Heading3"/>
      </w:pPr>
      <w:r>
        <w:t>8.1 15分钟输入</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284"/>
        <w:gridCol w:w="1354"/>
        <w:gridCol w:w="1522"/>
        <w:gridCol w:w="3200"/>
      </w:tblGrid>
      <w:tr>
        <w:trPr>
          <w:tblHeader w:val="true"/>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字段</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必填</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单位</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规则</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timestamp</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是</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ISO-8601</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严格递增、无重复、间隔15分钟</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electric_load_mw</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是</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MW</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数值且不小于0</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pv_available_mw</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是</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MW</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数值且不小于0</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wind_available_mw</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是</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MW</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数值且不小于0</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electricity_price_cny_per_mwh</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是</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CNY/MWh</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数值，可按市场规则允许负价</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heat_load_mwth</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否</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MWth</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数值且不小于0</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cooling_load_mwc</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否</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MWc</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数值且不小于0</w:t>
            </w:r>
          </w:p>
        </w:tc>
      </w:tr>
      <w:tr>
        <w:trPr>
          <w:cantSplit/>
        </w:trPr>
        <w:tc>
          <w:tcPr>
            <w:tcW w:type="dxa" w:w="328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temperature_c</w:t>
            </w:r>
          </w:p>
        </w:tc>
        <w:tc>
          <w:tcPr>
            <w:tcW w:type="dxa" w:w="135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否</w:t>
            </w:r>
          </w:p>
        </w:tc>
        <w:tc>
          <w:tcPr>
            <w:tcW w:type="dxa" w:w="152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摄氏度</w:t>
            </w:r>
          </w:p>
        </w:tc>
        <w:tc>
          <w:tcPr>
            <w:tcW w:type="dxa" w:w="3200"/>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数值</w:t>
            </w:r>
          </w:p>
        </w:tc>
      </w:tr>
    </w:tbl>
    <w:p>
      <w:pPr>
        <w:spacing w:after="40"/>
      </w:pPr>
    </w:p>
    <w:p>
      <w:pPr>
        <w:pStyle w:val="Heading3"/>
      </w:pPr>
      <w:r>
        <w:t>8.2 快速调度主要输出</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664"/>
        <w:gridCol w:w="5696"/>
      </w:tblGrid>
      <w:tr>
        <w:trPr>
          <w:tblHeader w:val="true"/>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输出</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说明</w:t>
            </w:r>
          </w:p>
        </w:tc>
      </w:tr>
      <w:tr>
        <w:trPr>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dispatch_results</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逐时电源、购售电、充放电、SOC、弃电和缺电</w:t>
            </w:r>
          </w:p>
        </w:tc>
      </w:tr>
      <w:tr>
        <w:trPr>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investment_results</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光伏、风电和储能规划增量</w:t>
            </w:r>
          </w:p>
        </w:tc>
      </w:tr>
      <w:tr>
        <w:trPr>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key_indicators</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用电、绿电、碳排、弃电、缺电和成本指标</w:t>
            </w:r>
          </w:p>
        </w:tc>
      </w:tr>
      <w:tr>
        <w:trPr>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rolling_log</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窗口编号、末端SOC和48小时目标值</w:t>
            </w:r>
          </w:p>
        </w:tc>
      </w:tr>
      <w:tr>
        <w:trPr>
          <w:cantSplit/>
        </w:trPr>
        <w:tc>
          <w:tcPr>
            <w:tcW w:type="dxa" w:w="36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execution.json</w:t>
            </w:r>
          </w:p>
        </w:tc>
        <w:tc>
          <w:tcPr>
            <w:tcW w:type="dxa" w:w="56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平台、模型、场景和执行摘要</w:t>
            </w:r>
          </w:p>
        </w:tc>
      </w:tr>
    </w:tbl>
    <w:p>
      <w:pPr>
        <w:spacing w:after="40"/>
      </w:pPr>
    </w:p>
    <w:p>
      <w:pPr>
        <w:pStyle w:val="Heading3"/>
      </w:pPr>
      <w:r>
        <w:t>8.3 V17主要输出</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907"/>
        <w:gridCol w:w="6453"/>
      </w:tblGrid>
      <w:tr>
        <w:trPr>
          <w:tblHeader w:val="true"/>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输出</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说明</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capacity</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各设备与储能规划容量</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dispatch</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典型日逐时多能流、储能、柔性负荷和P2X</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cost</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年化资本、运维、运行、私人和社会成本</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carbon</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年度排放、上限与松弛量</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metrics</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能源、经济、环境、可靠性、园区和P2X指标</w:t>
            </w:r>
          </w:p>
        </w:tc>
      </w:tr>
      <w:tr>
        <w:trPr>
          <w:cantSplit/>
        </w:trPr>
        <w:tc>
          <w:tcPr>
            <w:tcW w:type="dxa" w:w="2907"/>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diagnostics</w:t>
            </w:r>
          </w:p>
        </w:tc>
        <w:tc>
          <w:tcPr>
            <w:tcW w:type="dxa" w:w="6453"/>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平衡误差、求解器、容量边界和MILP信息</w:t>
            </w:r>
          </w:p>
        </w:tc>
      </w:tr>
    </w:tbl>
    <w:p>
      <w:pPr>
        <w:spacing w:after="40"/>
      </w:pPr>
    </w:p>
    <w:p>
      <w:pPr>
        <w:pStyle w:val="Heading2"/>
      </w:pPr>
      <w:r>
        <w:t>9. API与权限</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444"/>
        <w:gridCol w:w="3145"/>
        <w:gridCol w:w="2771"/>
      </w:tblGrid>
      <w:tr>
        <w:trPr>
          <w:tblHeader w:val="true"/>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接口</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作用</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权限</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/health</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应用、版本和模型目录健康信息</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无需业务令牌</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/ready</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数据库就绪检查</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无需业务令牌</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/metrics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各状态任务数量</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建议仅运维网络访问</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 /api/v1/auth/token</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用启动密钥换短期令牌</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启动密钥</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/api/v1/models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模型目录</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已认证用户</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POST/GET /api/v1/projects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创建或读取项目</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写入需管理员/工程师</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 /api/v1/projects/{id}/scenarios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创建场景版本</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管理员/工程师且为所有者</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 /api/v1/projects/{id}/jobs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创建任务</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管理员/工程师且为所有者</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/api/v1/jobs</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查询自己的任务</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已认证用户</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POST /api/v1/jobs/{id}/transition</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取消任务</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管理员/工程师且为创建者</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/api/v1/jobs/{id}/result</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读取自己的结果</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已认证用户</w:t>
            </w:r>
          </w:p>
        </w:tc>
      </w:tr>
      <w:tr>
        <w:trPr>
          <w:cantSplit/>
        </w:trPr>
        <w:tc>
          <w:tcPr>
            <w:tcW w:type="dxa" w:w="344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GET /api/v1/audit</w:t>
            </w:r>
          </w:p>
        </w:tc>
        <w:tc>
          <w:tcPr>
            <w:tcW w:type="dxa" w:w="3145"/>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全局审计查询</w:t>
            </w:r>
          </w:p>
        </w:tc>
        <w:tc>
          <w:tcPr>
            <w:tcW w:type="dxa" w:w="2771"/>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管理员</w:t>
            </w:r>
          </w:p>
        </w:tc>
      </w:tr>
    </w:tbl>
    <w:p>
      <w:pPr>
        <w:spacing w:after="40"/>
      </w:pPr>
    </w:p>
    <w:p>
      <w:r>
        <w:rPr>
          <w:rFonts w:ascii="Calibri" w:hAnsi="Calibri" w:eastAsia="Microsoft YaHei"/>
        </w:rPr>
        <w:t>认证关闭只允许本机或受控内网。令牌模式适合试点，但不替代SSO、MFA和集中身份生命周期。</w:t>
      </w:r>
    </w:p>
    <w:p>
      <w:pPr>
        <w:pStyle w:val="Heading2"/>
      </w:pPr>
      <w:r>
        <w:t>10. 部署、发布与回滚</w:t>
      </w:r>
    </w:p>
    <w:p>
      <w:pPr>
        <w:pStyle w:val="Heading3"/>
      </w:pPr>
      <w:r>
        <w:t>10.1 发布前</w:t>
      </w:r>
    </w:p>
    <w:p>
      <w:pPr>
        <w:pStyle w:val="ListNumber"/>
        <w:numPr>
          <w:ilvl w:val="0"/>
          <w:numId w:val="11"/>
        </w:numPr>
      </w:pPr>
      <w:r>
        <w:rPr>
          <w:rFonts w:ascii="Calibri" w:hAnsi="Calibri" w:eastAsia="Microsoft YaHei"/>
        </w:rPr>
        <w:t>从</w:t>
      </w:r>
      <w:r>
        <w:rPr>
          <w:rStyle w:val="CodeInline"/>
        </w:rPr>
        <w:t>.env.example</w:t>
      </w:r>
      <w:r>
        <w:rPr>
          <w:rFonts w:ascii="Calibri" w:hAnsi="Calibri" w:eastAsia="Microsoft YaHei"/>
        </w:rPr>
        <w:t>生成部署环境配置，替换密钥，不提交</w:t>
      </w:r>
      <w:r>
        <w:rPr>
          <w:rStyle w:val="CodeInline"/>
        </w:rPr>
        <w:t>.env</w:t>
      </w:r>
      <w:r>
        <w:rPr>
          <w:rFonts w:ascii="Calibri" w:hAnsi="Calibri" w:eastAsia="Microsoft YaHei"/>
        </w:rPr>
        <w:t>。</w:t>
      </w:r>
    </w:p>
    <w:p>
      <w:pPr>
        <w:pStyle w:val="ListNumber"/>
        <w:numPr>
          <w:ilvl w:val="0"/>
          <w:numId w:val="11"/>
        </w:numPr>
      </w:pPr>
      <w:r>
        <w:rPr>
          <w:rFonts w:ascii="Calibri" w:hAnsi="Calibri" w:eastAsia="Microsoft YaHei"/>
        </w:rPr>
        <w:t>执行</w:t>
      </w:r>
      <w:r>
        <w:rPr>
          <w:rStyle w:val="CodeInline"/>
        </w:rPr>
        <w:t>python scripts/deployment_preflight.py --profile all --require-api --check-api</w:t>
      </w:r>
      <w:r>
        <w:rPr>
          <w:rFonts w:ascii="Calibri" w:hAnsi="Calibri" w:eastAsia="Microsoft YaHei"/>
        </w:rPr>
        <w:t>。</w:t>
      </w:r>
    </w:p>
    <w:p>
      <w:pPr>
        <w:pStyle w:val="ListNumber"/>
        <w:numPr>
          <w:ilvl w:val="0"/>
          <w:numId w:val="11"/>
        </w:numPr>
      </w:pPr>
      <w:r>
        <w:rPr>
          <w:rFonts w:ascii="Calibri" w:hAnsi="Calibri" w:eastAsia="Microsoft YaHei"/>
        </w:rPr>
        <w:t>执行Ruff、编译和全量测试。</w:t>
      </w:r>
    </w:p>
    <w:p>
      <w:pPr>
        <w:pStyle w:val="ListNumber"/>
        <w:numPr>
          <w:ilvl w:val="0"/>
          <w:numId w:val="11"/>
        </w:numPr>
      </w:pPr>
      <w:r>
        <w:rPr>
          <w:rFonts w:ascii="Calibri" w:hAnsi="Calibri" w:eastAsia="Microsoft YaHei"/>
        </w:rPr>
        <w:t>创建并校验备份，记录旧镜像标签和Git提交。</w:t>
      </w:r>
    </w:p>
    <w:p>
      <w:pPr>
        <w:pStyle w:val="ListNumber"/>
        <w:numPr>
          <w:ilvl w:val="0"/>
          <w:numId w:val="11"/>
        </w:numPr>
      </w:pPr>
      <w:r>
        <w:rPr>
          <w:rFonts w:ascii="Calibri" w:hAnsi="Calibri" w:eastAsia="Microsoft YaHei"/>
        </w:rPr>
        <w:t>通过CI构建Docker镜像。</w:t>
      </w:r>
    </w:p>
    <w:p>
      <w:pPr>
        <w:pStyle w:val="Heading3"/>
      </w:pPr>
      <w:r>
        <w:t>10.2 启动后</w:t>
      </w:r>
    </w:p>
    <w:p>
      <w:pPr>
        <w:pStyle w:val="ListNumber"/>
        <w:numPr>
          <w:ilvl w:val="0"/>
          <w:numId w:val="12"/>
        </w:numPr>
      </w:pPr>
      <w:r>
        <w:rPr>
          <w:rFonts w:ascii="Calibri" w:hAnsi="Calibri" w:eastAsia="Microsoft YaHei"/>
        </w:rPr>
        <w:t>检查</w:t>
      </w:r>
      <w:r>
        <w:rPr>
          <w:rStyle w:val="CodeInline"/>
        </w:rPr>
        <w:t>/ready</w:t>
      </w:r>
      <w:r>
        <w:rPr>
          <w:rFonts w:ascii="Calibri" w:hAnsi="Calibri" w:eastAsia="Microsoft YaHei"/>
        </w:rPr>
        <w:t>和</w:t>
      </w:r>
      <w:r>
        <w:rPr>
          <w:rStyle w:val="CodeInline"/>
        </w:rPr>
        <w:t>/health</w:t>
      </w:r>
      <w:r>
        <w:rPr>
          <w:rFonts w:ascii="Calibri" w:hAnsi="Calibri" w:eastAsia="Microsoft YaHei"/>
        </w:rPr>
        <w:t>。</w:t>
      </w:r>
    </w:p>
    <w:p>
      <w:pPr>
        <w:pStyle w:val="ListNumber"/>
        <w:numPr>
          <w:ilvl w:val="0"/>
          <w:numId w:val="12"/>
        </w:numPr>
      </w:pPr>
      <w:r>
        <w:rPr>
          <w:rFonts w:ascii="Calibri" w:hAnsi="Calibri" w:eastAsia="Microsoft YaHei"/>
        </w:rPr>
        <w:t>检查</w:t>
      </w:r>
      <w:r>
        <w:rPr>
          <w:rStyle w:val="CodeInline"/>
        </w:rPr>
        <w:t>/metrics</w:t>
      </w:r>
      <w:r>
        <w:rPr>
          <w:rFonts w:ascii="Calibri" w:hAnsi="Calibri" w:eastAsia="Microsoft YaHei"/>
        </w:rPr>
        <w:t>能返回任务状态。</w:t>
      </w:r>
    </w:p>
    <w:p>
      <w:pPr>
        <w:pStyle w:val="ListNumber"/>
        <w:numPr>
          <w:ilvl w:val="0"/>
          <w:numId w:val="12"/>
        </w:numPr>
      </w:pPr>
      <w:r>
        <w:rPr>
          <w:rFonts w:ascii="Calibri" w:hAnsi="Calibri" w:eastAsia="Microsoft YaHei"/>
        </w:rPr>
        <w:t>创建测试项目、场景和小任务。</w:t>
      </w:r>
    </w:p>
    <w:p>
      <w:pPr>
        <w:pStyle w:val="ListNumber"/>
        <w:numPr>
          <w:ilvl w:val="0"/>
          <w:numId w:val="12"/>
        </w:numPr>
      </w:pPr>
      <w:r>
        <w:rPr>
          <w:rFonts w:ascii="Calibri" w:hAnsi="Calibri" w:eastAsia="Microsoft YaHei"/>
        </w:rPr>
        <w:t>确认任务只执行一次、成果可读取、审计记录存在。</w:t>
      </w:r>
    </w:p>
    <w:p>
      <w:pPr>
        <w:pStyle w:val="ListNumber"/>
        <w:numPr>
          <w:ilvl w:val="0"/>
          <w:numId w:val="12"/>
        </w:numPr>
      </w:pPr>
      <w:r>
        <w:rPr>
          <w:rFonts w:ascii="Calibri" w:hAnsi="Calibri" w:eastAsia="Microsoft YaHei"/>
        </w:rPr>
        <w:t>检查JSON日志中请求编号和任务编号可关联。</w:t>
      </w:r>
    </w:p>
    <w:p>
      <w:pPr>
        <w:pStyle w:val="Heading3"/>
      </w:pPr>
      <w:r>
        <w:t>10.3 回滚</w:t>
      </w:r>
    </w:p>
    <w:p>
      <w:r>
        <w:rPr>
          <w:rFonts w:ascii="Calibri" w:hAnsi="Calibri" w:eastAsia="Microsoft YaHei"/>
        </w:rPr>
        <w:t>先回滚镜像。只有数据库变更不向后兼容或数据损坏时才恢复发布前备份。恢复在维护窗口完成，随后检查数据库、项目列表、历史任务和一个成果包。</w:t>
      </w:r>
    </w:p>
    <w:p>
      <w:pPr>
        <w:pStyle w:val="Heading2"/>
      </w:pPr>
      <w:r>
        <w:t>11. 测试与验收</w:t>
      </w:r>
    </w:p>
    <w:p>
      <w:r>
        <w:rPr>
          <w:rFonts w:ascii="Calibri" w:hAnsi="Calibri" w:eastAsia="Microsoft YaHei"/>
        </w:rPr>
        <w:t>自动测试覆盖实时默认场景、V17 S0/S4/S8黄金指标、统一模型服务、页面导入、数据契约、预测、绿电直连、场景比较、API角色、任务租约、并发领取、过期恢复、备份恢复和危险路径拦截。</w:t>
      </w:r>
    </w:p>
    <w:p>
      <w:r>
        <w:rPr>
          <w:rFonts w:ascii="Calibri" w:hAnsi="Calibri" w:eastAsia="Microsoft YaHei"/>
        </w:rPr>
        <w:t>v0.7.0发布门禁为Ruff通过、Python编译通过、部署前检查通过、57项自动测试通过、独立备份恢复演练通过。Docker镜像构建在GitHub Actions中执行；若未推送或未创建面向</w:t>
      </w:r>
      <w:r>
        <w:rPr>
          <w:rStyle w:val="CodeInline"/>
        </w:rPr>
        <w:t>main</w:t>
      </w:r>
      <w:r>
        <w:rPr>
          <w:rFonts w:ascii="Calibri" w:hAnsi="Calibri" w:eastAsia="Microsoft YaHei"/>
        </w:rPr>
        <w:t>的PR，不能把远端镜像门禁视为通过。</w:t>
      </w:r>
    </w:p>
    <w:p>
      <w:pPr>
        <w:pStyle w:val="Heading2"/>
      </w:pPr>
      <w:r>
        <w:t>12. 维护与扩展指南</w:t>
      </w:r>
    </w:p>
    <w:p>
      <w:r>
        <w:rPr>
          <w:rFonts w:ascii="Calibri" w:hAnsi="Calibri" w:eastAsia="Microsoft YaHei"/>
        </w:rPr>
        <w:t>新增页面业务规则应进入</w:t>
      </w:r>
      <w:r>
        <w:rPr>
          <w:rStyle w:val="CodeInline"/>
        </w:rPr>
        <w:t>src/core</w:t>
      </w:r>
      <w:r>
        <w:rPr>
          <w:rFonts w:ascii="Calibri" w:hAnsi="Calibri" w:eastAsia="Microsoft YaHei"/>
        </w:rPr>
        <w:t>或</w:t>
      </w:r>
      <w:r>
        <w:rPr>
          <w:rStyle w:val="CodeInline"/>
        </w:rPr>
        <w:t>src/application</w:t>
      </w:r>
      <w:r>
        <w:rPr>
          <w:rFonts w:ascii="Calibri" w:hAnsi="Calibri" w:eastAsia="Microsoft YaHei"/>
        </w:rPr>
        <w:t>，</w:t>
      </w:r>
      <w:r>
        <w:rPr>
          <w:rStyle w:val="CodeInline"/>
        </w:rPr>
        <w:t>app.py</w:t>
      </w:r>
      <w:r>
        <w:rPr>
          <w:rFonts w:ascii="Calibri" w:hAnsi="Calibri" w:eastAsia="Microsoft YaHei"/>
        </w:rPr>
        <w:t>只负责交互和展示。新增模型需要注册</w:t>
      </w:r>
      <w:r>
        <w:rPr>
          <w:rStyle w:val="CodeInline"/>
        </w:rPr>
        <w:t>ModelSpec</w:t>
      </w:r>
      <w:r>
        <w:rPr>
          <w:rFonts w:ascii="Calibri" w:hAnsi="Calibri" w:eastAsia="Microsoft YaHei"/>
        </w:rPr>
        <w:t>，实现统一结果结构，并增加黄金回归。新增输入字段要同时更新契约、验证、载荷版本、页面、接口测试和手册。</w:t>
      </w:r>
    </w:p>
    <w:p>
      <w:r>
        <w:rPr>
          <w:rFonts w:ascii="Calibri" w:hAnsi="Calibri" w:eastAsia="Microsoft YaHei"/>
        </w:rPr>
        <w:t>要扩展到高可用，优先实现PostgreSQL仓储适配器、专业任务队列适配器和S3成果存储适配器，不应让页面直接依赖具体数据库或云存储。迁移必须演练数据转换、幂等、租约语义和故障切换。</w:t>
      </w:r>
    </w:p>
    <w:p>
      <w:r>
        <w:rPr>
          <w:rFonts w:ascii="Calibri" w:hAnsi="Calibri" w:eastAsia="Microsoft YaHei"/>
        </w:rPr>
        <w:t>预测升级应保留时间顺序验证，禁止随机打乱未来数据进入训练集。复杂模型必须和当前透明基准比较，并记录训练区间、超参数、数据校验和与模型版本。</w:t>
      </w:r>
    </w:p>
    <w:p>
      <w:pPr>
        <w:pStyle w:val="Heading2"/>
      </w:pPr>
      <w:r>
        <w:t>13. 常见故障处理</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3164"/>
        <w:gridCol w:w="3032"/>
        <w:gridCol w:w="3164"/>
      </w:tblGrid>
      <w:tr>
        <w:trPr>
          <w:tblHeader w:val="true"/>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现象</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判断</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处理</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Community Cloud显示Oh no</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应用启动异常或依赖/代码错误</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打开Manage app日志，定位首个异常；确认分支、入口和依赖</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项目与任务显示单机演示</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未配置独立API</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若只演示无需处理；完整部署时配置HTTPS API地址</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Push提示SSL/TLS handshake failed</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本机到GitHub的TLS连接失败</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检查网络、代理和系统时间，恢复后重试，不要重复提交</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快速模型不可行</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约束过严或交换容量不足</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放宽RPS/CO2/CEEP或提高容量后重算</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V17求解很慢</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时间分辨率或场景数量高</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演示改用60分钟，批量任务交给后台Worker</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15分钟数据不通过</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缺列、时间错误、缺点或非法值</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按字段、CSV行号和时间戳逐项修正</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任务长期运行</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Worker失联或模型耗时</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查</w:t>
            </w:r>
            <w:r>
              <w:rPr>
                <w:rStyle w:val="CodeInline"/>
                <w:rFonts w:ascii="Calibri" w:hAnsi="Calibri" w:eastAsia="Microsoft YaHei"/>
                <w:b w:val="0"/>
                <w:color w:val="000000"/>
                <w:sz w:val="18"/>
              </w:rPr>
              <w:t>job_id</w:t>
            </w:r>
            <w:r>
              <w:rPr>
                <w:rFonts w:ascii="Calibri" w:hAnsi="Calibri" w:eastAsia="Microsoft YaHei"/>
                <w:b w:val="0"/>
                <w:color w:val="000000"/>
                <w:sz w:val="18"/>
              </w:rPr>
              <w:t>日志、心跳与租约；等待恢复或人工取消</w:t>
            </w:r>
          </w:p>
        </w:tc>
      </w:tr>
      <w:tr>
        <w:trPr>
          <w:cantSplit/>
        </w:trPr>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恢复时数据库被占用</w:t>
            </w:r>
          </w:p>
        </w:tc>
        <w:tc>
          <w:tcPr>
            <w:tcW w:type="dxa" w:w="3032"/>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API/Worker未停止或仍有文件句柄</w:t>
            </w:r>
          </w:p>
        </w:tc>
        <w:tc>
          <w:tcPr>
            <w:tcW w:type="dxa" w:w="3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进入维护窗口，停止进程后重新验证与恢复</w:t>
            </w:r>
          </w:p>
        </w:tc>
      </w:tr>
    </w:tbl>
    <w:p>
      <w:pPr>
        <w:spacing w:after="40"/>
      </w:pPr>
    </w:p>
    <w:p>
      <w:pPr>
        <w:pStyle w:val="Heading2"/>
      </w:pPr>
      <w:r>
        <w:t>14. 外部材料与知识产权边界</w:t>
      </w:r>
    </w:p>
    <w:p>
      <w:r>
        <w:rPr>
          <w:rFonts w:ascii="Calibri" w:hAnsi="Calibri" w:eastAsia="Microsoft YaHei"/>
        </w:rPr>
        <w:t>用户提供的微能量管理系统资料、北方工业大学视频和参考截图仅用于理解业务方向与展示需求。v0.7.0没有复制其中受限制页面、品牌素材、源码或数据，平台实现、页面结构、算法和手册均以当前仓库可验证内容为准。对外交付前仍应由项目方确认所有客户数据、地图、图片、视频和第三方材料的使用授权。</w:t>
      </w:r>
    </w:p>
    <w:p>
      <w:pPr>
        <w:pStyle w:val="Heading2"/>
      </w:pPr>
      <w:r>
        <w:t>15. 交接签收建议</w:t>
      </w:r>
    </w:p>
    <w:p>
      <w:r>
        <w:rPr>
          <w:rFonts w:ascii="Calibri" w:hAnsi="Calibri" w:eastAsia="Microsoft YaHei"/>
        </w:rPr>
        <w:t>交接会议至少完成一次快速调度、一次V17 S4、一次15分钟预测、一次S0/S4/S8比较、一次成果下载、一次后台任务、一次备份校验和一次隔离恢复。产品、算法、工程和运维负责人分别确认页面口径、模型边界、部署环境、密钥责任和数据保留策略后再签收。</w:t>
      </w:r>
    </w:p>
    <w:p>
      <w:pPr>
        <w:pageBreakBefore/>
        <w:spacing w:before="480" w:after="360"/>
        <w:jc w:val="center"/>
      </w:pPr>
      <w:r>
        <w:rPr>
          <w:rFonts w:ascii="Calibri" w:hAnsi="Calibri" w:eastAsia="Microsoft YaHei"/>
          <w:b/>
          <w:color w:val="0B2545"/>
          <w:sz w:val="38"/>
        </w:rPr>
        <w:t>第二部分  ·  逐页面演示讲稿</w:t>
      </w:r>
    </w:p>
    <w:p>
      <w:pPr>
        <w:pStyle w:val="Heading2"/>
      </w:pPr>
      <w:r>
        <w:t>1. 演示前5分钟检查</w:t>
      </w:r>
    </w:p>
    <w:p>
      <w:pPr>
        <w:pStyle w:val="ListNumber"/>
        <w:numPr>
          <w:ilvl w:val="0"/>
          <w:numId w:val="13"/>
        </w:numPr>
      </w:pPr>
      <w:r>
        <w:rPr>
          <w:rFonts w:ascii="Calibri" w:hAnsi="Calibri" w:eastAsia="Microsoft YaHei"/>
        </w:rPr>
        <w:t>提前打开平台网址并等待首页完整出现，避免Community Cloud休眠唤醒占用演示时间。</w:t>
      </w:r>
    </w:p>
    <w:p>
      <w:pPr>
        <w:pStyle w:val="ListNumber"/>
        <w:numPr>
          <w:ilvl w:val="0"/>
          <w:numId w:val="13"/>
        </w:numPr>
      </w:pPr>
      <w:r>
        <w:rPr>
          <w:rFonts w:ascii="Calibri" w:hAnsi="Calibri" w:eastAsia="Microsoft YaHei"/>
        </w:rPr>
        <w:t>确认侧栏可切换“快速电力滚动调度”和“V17综合能源规划”。</w:t>
      </w:r>
    </w:p>
    <w:p>
      <w:pPr>
        <w:pStyle w:val="ListNumber"/>
        <w:numPr>
          <w:ilvl w:val="0"/>
          <w:numId w:val="13"/>
        </w:numPr>
      </w:pPr>
      <w:r>
        <w:rPr>
          <w:rFonts w:ascii="Calibri" w:hAnsi="Calibri" w:eastAsia="Microsoft YaHei"/>
        </w:rPr>
        <w:t>快速模式先用默认参数运行一次；综合模式先用S4、60分钟、随机种子42运行一次。</w:t>
      </w:r>
    </w:p>
    <w:p>
      <w:pPr>
        <w:pStyle w:val="ListNumber"/>
        <w:numPr>
          <w:ilvl w:val="0"/>
          <w:numId w:val="13"/>
        </w:numPr>
      </w:pPr>
      <w:r>
        <w:rPr>
          <w:rFonts w:ascii="Calibri" w:hAnsi="Calibri" w:eastAsia="Microsoft YaHei"/>
        </w:rPr>
        <w:t>数据页提前加载14天示例并生成预测。正式讲解时仍可重新点击，但已有结果可作为网络或求解延迟时的备用。</w:t>
      </w:r>
    </w:p>
    <w:p>
      <w:pPr>
        <w:pStyle w:val="ListNumber"/>
        <w:numPr>
          <w:ilvl w:val="0"/>
          <w:numId w:val="13"/>
        </w:numPr>
      </w:pPr>
      <w:r>
        <w:rPr>
          <w:rFonts w:ascii="Calibri" w:hAnsi="Calibri" w:eastAsia="Microsoft YaHei"/>
        </w:rPr>
        <w:t>若完整后台未部署，确认“项目与任务”显示单机演示模式。讲解时明确这是Cloud只部署UI的正常状态。</w:t>
      </w:r>
    </w:p>
    <w:p>
      <w:pPr>
        <w:pStyle w:val="ListNumber"/>
        <w:numPr>
          <w:ilvl w:val="0"/>
          <w:numId w:val="13"/>
        </w:numPr>
      </w:pPr>
      <w:r>
        <w:rPr>
          <w:rFonts w:ascii="Calibri" w:hAnsi="Calibri" w:eastAsia="Microsoft YaHei"/>
        </w:rPr>
        <w:t>关闭无关标签页和通知，浏览器缩放保持100%，准备一个本地成果ZIP作为下载备用。</w:t>
      </w:r>
    </w:p>
    <w:p>
      <w:pPr>
        <w:pStyle w:val="Heading2"/>
      </w:pPr>
      <w:r>
        <w:t>2. 15分钟主线演示</w:t>
      </w:r>
    </w:p>
    <w:p>
      <w:pPr>
        <w:pStyle w:val="Heading3"/>
      </w:pPr>
      <w:r>
        <w:t>2.1 开场：平台概览，约1分钟</w:t>
      </w:r>
    </w:p>
    <w:p>
      <w:r>
        <w:rPr>
          <w:rFonts w:ascii="Calibri" w:hAnsi="Calibri" w:eastAsia="Microsoft YaHei"/>
        </w:rPr>
        <w:t>操作：打开“平台概览”，侧栏保持“快速电力滚动调度”。</w:t>
      </w:r>
    </w:p>
    <w:p>
      <w:r>
        <w:rPr>
          <w:rFonts w:ascii="Calibri" w:hAnsi="Calibri" w:eastAsia="Microsoft YaHei"/>
        </w:rPr>
        <w:t>讲稿：</w:t>
      </w:r>
    </w:p>
    <w:p>
      <w:r>
        <w:rPr>
          <w:rFonts w:ascii="Calibri" w:hAnsi="Calibri" w:eastAsia="Microsoft YaHei"/>
        </w:rPr>
        <w:t>“这是园区低碳规划与绿电直连优化平台。它不是一张预先制作的结果大屏，而是把模型选择、参数配置、优化求解、指标校核、方案比较和成果导出串成一个可复现流程。平台目前有两类模型：第一类是快速电力滚动调度，适合快速分析风光、气电、电网和储能；第二类是V17综合能源规划，进一步联立电、热、冷、气、储能、柔性负荷、碳约束和P2X。页面上的结果都来自当前求解，参数变化后需要重新运行。”</w:t>
      </w:r>
    </w:p>
    <w:p>
      <w:r>
        <w:rPr>
          <w:rFonts w:ascii="Calibri" w:hAnsi="Calibri" w:eastAsia="Microsoft YaHei"/>
        </w:rPr>
        <w:t>指向“业务流程”四张卡：</w:t>
      </w:r>
    </w:p>
    <w:p>
      <w:r>
        <w:rPr>
          <w:rFonts w:ascii="Calibri" w:hAnsi="Calibri" w:eastAsia="Microsoft YaHei"/>
        </w:rPr>
        <w:t>“整个工作流是模型选型、系统配置、优化求解和决策交付。后台部署后，还可以把每次参数保存成场景版本并形成可追溯任务。”</w:t>
      </w:r>
    </w:p>
    <w:p>
      <w:pPr>
        <w:pStyle w:val="Heading3"/>
      </w:pPr>
      <w:r>
        <w:t>2.2 快速模式配置，约2分钟</w:t>
      </w:r>
    </w:p>
    <w:p>
      <w:r>
        <w:rPr>
          <w:rFonts w:ascii="Calibri" w:hAnsi="Calibri" w:eastAsia="Microsoft YaHei"/>
        </w:rPr>
        <w:t>操作：进入“参数配置与运行”。</w:t>
      </w:r>
    </w:p>
    <w:p>
      <w:r>
        <w:rPr>
          <w:rFonts w:ascii="Calibri" w:hAnsi="Calibri" w:eastAsia="Microsoft YaHei"/>
        </w:rPr>
        <w:t>讲稿：</w:t>
      </w:r>
    </w:p>
    <w:p>
      <w:r>
        <w:rPr>
          <w:rFonts w:ascii="Calibri" w:hAnsi="Calibri" w:eastAsia="Microsoft YaHei"/>
        </w:rPr>
        <w:t>“这里先定义园区的系统边界。基础场景包括年用电需求、规划周期、滚动天数、购售电价格和电网交换容量。下面三组政策约束分别是最低绿电占比、年度碳排上限和最大弃电率。设备、储能、燃料和投资成本都可以编辑。源荷数据既可以上传8760小时CSV，也可以由平台生成可复现的典型曲线。”</w:t>
      </w:r>
    </w:p>
    <w:p>
      <w:r>
        <w:rPr>
          <w:rFonts w:ascii="Calibri" w:hAnsi="Calibri" w:eastAsia="Microsoft YaHei"/>
        </w:rPr>
        <w:t>操作：保持默认参数，指向“允许自动规划”，点击“开始实时优化调度”。</w:t>
      </w:r>
    </w:p>
    <w:p>
      <w:r>
        <w:rPr>
          <w:rFonts w:ascii="Calibri" w:hAnsi="Calibri" w:eastAsia="Microsoft YaHei"/>
        </w:rPr>
        <w:t>讲稿：</w:t>
      </w:r>
    </w:p>
    <w:p>
      <w:r>
        <w:rPr>
          <w:rFonts w:ascii="Calibri" w:hAnsi="Calibri" w:eastAsia="Microsoft YaHei"/>
        </w:rPr>
        <w:t>“模型会先做容量预规划，再使用线性规划进行滚动调度。每次看未来48小时，但只保存前24小时执行结果，下一窗口继承前一窗口末端SOC。这能避免每天独立计算导致储能状态断裂。”</w:t>
      </w:r>
    </w:p>
    <w:p>
      <w:r>
        <w:rPr>
          <w:rFonts w:ascii="Calibri" w:hAnsi="Calibri" w:eastAsia="Microsoft YaHei"/>
        </w:rPr>
        <w:t>等待完成后：</w:t>
      </w:r>
    </w:p>
    <w:p>
      <w:r>
        <w:rPr>
          <w:rFonts w:ascii="Calibri" w:hAnsi="Calibri" w:eastAsia="Microsoft YaHei"/>
        </w:rPr>
        <w:t>“四张结果卡已经由本次求解刷新，说明参数、模型和后续页面已经形成闭环。”</w:t>
      </w:r>
    </w:p>
    <w:p>
      <w:pPr>
        <w:pStyle w:val="Heading3"/>
      </w:pPr>
      <w:r>
        <w:t>2.3 快速结果与约束，约2分钟</w:t>
      </w:r>
    </w:p>
    <w:p>
      <w:r>
        <w:rPr>
          <w:rFonts w:ascii="Calibri" w:hAnsi="Calibri" w:eastAsia="Microsoft YaHei"/>
        </w:rPr>
        <w:t>操作：进入“实时结果图”。</w:t>
      </w:r>
    </w:p>
    <w:p>
      <w:r>
        <w:rPr>
          <w:rFonts w:ascii="Calibri" w:hAnsi="Calibri" w:eastAsia="Microsoft YaHei"/>
        </w:rPr>
        <w:t>讲稿：</w:t>
      </w:r>
    </w:p>
    <w:p>
      <w:r>
        <w:rPr>
          <w:rFonts w:ascii="Calibri" w:hAnsi="Calibri" w:eastAsia="Microsoft YaHei"/>
        </w:rPr>
        <w:t>“第一张图展示负荷如何由风光、气电、购电和储能共同满足。储能图展示充放电与SOC，供需平衡图用于检查每个时段的能量守恒，购售电响应图把价格和电网交换放在一起。展开明细可以追溯到逐小时数据。”</w:t>
      </w:r>
    </w:p>
    <w:p>
      <w:r>
        <w:rPr>
          <w:rFonts w:ascii="Calibri" w:hAnsi="Calibri" w:eastAsia="Microsoft YaHei"/>
        </w:rPr>
        <w:t>操作：进入“调度综合指标”。</w:t>
      </w:r>
    </w:p>
    <w:p>
      <w:r>
        <w:rPr>
          <w:rFonts w:ascii="Calibri" w:hAnsi="Calibri" w:eastAsia="Microsoft YaHei"/>
        </w:rPr>
        <w:t>讲稿：</w:t>
      </w:r>
    </w:p>
    <w:p>
      <w:r>
        <w:rPr>
          <w:rFonts w:ascii="Calibri" w:hAnsi="Calibri" w:eastAsia="Microsoft YaHei"/>
        </w:rPr>
        <w:t>“这里不是只给一个成本数字，而是把经济、低碳、可靠性和约束执行放到同一页。RPS、CO2和弃电率会逐项显示目标、结果和是否满足。下方滚动日志保留每个48小时窗口的目标值和保存段末端SOC，因此可以验证滚动算法确实执行。”</w:t>
      </w:r>
    </w:p>
    <w:p>
      <w:pPr>
        <w:pStyle w:val="Heading3"/>
      </w:pPr>
      <w:r>
        <w:t>2.4 绿电直连与导出，约2分钟</w:t>
      </w:r>
    </w:p>
    <w:p>
      <w:r>
        <w:rPr>
          <w:rFonts w:ascii="Calibri" w:hAnsi="Calibri" w:eastAsia="Microsoft YaHei"/>
        </w:rPr>
        <w:t>操作：进入“绿电直连规划”。</w:t>
      </w:r>
    </w:p>
    <w:p>
      <w:r>
        <w:rPr>
          <w:rFonts w:ascii="Calibri" w:hAnsi="Calibri" w:eastAsia="Microsoft YaHei"/>
        </w:rPr>
        <w:t>讲稿：</w:t>
      </w:r>
    </w:p>
    <w:p>
      <w:r>
        <w:rPr>
          <w:rFonts w:ascii="Calibri" w:hAnsi="Calibri" w:eastAsia="Microsoft YaHei"/>
        </w:rPr>
        <w:t>“平台先把当前滚动结果折算为年度用电和年度绿电，再计算目标绿电占比下的缺口。三类补充方式分别是园区内新增、虚拟电厂聚合和绿电基地专线。成本计算同时考虑电量、LCOE、规划年数、损耗和固定工程费。系统给出最低成本筛选结果，但工程落地还要进一步核对土地、线路走廊、电网接入和合同条件。”</w:t>
      </w:r>
    </w:p>
    <w:p>
      <w:r>
        <w:rPr>
          <w:rFonts w:ascii="Calibri" w:hAnsi="Calibri" w:eastAsia="Microsoft YaHei"/>
        </w:rPr>
        <w:t>操作：进入“结果导出”。</w:t>
      </w:r>
    </w:p>
    <w:p>
      <w:r>
        <w:rPr>
          <w:rFonts w:ascii="Calibri" w:hAnsi="Calibri" w:eastAsia="Microsoft YaHei"/>
        </w:rPr>
        <w:t>讲稿：</w:t>
      </w:r>
    </w:p>
    <w:p>
      <w:r>
        <w:rPr>
          <w:rFonts w:ascii="Calibri" w:hAnsi="Calibri" w:eastAsia="Microsoft YaHei"/>
        </w:rPr>
        <w:t>“一次计算可以导出输入、源荷时序、逐时调度、容量规划、指标、滚动日志和图表。项目交付时我们保存成果包，而不只保存页面截图，这样可以追溯平台版本、模型版本和场景输入。”</w:t>
      </w:r>
    </w:p>
    <w:p>
      <w:pPr>
        <w:pStyle w:val="Heading3"/>
      </w:pPr>
      <w:r>
        <w:t>2.5 V17综合规划，约3分钟</w:t>
      </w:r>
    </w:p>
    <w:p>
      <w:r>
        <w:rPr>
          <w:rFonts w:ascii="Calibri" w:hAnsi="Calibri" w:eastAsia="Microsoft YaHei"/>
        </w:rPr>
        <w:t>操作：侧栏切换“V17综合能源规划”，进入“参数配置与运行”。</w:t>
      </w:r>
    </w:p>
    <w:p>
      <w:r>
        <w:rPr>
          <w:rFonts w:ascii="Calibri" w:hAnsi="Calibri" w:eastAsia="Microsoft YaHei"/>
        </w:rPr>
        <w:t>讲稿：</w:t>
      </w:r>
    </w:p>
    <w:p>
      <w:r>
        <w:rPr>
          <w:rFonts w:ascii="Calibri" w:hAnsi="Calibri" w:eastAsia="Microsoft YaHei"/>
        </w:rPr>
        <w:t>“综合模式以S0到S8模板组织不同技术和政策路径。S0是基准；S1加入碳约束；S2、S3分别增加储能和柔性负荷；S4形成低碳源荷储协同；S5增加偏远低空微电网韧性；S6增加产业园区净零约束；S7综合低空、园区和绿电直连；S8进一步把P2X和绿氢作为优化内生决策。”</w:t>
      </w:r>
    </w:p>
    <w:p>
      <w:r>
        <w:rPr>
          <w:rFonts w:ascii="Calibri" w:hAnsi="Calibri" w:eastAsia="Microsoft YaHei"/>
        </w:rPr>
        <w:t>操作：选择S4、60分钟、随机种子42，依次点开设备、储能、柔性负荷、碳约束、绿电直连和P2X标签。</w:t>
      </w:r>
    </w:p>
    <w:p>
      <w:r>
        <w:rPr>
          <w:rFonts w:ascii="Calibri" w:hAnsi="Calibri" w:eastAsia="Microsoft YaHei"/>
        </w:rPr>
        <w:t>讲稿：</w:t>
      </w:r>
    </w:p>
    <w:p>
      <w:r>
        <w:rPr>
          <w:rFonts w:ascii="Calibri" w:hAnsi="Calibri" w:eastAsia="Microsoft YaHei"/>
        </w:rPr>
        <w:t>“页面参数不是简单覆盖显示，它们会合并为带结构版本的请求，执行范围和跨字段依赖校验，并生成参数指纹。演示使用60分钟以控制时间，正式研究可以选择30或15分钟。”</w:t>
      </w:r>
    </w:p>
    <w:p>
      <w:r>
        <w:rPr>
          <w:rFonts w:ascii="Calibri" w:hAnsi="Calibri" w:eastAsia="Microsoft YaHei"/>
        </w:rPr>
        <w:t>操作：点击“开始综合能源规划”。</w:t>
      </w:r>
    </w:p>
    <w:p>
      <w:r>
        <w:rPr>
          <w:rFonts w:ascii="Calibri" w:hAnsi="Calibri" w:eastAsia="Microsoft YaHei"/>
        </w:rPr>
        <w:t>讲稿：</w:t>
      </w:r>
    </w:p>
    <w:p>
      <w:r>
        <w:rPr>
          <w:rFonts w:ascii="Calibri" w:hAnsi="Calibri" w:eastAsia="Microsoft YaHei"/>
        </w:rPr>
        <w:t>“模型联立规划容量与典型日运行。目标函数包含年化投资、固定运维、燃料、购售电、需量、储能退化、柔性负荷、弃能、缺供，以及启用时的碳成本。电、热、冷平衡和设备转换效率在同一模型中求解。”</w:t>
      </w:r>
    </w:p>
    <w:p>
      <w:pPr>
        <w:pStyle w:val="Heading3"/>
      </w:pPr>
      <w:r>
        <w:t>2.6 多能流与综合指标，约2分钟</w:t>
      </w:r>
    </w:p>
    <w:p>
      <w:r>
        <w:rPr>
          <w:rFonts w:ascii="Calibri" w:hAnsi="Calibri" w:eastAsia="Microsoft YaHei"/>
        </w:rPr>
        <w:t>操作：进入“多能流结果”，选择一个典型日。</w:t>
      </w:r>
    </w:p>
    <w:p>
      <w:r>
        <w:rPr>
          <w:rFonts w:ascii="Calibri" w:hAnsi="Calibri" w:eastAsia="Microsoft YaHei"/>
        </w:rPr>
        <w:t>讲稿：</w:t>
      </w:r>
    </w:p>
    <w:p>
      <w:r>
        <w:rPr>
          <w:rFonts w:ascii="Calibri" w:hAnsi="Calibri" w:eastAsia="Microsoft YaHei"/>
        </w:rPr>
        <w:t>“这里展示一个带年度权重的典型日。电平衡、热平衡、冷平衡和电/热储能状态来自同一次求解。下面的容量、调度、成本、碳排和诊断表保留原始结果。年度指标使用典型日权重折算，不能把单日曲线直接当作年度总量。”</w:t>
      </w:r>
    </w:p>
    <w:p>
      <w:r>
        <w:rPr>
          <w:rFonts w:ascii="Calibri" w:hAnsi="Calibri" w:eastAsia="Microsoft YaHei"/>
        </w:rPr>
        <w:t>操作：进入“综合规划指标”。</w:t>
      </w:r>
    </w:p>
    <w:p>
      <w:r>
        <w:rPr>
          <w:rFonts w:ascii="Calibri" w:hAnsi="Calibri" w:eastAsia="Microsoft YaHei"/>
        </w:rPr>
        <w:t>讲稿：</w:t>
      </w:r>
    </w:p>
    <w:p>
      <w:r>
        <w:rPr>
          <w:rFonts w:ascii="Calibri" w:hAnsi="Calibri" w:eastAsia="Microsoft YaHei"/>
        </w:rPr>
        <w:t>“指标按能源、经济、环境、可靠性和园区与P2X分组。经济口径中特别区分私人年成本、碳外部成本、社会总成本和目标函数成本；可靠性侧用多能服务率、缺供和约束诊断检查方案是否只是低成本但不可用。”</w:t>
      </w:r>
    </w:p>
    <w:p>
      <w:pPr>
        <w:pStyle w:val="Heading3"/>
      </w:pPr>
      <w:r>
        <w:t>2.7 数据预测与场景比较，约2分钟</w:t>
      </w:r>
    </w:p>
    <w:p>
      <w:r>
        <w:rPr>
          <w:rFonts w:ascii="Calibri" w:hAnsi="Calibri" w:eastAsia="Microsoft YaHei"/>
        </w:rPr>
        <w:t>操作：进入“数据与预测”，点击“加载14天示例数据并检查”，再点击“评估基准并生成日前96点预测”。</w:t>
      </w:r>
    </w:p>
    <w:p>
      <w:r>
        <w:rPr>
          <w:rFonts w:ascii="Calibri" w:hAnsi="Calibri" w:eastAsia="Microsoft YaHei"/>
        </w:rPr>
        <w:t>讲稿：</w:t>
      </w:r>
    </w:p>
    <w:p>
      <w:r>
        <w:rPr>
          <w:rFonts w:ascii="Calibri" w:hAnsi="Calibri" w:eastAsia="Microsoft YaHei"/>
        </w:rPr>
        <w:t>“生产运行首先要求数据可用。契约会检查必填列、单位、重复时间、缺失点、15分钟间隔、数值和非负约束，并把错误定位到CSV行和时间戳。预测部分先比较前一日同刻的季节朴素法和最近96点均值法，用MAE、RMSE和sMAPE评估，再自动选择验证集更优的基准并生成带版本号的日前96点预测。日内请求继续继承预测版本和最新电、热储能SOC。”</w:t>
      </w:r>
    </w:p>
    <w:p>
      <w:r>
        <w:rPr>
          <w:rFonts w:ascii="Calibri" w:hAnsi="Calibri" w:eastAsia="Microsoft YaHei"/>
        </w:rPr>
        <w:t>操作：进入“场景对比”，现场时间紧时只选择S0、S4和S8，保持60分钟，点击“运行真实场景对比”。</w:t>
      </w:r>
    </w:p>
    <w:p>
      <w:r>
        <w:rPr>
          <w:rFonts w:ascii="Calibri" w:hAnsi="Calibri" w:eastAsia="Microsoft YaHei"/>
        </w:rPr>
        <w:t>讲稿：</w:t>
      </w:r>
    </w:p>
    <w:p>
      <w:r>
        <w:rPr>
          <w:rFonts w:ascii="Calibri" w:hAnsi="Calibri" w:eastAsia="Microsoft YaHei"/>
        </w:rPr>
        <w:t>“场景比较会逐个调用同一个V17模型，而不是读取一张写死的表。平台以S0为基准计算减排量、成本变化和平均减排成本，并把每个场景的原始成果包一起导出。完整评审可运行全部S0到S8。”</w:t>
      </w:r>
    </w:p>
    <w:p>
      <w:pPr>
        <w:pStyle w:val="Heading3"/>
      </w:pPr>
      <w:r>
        <w:t>2.8 收尾：工程架构，约1分钟</w:t>
      </w:r>
    </w:p>
    <w:p>
      <w:r>
        <w:rPr>
          <w:rFonts w:ascii="Calibri" w:hAnsi="Calibri" w:eastAsia="Microsoft YaHei"/>
        </w:rPr>
        <w:t>操作：进入“工程架构”。</w:t>
      </w:r>
    </w:p>
    <w:p>
      <w:r>
        <w:rPr>
          <w:rFonts w:ascii="Calibri" w:hAnsi="Calibri" w:eastAsia="Microsoft YaHei"/>
        </w:rPr>
        <w:t>讲稿：</w:t>
      </w:r>
    </w:p>
    <w:p>
      <w:r>
        <w:rPr>
          <w:rFonts w:ascii="Calibri" w:hAnsi="Calibri" w:eastAsia="Microsoft YaHei"/>
        </w:rPr>
        <w:t>“工程上，页面只负责交互；应用服务负责双模型路由、预测和比较；核心模块负责契约与验证；模型层负责求解；API、数据库和Worker负责项目化任务；日志、指标和备份恢复负责运维。后台任务通过幂等键、原子领取、租约心跳和旧Worker写保护避免重复执行。当前版本是单节点可交付系统，跨主机高可用仍需接入PostgreSQL、专业队列、对象存储和企业SSO。”</w:t>
      </w:r>
    </w:p>
    <w:p>
      <w:r>
        <w:rPr>
          <w:rFonts w:ascii="Calibri" w:hAnsi="Calibri" w:eastAsia="Microsoft YaHei"/>
        </w:rPr>
        <w:t>结束语：</w:t>
      </w:r>
    </w:p>
    <w:p>
      <w:r>
        <w:rPr>
          <w:rFonts w:ascii="Calibri" w:hAnsi="Calibri" w:eastAsia="Microsoft YaHei"/>
        </w:rPr>
        <w:t>“平台的核心价值是把多能规划算法变成可配置、可追溯、可比较和可交付的工程流程。它给出方案筛选与运行决策依据，同时清楚保留了接入审查和详细工程设计的专业边界。”</w:t>
      </w:r>
    </w:p>
    <w:p>
      <w:pPr>
        <w:pStyle w:val="Heading2"/>
      </w:pPr>
      <w:r>
        <w:t>3. 全页面扩展讲稿</w:t>
      </w:r>
    </w:p>
    <w:p>
      <w:pPr>
        <w:pStyle w:val="Heading3"/>
      </w:pPr>
      <w:r>
        <w:t>3.1 项目与任务页补充讲法</w:t>
      </w:r>
    </w:p>
    <w:p>
      <w:r>
        <w:rPr>
          <w:rFonts w:ascii="Calibri" w:hAnsi="Calibri" w:eastAsia="Microsoft YaHei"/>
        </w:rPr>
        <w:t>若显示单机演示模式：</w:t>
      </w:r>
    </w:p>
    <w:p>
      <w:r>
        <w:rPr>
          <w:rFonts w:ascii="Calibri" w:hAnsi="Calibri" w:eastAsia="Microsoft YaHei"/>
        </w:rPr>
        <w:t>“当前网址使用Community Cloud的UI部署，因此实时计算和导出正常，项目版本与后台历史暂未启用。这不是报错。完整交付会独立部署API和Worker，并把HTTPS后台地址注入前台。不能把127.0.0.1写成云端后台，因为那只指向云容器自身。”</w:t>
      </w:r>
    </w:p>
    <w:p>
      <w:r>
        <w:rPr>
          <w:rFonts w:ascii="Calibri" w:hAnsi="Calibri" w:eastAsia="Microsoft YaHei"/>
        </w:rPr>
        <w:t>若后台已连接：</w:t>
      </w:r>
    </w:p>
    <w:p>
      <w:r>
        <w:rPr>
          <w:rFonts w:ascii="Calibri" w:hAnsi="Calibri" w:eastAsia="Microsoft YaHei"/>
        </w:rPr>
        <w:t>“项目是业务隔离边界，场景是不可变版本，任务记录模型、状态、尝试次数和时间，结果记录摘要、指标、成果地址和校验和。客户端网络重试会复用幂等键，Worker失联后由租约机制恢复任务。”</w:t>
      </w:r>
    </w:p>
    <w:p>
      <w:pPr>
        <w:pStyle w:val="Heading3"/>
      </w:pPr>
      <w:r>
        <w:t>3.2 S0—S8逐场景一句话</w:t>
      </w:r>
    </w:p>
    <w:tbl>
      <w:tblPr>
        <w:tblStyle w:val="TableGrid"/>
        <w:tblW w:type="dxa" w:w="9360"/>
        <w:tblLayout w:type="fixed"/>
        <w:tblLook w:firstColumn="1" w:firstRow="1" w:lastColumn="0" w:lastRow="0" w:noHBand="0" w:noVBand="1" w:val="04A0"/>
        <w:tblInd w:w="120" w:type="dxa"/>
        <w:tblCellMar>
          <w:top w:w="80" w:type="dxa"/>
          <w:start w:w="120" w:type="dxa"/>
          <w:bottom w:w="80" w:type="dxa"/>
          <w:end w:w="120" w:type="dxa"/>
        </w:tblCellMar>
      </w:tblPr>
      <w:tblGrid>
        <w:gridCol w:w="2196"/>
        <w:gridCol w:w="7164"/>
      </w:tblGrid>
      <w:tr>
        <w:trPr>
          <w:tblHeader w:val="true"/>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场景</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shd w:fill="E8EEF5"/>
          </w:tcPr>
          <w:p>
            <w:pPr>
              <w:spacing w:before="0" w:after="40" w:line="264" w:lineRule="auto"/>
            </w:pPr>
            <w:r>
              <w:rPr>
                <w:rFonts w:ascii="Calibri" w:hAnsi="Calibri" w:eastAsia="Microsoft YaHei"/>
                <w:b/>
                <w:color w:val="0B2545"/>
                <w:sz w:val="18"/>
              </w:rPr>
            </w:r>
            <w:r>
              <w:rPr>
                <w:rFonts w:ascii="Calibri" w:hAnsi="Calibri" w:eastAsia="Microsoft YaHei"/>
                <w:b/>
                <w:color w:val="0B2545"/>
                <w:sz w:val="18"/>
              </w:rPr>
              <w:t>现场一句话</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S0</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“先建立没有额外低碳技术的基准成本和基准排放。”</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S1</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“单独观察碳约束和碳价带来的变化。”</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S2</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“在低碳约束上加入电储能和蓄热，看储能贡献。”</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S3</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“不用储能增量，单独观察柔性负荷贡献。”</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S4</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“把碳、储能和柔性负荷放在同一优化中协同。”</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S5</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“增加低空作业负荷、本地新能源和孤岛时长约束。”</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S6</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“强化产业园绿电覆盖、新能源利用率和碳上限。”</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S7</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“把低空、产业园、微电网和绿电直连综合展示。”</w:t>
            </w:r>
          </w:p>
        </w:tc>
      </w:tr>
      <w:tr>
        <w:trPr>
          <w:cantSplit/>
        </w:trPr>
        <w:tc>
          <w:tcPr>
            <w:tcW w:type="dxa" w:w="2196"/>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S8</w:t>
            </w:r>
          </w:p>
        </w:tc>
        <w:tc>
          <w:tcPr>
            <w:tcW w:type="dxa" w:w="7164"/>
            <w:vAlign w:val="center"/>
            <w:tcBorders>
              <w:top w:val="single" w:sz="4" w:color="C9D4E2"/>
              <w:left w:val="single" w:sz="4" w:color="C9D4E2"/>
              <w:bottom w:val="single" w:sz="4" w:color="C9D4E2"/>
              <w:right w:val="single" w:sz="4" w:color="C9D4E2"/>
              <w:insideH w:val="single" w:sz="4" w:color="C9D4E2"/>
              <w:insideV w:val="single" w:sz="4" w:color="C9D4E2"/>
            </w:tcBorders>
          </w:tcPr>
          <w:p>
            <w:pPr>
              <w:spacing w:before="0" w:after="40" w:line="264" w:lineRule="auto"/>
            </w:pPr>
            <w:r>
              <w:rPr>
                <w:rFonts w:ascii="Calibri" w:hAnsi="Calibri" w:eastAsia="Microsoft YaHei"/>
                <w:b w:val="0"/>
                <w:color w:val="000000"/>
                <w:sz w:val="18"/>
              </w:rPr>
            </w:r>
            <w:r>
              <w:rPr>
                <w:rFonts w:ascii="Calibri" w:hAnsi="Calibri" w:eastAsia="Microsoft YaHei"/>
                <w:b w:val="0"/>
                <w:color w:val="000000"/>
                <w:sz w:val="18"/>
              </w:rPr>
              <w:t>“在更严脱碳目标下把电解槽和绿氢纳入内生优化。”</w:t>
            </w:r>
          </w:p>
        </w:tc>
      </w:tr>
    </w:tbl>
    <w:p>
      <w:pPr>
        <w:spacing w:after="40"/>
      </w:pPr>
    </w:p>
    <w:p>
      <w:pPr>
        <w:pStyle w:val="Heading3"/>
      </w:pPr>
      <w:r>
        <w:t>3.3 结果指标解释模板</w:t>
      </w:r>
    </w:p>
    <w:p>
      <w:r>
        <w:rPr>
          <w:rFonts w:ascii="Calibri" w:hAnsi="Calibri" w:eastAsia="Microsoft YaHei"/>
        </w:rPr>
        <w:t>“先看可行性和可靠性，再看能源结构，然后看经济与碳。若服务率或平衡诊断不通过，低成本没有决策意义；若可行，再比较年度购电、新能源利用率、碳排和社会年成本。场景之间使用同一随机种子和时间分辨率，保证比较口径一致。”</w:t>
      </w:r>
    </w:p>
    <w:p>
      <w:pPr>
        <w:pStyle w:val="Heading3"/>
      </w:pPr>
      <w:r>
        <w:t>3.4 为什么使用线性规划</w:t>
      </w:r>
    </w:p>
    <w:p>
      <w:r>
        <w:rPr>
          <w:rFonts w:ascii="Calibri" w:hAnsi="Calibri" w:eastAsia="Microsoft YaHei"/>
        </w:rPr>
        <w:t>“园区规划需要同时处理大量时段、设备和约束。线性规划可解释、可复现、求解稳定，适合方案筛选。只有在强制充放电互斥或购售电互斥等离散逻辑出现时才使用混合整数模型。这样在精度、速度和可维护性之间取得平衡。”</w:t>
      </w:r>
    </w:p>
    <w:p>
      <w:pPr>
        <w:pStyle w:val="Heading3"/>
      </w:pPr>
      <w:r>
        <w:t>3.5 为什么先用基准预测</w:t>
      </w:r>
    </w:p>
    <w:p>
      <w:r>
        <w:rPr>
          <w:rFonts w:ascii="Calibri" w:hAnsi="Calibri" w:eastAsia="Microsoft YaHei"/>
        </w:rPr>
        <w:t>“预测模块先建立透明基准，不急于使用复杂模型。任何高级算法都必须在同一时间顺序验证集上显著优于基准，才能证明增加复杂度有价值。这样可以防止数据泄漏和只展示训练集效果。”</w:t>
      </w:r>
    </w:p>
    <w:p>
      <w:pPr>
        <w:pStyle w:val="Heading2"/>
      </w:pPr>
      <w:r>
        <w:t>4. 现场常见问答</w:t>
      </w:r>
    </w:p>
    <w:p>
      <w:pPr>
        <w:pStyle w:val="Heading3"/>
      </w:pPr>
      <w:r>
        <w:t>4.1 这些数字是不是写死的</w:t>
      </w:r>
    </w:p>
    <w:p>
      <w:r>
        <w:rPr>
          <w:rFonts w:ascii="Calibri" w:hAnsi="Calibri" w:eastAsia="Microsoft YaHei"/>
        </w:rPr>
        <w:t>答：“不是。快速模式、V17单场景和场景比较都调用实际模型。页面只读取当前结果。场景比较的ZIP还包含每个场景原始成果，可以复核。”</w:t>
      </w:r>
    </w:p>
    <w:p>
      <w:pPr>
        <w:pStyle w:val="Heading3"/>
      </w:pPr>
      <w:r>
        <w:t>4.2 为什么刷新后结果没了</w:t>
      </w:r>
    </w:p>
    <w:p>
      <w:r>
        <w:rPr>
          <w:rFonts w:ascii="Calibri" w:hAnsi="Calibri" w:eastAsia="Microsoft YaHei"/>
        </w:rPr>
        <w:t>答：“Community Cloud的单会话结果存在浏览器会话中，刷新可能丢失。完整部署把项目、场景、任务和成果持久化，刷新后可重新查询。”</w:t>
      </w:r>
    </w:p>
    <w:p>
      <w:pPr>
        <w:pStyle w:val="Heading3"/>
      </w:pPr>
      <w:r>
        <w:t>4.3 能否直接控制现场设备</w:t>
      </w:r>
    </w:p>
    <w:p>
      <w:r>
        <w:rPr>
          <w:rFonts w:ascii="Calibri" w:hAnsi="Calibri" w:eastAsia="Microsoft YaHei"/>
        </w:rPr>
        <w:t>答：“当前定位是规划与调度决策平台，不直接下发控制指令。接入EMS或SCADA前还需要实时接口、安全联锁、权限审批和故障回退。”</w:t>
      </w:r>
    </w:p>
    <w:p>
      <w:pPr>
        <w:pStyle w:val="Heading3"/>
      </w:pPr>
      <w:r>
        <w:t>4.4 能否替代潮流和接入审查</w:t>
      </w:r>
    </w:p>
    <w:p>
      <w:r>
        <w:rPr>
          <w:rFonts w:ascii="Calibri" w:hAnsi="Calibri" w:eastAsia="Microsoft YaHei"/>
        </w:rPr>
        <w:t>答：“不能。当前是多能量平衡与经济低碳优化，需要在工程阶段补充节点网络、潮流、电压、短路、保护和接入校核。”</w:t>
      </w:r>
    </w:p>
    <w:p>
      <w:pPr>
        <w:pStyle w:val="Heading3"/>
      </w:pPr>
      <w:r>
        <w:t>4.5 为什么场景对比有时较慢</w:t>
      </w:r>
    </w:p>
    <w:p>
      <w:r>
        <w:rPr>
          <w:rFonts w:ascii="Calibri" w:hAnsi="Calibri" w:eastAsia="Microsoft YaHei"/>
        </w:rPr>
        <w:t>答：“因为它依次执行多个真实优化，不是读取静态表。演示可用60分钟和S0/S4/S8，正式评审再运行全部九个场景或交给后台Worker。”</w:t>
      </w:r>
    </w:p>
    <w:p>
      <w:pPr>
        <w:pStyle w:val="Heading3"/>
      </w:pPr>
      <w:r>
        <w:t>4.6 如何保证后台任务不重复</w:t>
      </w:r>
    </w:p>
    <w:p>
      <w:r>
        <w:rPr>
          <w:rFonts w:ascii="Calibri" w:hAnsi="Calibri" w:eastAsia="Microsoft YaHei"/>
        </w:rPr>
        <w:t>答：“任务提交有项目级幂等键，领取在数据库事务中完成，运行时有租约和心跳，写结果还要校验Worker所有权。网络重试、并发Worker和失联恢复都有明确规则。”</w:t>
      </w:r>
    </w:p>
    <w:p>
      <w:pPr>
        <w:pStyle w:val="Heading3"/>
      </w:pPr>
      <w:r>
        <w:t>4.7 数据如何保证可追溯</w:t>
      </w:r>
    </w:p>
    <w:p>
      <w:r>
        <w:rPr>
          <w:rFonts w:ascii="Calibri" w:hAnsi="Calibri" w:eastAsia="Microsoft YaHei"/>
        </w:rPr>
        <w:t>答：“场景有版本和参数指纹，模型有版本，预测有版本，成果包有执行清单，后台结果有URI和SHA-256，关键操作写入审计日志。”</w:t>
      </w:r>
    </w:p>
    <w:p>
      <w:pPr>
        <w:pStyle w:val="Heading3"/>
      </w:pPr>
      <w:r>
        <w:t>4.8 当前能否称为生产级高可用</w:t>
      </w:r>
    </w:p>
    <w:p>
      <w:r>
        <w:rPr>
          <w:rFonts w:ascii="Calibri" w:hAnsi="Calibri" w:eastAsia="Microsoft YaHei"/>
        </w:rPr>
        <w:t>答：“当前是可部署、可交付、可维护的单节点生产基础，不是跨主机高可用。高可用要继续接入PostgreSQL、专业任务队列、对象存储、SSO和集中监控，并完成故障切换演练。”</w:t>
      </w:r>
    </w:p>
    <w:p>
      <w:pPr>
        <w:pStyle w:val="Heading2"/>
      </w:pPr>
      <w:r>
        <w:t>5. 故障应急讲稿</w:t>
      </w:r>
    </w:p>
    <w:p>
      <w:pPr>
        <w:pStyle w:val="Heading3"/>
      </w:pPr>
      <w:r>
        <w:t>5.1 平台出现Oh no</w:t>
      </w:r>
    </w:p>
    <w:p>
      <w:r>
        <w:rPr>
          <w:rFonts w:ascii="Calibri" w:hAnsi="Calibri" w:eastAsia="Microsoft YaHei"/>
        </w:rPr>
        <w:t>先说：“云端应用正在恢复，我先用本地已导出的成果说明结果结构。”随后打开Streamlit Manage app日志，定位第一个异常。不要在观众面前连续刷新，也不要临时修改Secrets。</w:t>
      </w:r>
    </w:p>
    <w:p>
      <w:pPr>
        <w:pStyle w:val="Heading3"/>
      </w:pPr>
      <w:r>
        <w:t>5.2 项目与任务显示原型/单机模式</w:t>
      </w:r>
    </w:p>
    <w:p>
      <w:r>
        <w:rPr>
          <w:rFonts w:ascii="Calibri" w:hAnsi="Calibri" w:eastAsia="Microsoft YaHei"/>
        </w:rPr>
        <w:t>直接说明Cloud部署边界，继续演示其他页面。这个页面的降级不会影响单会话求解、图表、指标和导出。</w:t>
      </w:r>
    </w:p>
    <w:p>
      <w:pPr>
        <w:pStyle w:val="Heading3"/>
      </w:pPr>
      <w:r>
        <w:t>5.3 模型不可行</w:t>
      </w:r>
    </w:p>
    <w:p>
      <w:r>
        <w:rPr>
          <w:rFonts w:ascii="Calibri" w:hAnsi="Calibri" w:eastAsia="Microsoft YaHei"/>
        </w:rPr>
        <w:t>先保留错误提示并解释：“平台没有用假结果掩盖不可行约束。”快速模式放宽RPS、CO2或CEEP，或提高交换容量；V17恢复S4默认参数和60分钟后重算。</w:t>
      </w:r>
    </w:p>
    <w:p>
      <w:pPr>
        <w:pStyle w:val="Heading3"/>
      </w:pPr>
      <w:r>
        <w:t>5.4 场景比较来不及</w:t>
      </w:r>
    </w:p>
    <w:p>
      <w:r>
        <w:rPr>
          <w:rFonts w:ascii="Calibri" w:hAnsi="Calibri" w:eastAsia="Microsoft YaHei"/>
        </w:rPr>
        <w:t>改选S0、S4、S8，使用60分钟。若仍超时，展示已保存的对比成果包，并明确这是此前由同一版本真实模型生成的结果。</w:t>
      </w:r>
    </w:p>
    <w:p>
      <w:pPr>
        <w:pStyle w:val="Heading2"/>
      </w:pPr>
      <w:r>
        <w:t>6. 演示结束后的交付动作</w:t>
      </w:r>
    </w:p>
    <w:p>
      <w:pPr>
        <w:pStyle w:val="ListNumber"/>
        <w:numPr>
          <w:ilvl w:val="0"/>
          <w:numId w:val="14"/>
        </w:numPr>
      </w:pPr>
      <w:r>
        <w:rPr>
          <w:rFonts w:ascii="Calibri" w:hAnsi="Calibri" w:eastAsia="Microsoft YaHei"/>
        </w:rPr>
        <w:t>保存本次使用的场景参数、模型版本和成果包。</w:t>
      </w:r>
    </w:p>
    <w:p>
      <w:pPr>
        <w:pStyle w:val="ListNumber"/>
        <w:numPr>
          <w:ilvl w:val="0"/>
          <w:numId w:val="14"/>
        </w:numPr>
      </w:pPr>
      <w:r>
        <w:rPr>
          <w:rFonts w:ascii="Calibri" w:hAnsi="Calibri" w:eastAsia="Microsoft YaHei"/>
        </w:rPr>
        <w:t>记录演示中提出的问题、负责人和截止时间。</w:t>
      </w:r>
    </w:p>
    <w:p>
      <w:pPr>
        <w:pStyle w:val="ListNumber"/>
        <w:numPr>
          <w:ilvl w:val="0"/>
          <w:numId w:val="14"/>
        </w:numPr>
      </w:pPr>
      <w:r>
        <w:rPr>
          <w:rFonts w:ascii="Calibri" w:hAnsi="Calibri" w:eastAsia="Microsoft YaHei"/>
        </w:rPr>
        <w:t>若要让客户直接使用“项目与任务”，安排独立API/Worker部署与HTTPS地址。</w:t>
      </w:r>
    </w:p>
    <w:p>
      <w:pPr>
        <w:pStyle w:val="ListNumber"/>
        <w:numPr>
          <w:ilvl w:val="0"/>
          <w:numId w:val="14"/>
        </w:numPr>
      </w:pPr>
      <w:r>
        <w:rPr>
          <w:rFonts w:ascii="Calibri" w:hAnsi="Calibri" w:eastAsia="Microsoft YaHei"/>
        </w:rPr>
        <w:t>在推送升级分支后创建面向</w:t>
      </w:r>
      <w:r>
        <w:rPr>
          <w:rStyle w:val="CodeInline"/>
        </w:rPr>
        <w:t>main</w:t>
      </w:r>
      <w:r>
        <w:rPr>
          <w:rFonts w:ascii="Calibri" w:hAnsi="Calibri" w:eastAsia="Microsoft YaHei"/>
        </w:rPr>
        <w:t>的PR，等待CI测试与Docker镜像构建通过。</w:t>
      </w:r>
    </w:p>
    <w:p>
      <w:pPr>
        <w:pStyle w:val="ListNumber"/>
        <w:numPr>
          <w:ilvl w:val="0"/>
          <w:numId w:val="14"/>
        </w:numPr>
      </w:pPr>
      <w:r>
        <w:rPr>
          <w:rFonts w:ascii="Calibri" w:hAnsi="Calibri" w:eastAsia="Microsoft YaHei"/>
        </w:rPr>
        <w:t>合并并重新部署后，再用公开网址按本讲稿执行一次验收演示。</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085"/>
        <w:sz w:val="17"/>
      </w:rPr>
      <w:t xml:space="preserve">v0.7.0  ·  </w:t>
    </w:r>
    <w:fldSimple w:instr="PAGE">
      <w:r>
        <w:rPr>
          <w:sz w:val="17"/>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7"/>
      </w:rPr>
      <w:t>园区低碳规划与绿电直连优化平台  |  项目交接与演示手册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icrosoft YaHe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园区低碳规划与绿电直连优化平台 v0.7.0 项目交接与演示手册</dc:title>
  <dc:subject>项目交接、算法实现、部署维护与逐页面演示</dc:subject>
  <dc:creator>项目交付组</dc:creator>
  <cp:keywords>园区低碳, 绿电直连, 综合能源, 项目交接, 演示讲稿</cp:keywords>
  <dc:description>generated by python-docx</dc:description>
  <cp:lastModifiedBy/>
  <cp:revision>1</cp:revision>
  <dcterms:created xsi:type="dcterms:W3CDTF">2013-12-23T23:15:00Z</dcterms:created>
  <dcterms:modified xsi:type="dcterms:W3CDTF">2013-12-23T23:15:00Z</dcterms:modified>
  <cp:category/>
</cp:coreProperties>
</file>