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第一阶段交付 · 版本 1.0.0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0B2545"/>
          <w:sz w:val="54"/>
        </w:rPr>
        <w:t>基于绿电直连的</w:t>
        <w:br/>
        <w:t>零碳农业园区优化调度平台</w:t>
      </w:r>
    </w:p>
    <w:p>
      <w:pPr>
        <w:spacing w:after="640"/>
        <w:jc w:val="center"/>
      </w:pPr>
      <w:r>
        <w:rPr>
          <w:rFonts w:ascii="Calibri" w:hAnsi="Calibri" w:eastAsia="Microsoft YaHei"/>
          <w:color w:val="1F4D78"/>
          <w:sz w:val="29"/>
        </w:rPr>
        <w:t>项目交接手册 · 算法说明 · 逐页面演示讲稿</w:t>
      </w:r>
    </w:p>
    <w:p>
      <w:pPr>
        <w:spacing w:after="1520"/>
        <w:jc w:val="center"/>
      </w:pPr>
      <w:r>
        <w:rPr>
          <w:rFonts w:ascii="Calibri" w:hAnsi="Calibri" w:eastAsia="Microsoft YaHei"/>
          <w:b/>
          <w:color w:val="2E74B5"/>
          <w:sz w:val="22"/>
        </w:rPr>
        <w:t>可部署  ·  可交付  ·  可维护  ·  可扩展</w:t>
      </w:r>
    </w:p>
    <w:p>
      <w:pPr>
        <w:spacing w:after="80"/>
        <w:jc w:val="center"/>
      </w:pPr>
      <w:r>
        <w:rPr>
          <w:rFonts w:ascii="Calibri" w:hAnsi="Calibri" w:eastAsia="Microsoft YaHei"/>
          <w:color w:val="667085"/>
          <w:sz w:val="20"/>
        </w:rPr>
        <w:t>版本日期：2026-07-23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交付分支：agent/v17-visual-analytics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200"/>
      </w:pPr>
      <w:r>
        <w:t>本手册把业务、页面、参数、算法、数据、数据库、部署、测试和现场讲稿放在同一份交接材料中。</w:t>
      </w:r>
    </w:p>
    <w:p>
      <w:pPr>
        <w:pStyle w:val="ListBullet"/>
      </w:pPr>
      <w:r>
        <w:t>第1—3章：平台目标、完成度和四个页面</w:t>
      </w:r>
    </w:p>
    <w:p>
      <w:pPr>
        <w:pStyle w:val="ListBullet"/>
      </w:pPr>
      <w:r>
        <w:t>第4—6章：系统结构、参数来源和数据模板</w:t>
      </w:r>
    </w:p>
    <w:p>
      <w:pPr>
        <w:pStyle w:val="ListBullet"/>
      </w:pPr>
      <w:r>
        <w:t>第7—10章：能量流、联合优化、压力测试和图表算法</w:t>
      </w:r>
    </w:p>
    <w:p>
      <w:pPr>
        <w:pStyle w:val="ListBullet"/>
      </w:pPr>
      <w:r>
        <w:t>第11—14章：数据库、部署、测试、限制和下一阶段</w:t>
      </w:r>
    </w:p>
    <w:p>
      <w:pPr>
        <w:pStyle w:val="ListBullet"/>
      </w:pPr>
      <w:r>
        <w:t>第15—17章：逐页面讲稿、现场问答和交接清单</w:t>
      </w:r>
    </w:p>
    <w:p>
      <w:pPr>
        <w:spacing w:before="200"/>
      </w:pPr>
      <w:r>
        <w:rPr>
          <w:rFonts w:ascii="Calibri" w:hAnsi="Calibri" w:eastAsia="Microsoft YaHei"/>
          <w:b/>
          <w:color w:val="1F4D78"/>
        </w:rPr>
        <w:t>建议：</w:t>
      </w:r>
      <w:r>
        <w:rPr>
          <w:rFonts w:ascii="Calibri" w:hAnsi="Calibri" w:eastAsia="Microsoft YaHei"/>
        </w:rPr>
        <w:t>演示人员先读第15—16章；工程师从第4章开始按数据流和验收清单接手。</w:t>
      </w:r>
    </w:p>
    <w:p>
      <w:r>
        <w:br w:type="page"/>
      </w:r>
    </w:p>
    <w:p>
      <w:r>
        <w:rPr>
          <w:rFonts w:ascii="Calibri" w:hAnsi="Calibri" w:eastAsia="Microsoft YaHei"/>
        </w:rPr>
        <w:t>版本：1.0.0</w:t>
      </w:r>
    </w:p>
    <w:p>
      <w:r>
        <w:rPr>
          <w:rFonts w:ascii="Calibri" w:hAnsi="Calibri" w:eastAsia="Microsoft YaHei"/>
        </w:rPr>
        <w:t>交付分支：</w:t>
      </w:r>
      <w:r>
        <w:rPr>
          <w:rStyle w:val="CodeInline"/>
        </w:rPr>
        <w:t>agent/v17-visual-analytics</w:t>
      </w:r>
    </w:p>
    <w:p>
      <w:r>
        <w:rPr>
          <w:rFonts w:ascii="Calibri" w:hAnsi="Calibri" w:eastAsia="Microsoft YaHei"/>
        </w:rPr>
        <w:t>适用对象：项目负责人、业务汇报人员、产品经理、算法工程师、前后端工程师、测试工程师和运维人员</w:t>
      </w:r>
    </w:p>
    <w:p>
      <w:r>
        <w:rPr>
          <w:rFonts w:ascii="Calibri" w:hAnsi="Calibri" w:eastAsia="Microsoft YaHei"/>
        </w:rPr>
        <w:t>文档口径：本手册描述当前仓库已经实现并通过内部检验的能力；未实现项、演示假设和正式项目数据缺口均单独披露。</w:t>
      </w:r>
    </w:p>
    <w:p>
      <w:pPr>
        <w:pStyle w:val="Heading2"/>
      </w:pPr>
      <w:r>
        <w:t>1. 一页交接摘要</w:t>
      </w:r>
    </w:p>
    <w:p>
      <w:pPr>
        <w:pStyle w:val="Heading3"/>
      </w:pPr>
      <w:r>
        <w:t>1.1 平台正在做什么</w:t>
      </w:r>
    </w:p>
    <w:p>
      <w:r>
        <w:rPr>
          <w:rFonts w:ascii="Calibri" w:hAnsi="Calibri" w:eastAsia="Microsoft YaHei"/>
        </w:rPr>
        <w:t>平台面向一个农业园区，把灌溉与水泵、粮食烘干与加工、仓储与冷链、公共与辅助四类负荷，与园区光伏、外部绿电直连、储能和公共电网放进同一套能源平衡和优化模型。平台回答三个核心问题：园区每个时刻的电从哪里来、怎样调度；为降低成本和运营碳排应建设多大容量；方案在低光伏、集中加工、直连受限等压力下是否仍然成立。</w:t>
      </w:r>
    </w:p>
    <w:p>
      <w:r>
        <w:rPr>
          <w:rFonts w:ascii="Calibri" w:hAnsi="Calibri" w:eastAsia="Microsoft YaHei"/>
        </w:rPr>
        <w:t>平台是规划与调度决策系统，不是配电自动化控制系统。它不直接向泵站、冷库、加工线或储能变流器下发控制指令，也不替代配电网潮流、继电保护和施工图设计。</w:t>
      </w:r>
    </w:p>
    <w:p>
      <w:pPr>
        <w:pStyle w:val="Heading3"/>
      </w:pPr>
      <w:r>
        <w:t>1.2 第一阶段已经实现什么</w:t>
      </w:r>
    </w:p>
    <w:p>
      <w:pPr>
        <w:pStyle w:val="ListBullet"/>
      </w:pPr>
      <w:r>
        <w:rPr>
          <w:rFonts w:ascii="Calibri" w:hAnsi="Calibri" w:eastAsia="Microsoft YaHei"/>
        </w:rPr>
        <w:t>冻结“一个园区、四类负荷、三种策略、六类压力测试”的业务边界。</w:t>
      </w:r>
    </w:p>
    <w:p>
      <w:pPr>
        <w:pStyle w:val="ListBullet"/>
      </w:pPr>
      <w:r>
        <w:rPr>
          <w:rFonts w:ascii="Calibri" w:hAnsi="Calibri" w:eastAsia="Microsoft YaHei"/>
        </w:rPr>
        <w:t>建立71项参数台账、A至E五级来源分级、正式数据导入模板和缺口审计。</w:t>
      </w:r>
    </w:p>
    <w:p>
      <w:pPr>
        <w:pStyle w:val="ListBullet"/>
      </w:pPr>
      <w:r>
        <w:rPr>
          <w:rFonts w:ascii="Calibri" w:hAnsi="Calibri" w:eastAsia="Microsoft YaHei"/>
        </w:rPr>
        <w:t>生成2025年8760小时与35040个15分钟点的农业负荷、气象、光伏和价格演示基准。</w:t>
      </w:r>
    </w:p>
    <w:p>
      <w:pPr>
        <w:pStyle w:val="ListBullet"/>
      </w:pPr>
      <w:r>
        <w:rPr>
          <w:rFonts w:ascii="Calibri" w:hAnsi="Calibri" w:eastAsia="Microsoft YaHei"/>
        </w:rPr>
        <w:t>实现光伏、直连绿电、公共电网、储能、外送、弃电和损耗的逐时物理能量流。</w:t>
      </w:r>
    </w:p>
    <w:p>
      <w:pPr>
        <w:pStyle w:val="ListBullet"/>
      </w:pPr>
      <w:r>
        <w:rPr>
          <w:rFonts w:ascii="Calibri" w:hAnsi="Calibri" w:eastAsia="Microsoft YaHei"/>
        </w:rPr>
        <w:t>实现储能按光伏与直连来源分账，避免把普通电网电量包装成绿电。</w:t>
      </w:r>
    </w:p>
    <w:p>
      <w:pPr>
        <w:pStyle w:val="ListBullet"/>
      </w:pPr>
      <w:r>
        <w:rPr>
          <w:rFonts w:ascii="Calibri" w:hAnsi="Calibri" w:eastAsia="Microsoft YaHei"/>
        </w:rPr>
        <w:t>实现全年容量—运行联合线性优化，优化光伏、直连、储能功率与容量、最大需量和逐时调度。</w:t>
      </w:r>
    </w:p>
    <w:p>
      <w:pPr>
        <w:pStyle w:val="ListBullet"/>
      </w:pPr>
      <w:r>
        <w:rPr>
          <w:rFonts w:ascii="Calibri" w:hAnsi="Calibri" w:eastAsia="Microsoft YaHei"/>
        </w:rPr>
        <w:t>实现农业日任务约束，优化只能移动可调负荷，不能删除灌溉、加工或冷链任务。</w:t>
      </w:r>
    </w:p>
    <w:p>
      <w:pPr>
        <w:pStyle w:val="ListBullet"/>
      </w:pPr>
      <w:r>
        <w:rPr>
          <w:rFonts w:ascii="Calibri" w:hAnsi="Calibri" w:eastAsia="Microsoft YaHei"/>
        </w:rPr>
        <w:t>实现三策略同口径比较、六类压力测试、成本—碳排—绿电匹配联合解释。</w:t>
      </w:r>
    </w:p>
    <w:p>
      <w:pPr>
        <w:pStyle w:val="ListBullet"/>
      </w:pPr>
      <w:r>
        <w:rPr>
          <w:rFonts w:ascii="Calibri" w:hAnsi="Calibri" w:eastAsia="Microsoft YaHei"/>
        </w:rPr>
        <w:t>将主导航精简为四页，金额统一使用人民币，农业专项成为默认入口。</w:t>
      </w:r>
    </w:p>
    <w:p>
      <w:pPr>
        <w:pStyle w:val="ListBullet"/>
      </w:pPr>
      <w:r>
        <w:rPr>
          <w:rFonts w:ascii="Calibri" w:hAnsi="Calibri" w:eastAsia="Microsoft YaHei"/>
        </w:rPr>
        <w:t>形成接口服务、后台任务、SQLite持久化、成果校验、容器部署、备份恢复和100项自动测试基础。</w:t>
      </w:r>
    </w:p>
    <w:p>
      <w:pPr>
        <w:pStyle w:val="Heading3"/>
      </w:pPr>
      <w:r>
        <w:t>1.3 当前结论是什么</w:t>
      </w:r>
    </w:p>
    <w:p>
      <w:r>
        <w:rPr>
          <w:rFonts w:ascii="Calibri" w:hAnsi="Calibri" w:eastAsia="Microsoft YaHei"/>
        </w:rPr>
        <w:t>现状基准年成本约679.88万元、运营排放4896.30吨。绿电直连演示方案年成本约660.95万元、运营排放1241.06吨、物理绿电匹配率74.65%，在当前演示价格下兼顾降本和减排。零碳协同优化方案计算排放为零，但年成本约757.11万元，需要4.000兆瓦光伏、2.608兆瓦直连、1.965兆瓦/7.858兆瓦时储能，并产生较多外送和弃电，说明逐时绝对零普通电网供能存在过配代价。</w:t>
      </w:r>
    </w:p>
    <w:p>
      <w:r>
        <w:rPr>
          <w:rFonts w:ascii="Calibri" w:hAnsi="Calibri" w:eastAsia="Microsoft YaHei"/>
        </w:rPr>
        <w:t>以上结果使用E级演示参数，只能证明模型和业务逻辑能够闭环，不能作为实际园区的投资承诺、工程容量或零碳认证结论。正式交付必须用园区计量、设备台账、生产任务、合同价格、线路参数和官方碳因子替换。</w:t>
      </w:r>
    </w:p>
    <w:p>
      <w:pPr>
        <w:pStyle w:val="Heading3"/>
      </w:pPr>
      <w:r>
        <w:t>1.4 工程师接手后的最短路径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按第12章在本地运行测试和部署预检。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按第5章审查参数台账，把E级演示值逐项替换为A至C级来源。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按第6章导入园区总表、四类分表、设备和生产任务，先完成电量闭环。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运行三策略和六类压力测试，核对能量平衡、任务守恒、碳排和成本对账。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将通过验收的农业模型接入后台任务接口，再启用项目、版本和历史成果管理。</w:t>
      </w:r>
    </w:p>
    <w:p>
      <w:pPr>
        <w:pStyle w:val="Heading2"/>
      </w:pPr>
      <w:r>
        <w:t>2. 业务边界与验收口径</w:t>
      </w:r>
    </w:p>
    <w:p>
      <w:pPr>
        <w:pStyle w:val="Heading3"/>
      </w:pPr>
      <w:r>
        <w:t>2.1 空间边界</w:t>
      </w:r>
    </w:p>
    <w:p>
      <w:r>
        <w:rPr>
          <w:rFonts w:ascii="Calibri" w:hAnsi="Calibri" w:eastAsia="Microsoft YaHei"/>
        </w:rPr>
        <w:t>园区内纳入农业生产服务设施、加工设施、仓储冷链、公共辅助、变配电、本地光伏、储能和电气化设备。园区外只纳入与园区有计量或合同关系的外部绿电基地、直连线路、可核验合同绿电和公共电网接口。</w:t>
      </w:r>
    </w:p>
    <w:p>
      <w:r>
        <w:rPr>
          <w:rFonts w:ascii="Calibri" w:hAnsi="Calibri" w:eastAsia="Microsoft YaHei"/>
        </w:rPr>
        <w:t>普通居民、普通商业和无计量关系的县域负荷不属于第一阶段。原县域V17模型仍保留为兼容功能，但默认隐藏，不能与农业专项结果混算。</w:t>
      </w:r>
    </w:p>
    <w:p>
      <w:pPr>
        <w:pStyle w:val="Heading3"/>
      </w:pPr>
      <w:r>
        <w:t>2.2 零碳边界</w:t>
      </w:r>
    </w:p>
    <w:p>
      <w:r>
        <w:rPr>
          <w:rFonts w:ascii="Calibri" w:hAnsi="Calibri" w:eastAsia="Microsoft YaHei"/>
        </w:rPr>
        <w:t>第一阶段“零碳”只指园区生产运营阶段的能源相关排放，包括化石燃料直接排放、普通电网购电和外购热力等间接排放，以及线路、储能和变换损耗造成的增量能源排放。</w:t>
      </w:r>
    </w:p>
    <w:p>
      <w:r>
        <w:rPr>
          <w:rFonts w:ascii="Calibri" w:hAnsi="Calibri" w:eastAsia="Microsoft YaHei"/>
        </w:rPr>
        <w:t>第一阶段不核算化肥、农药、种子、土壤过程、畜禽过程、园区外运输、设备制造、建筑材料、土地利用变化和农业碳汇。碳抵消量必须单列，不能用抵消把仍有正运营排放的方案标记为零碳。</w:t>
      </w:r>
    </w:p>
    <w:p>
      <w:r>
        <w:rPr>
          <w:rFonts w:ascii="Calibri" w:hAnsi="Calibri" w:eastAsia="Microsoft YaHei"/>
        </w:rPr>
        <w:t>只有同时满足能量平衡通过、关键参数来源完整、运营排放不超过容差、未使用不认可抵消四个条件，正式页面才能显示“零碳达标”。当前页面使用“计算排放为零，演示参数待正式核验”。</w:t>
      </w:r>
    </w:p>
    <w:p>
      <w:pPr>
        <w:pStyle w:val="Heading3"/>
      </w:pPr>
      <w:r>
        <w:t>2.3 计算尺度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63"/>
        <w:gridCol w:w="2452"/>
        <w:gridCol w:w="2644"/>
        <w:gridCol w:w="2901"/>
      </w:tblGrid>
      <w:tr>
        <w:trPr>
          <w:tblHeader w:val="true"/>
          <w:cantSplit/>
        </w:trPr>
        <w:tc>
          <w:tcPr>
            <w:tcW w:type="dxa" w:w="13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45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当前实现</w:t>
            </w:r>
          </w:p>
        </w:tc>
        <w:tc>
          <w:tcPr>
            <w:tcW w:type="dxa" w:w="264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90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年度规划</w:t>
            </w:r>
          </w:p>
        </w:tc>
        <w:tc>
          <w:tcPr>
            <w:tcW w:type="dxa" w:w="245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8760小时连续时序</w:t>
            </w:r>
          </w:p>
        </w:tc>
        <w:tc>
          <w:tcPr>
            <w:tcW w:type="dxa" w:w="264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容量选择、年度成本、年度碳排</w:t>
            </w:r>
          </w:p>
        </w:tc>
        <w:tc>
          <w:tcPr>
            <w:tcW w:type="dxa" w:w="290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正式零碳结论必须至少按该尺度复核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运行调度</w:t>
            </w:r>
          </w:p>
        </w:tc>
        <w:tc>
          <w:tcPr>
            <w:tcW w:type="dxa" w:w="245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35040个15分钟点的数据契约</w:t>
            </w:r>
          </w:p>
        </w:tc>
        <w:tc>
          <w:tcPr>
            <w:tcW w:type="dxa" w:w="264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日前96点和滚动调度接口</w:t>
            </w:r>
          </w:p>
        </w:tc>
        <w:tc>
          <w:tcPr>
            <w:tcW w:type="dxa" w:w="290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第一阶段已建立数据与负荷基准，农业优化的后台滚动执行待接入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压力筛查</w:t>
            </w:r>
          </w:p>
        </w:tc>
        <w:tc>
          <w:tcPr>
            <w:tcW w:type="dxa" w:w="245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连续3小时块</w:t>
            </w:r>
          </w:p>
        </w:tc>
        <w:tc>
          <w:tcPr>
            <w:tcW w:type="dxa" w:w="264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快速复核固定推荐容量</w:t>
            </w:r>
          </w:p>
        </w:tc>
        <w:tc>
          <w:tcPr>
            <w:tcW w:type="dxa" w:w="290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只能筛查风险，不能替代8760小时精算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典型日</w:t>
            </w:r>
          </w:p>
        </w:tc>
        <w:tc>
          <w:tcPr>
            <w:tcW w:type="dxa" w:w="245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页面选择具体日期</w:t>
            </w:r>
          </w:p>
        </w:tc>
        <w:tc>
          <w:tcPr>
            <w:tcW w:type="dxa" w:w="264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解释农业生产与能量流</w:t>
            </w:r>
          </w:p>
        </w:tc>
        <w:tc>
          <w:tcPr>
            <w:tcW w:type="dxa" w:w="290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只用于展示，不承担年度结论</w:t>
            </w:r>
          </w:p>
        </w:tc>
      </w:tr>
    </w:tbl>
    <w:p>
      <w:pPr>
        <w:spacing w:after="40"/>
      </w:pPr>
    </w:p>
    <w:p>
      <w:pPr>
        <w:pStyle w:val="Heading3"/>
      </w:pPr>
      <w:r>
        <w:t>2.4 验收标准</w:t>
      </w:r>
    </w:p>
    <w:p>
      <w:pPr>
        <w:pStyle w:val="ListBullet"/>
      </w:pPr>
      <w:r>
        <w:rPr>
          <w:rFonts w:ascii="Calibri" w:hAnsi="Calibri" w:eastAsia="Microsoft YaHei"/>
        </w:rPr>
        <w:t>园区总负荷每个时刻等于四类分项之和。</w:t>
      </w:r>
    </w:p>
    <w:p>
      <w:pPr>
        <w:pStyle w:val="ListBullet"/>
      </w:pPr>
      <w:r>
        <w:rPr>
          <w:rFonts w:ascii="Calibri" w:hAnsi="Calibri" w:eastAsia="Microsoft YaHei"/>
        </w:rPr>
        <w:t>母线与系统能量平衡残差低于模型容差。</w:t>
      </w:r>
    </w:p>
    <w:p>
      <w:pPr>
        <w:pStyle w:val="ListBullet"/>
      </w:pPr>
      <w:r>
        <w:rPr>
          <w:rFonts w:ascii="Calibri" w:hAnsi="Calibri" w:eastAsia="Microsoft YaHei"/>
        </w:rPr>
        <w:t>储能来源账户连续、年初年末闭合，不发生绿电属性串账。</w:t>
      </w:r>
    </w:p>
    <w:p>
      <w:pPr>
        <w:pStyle w:val="ListBullet"/>
      </w:pPr>
      <w:r>
        <w:rPr>
          <w:rFonts w:ascii="Calibri" w:hAnsi="Calibri" w:eastAsia="Microsoft YaHei"/>
        </w:rPr>
        <w:t>灌溉、加工、冷链的每日任务电量守恒。</w:t>
      </w:r>
    </w:p>
    <w:p>
      <w:pPr>
        <w:pStyle w:val="ListBullet"/>
      </w:pPr>
      <w:r>
        <w:rPr>
          <w:rFonts w:ascii="Calibri" w:hAnsi="Calibri" w:eastAsia="Microsoft YaHei"/>
        </w:rPr>
        <w:t>不出现同一时段充放电或购售电冲突。</w:t>
      </w:r>
    </w:p>
    <w:p>
      <w:pPr>
        <w:pStyle w:val="ListBullet"/>
      </w:pPr>
      <w:r>
        <w:rPr>
          <w:rFonts w:ascii="Calibri" w:hAnsi="Calibri" w:eastAsia="Microsoft YaHei"/>
        </w:rPr>
        <w:t>费用全部使用人民币，成本分项能够对账到总成本。</w:t>
      </w:r>
    </w:p>
    <w:p>
      <w:pPr>
        <w:pStyle w:val="ListBullet"/>
      </w:pPr>
      <w:r>
        <w:rPr>
          <w:rFonts w:ascii="Calibri" w:hAnsi="Calibri" w:eastAsia="Microsoft YaHei"/>
        </w:rPr>
        <w:t>压力测试固定资产容量，不允许静默重新扩容。</w:t>
      </w:r>
    </w:p>
    <w:p>
      <w:pPr>
        <w:pStyle w:val="ListBullet"/>
      </w:pPr>
      <w:r>
        <w:rPr>
          <w:rFonts w:ascii="Calibri" w:hAnsi="Calibri" w:eastAsia="Microsoft YaHei"/>
        </w:rPr>
        <w:t>参数来源、模型版本、输入指纹和输出成果可追溯。</w:t>
      </w:r>
    </w:p>
    <w:p>
      <w:pPr>
        <w:pStyle w:val="Heading2"/>
      </w:pPr>
      <w:r>
        <w:t>3. 用户页面逐页交接</w:t>
      </w:r>
    </w:p>
    <w:p>
      <w:pPr>
        <w:pStyle w:val="Heading3"/>
      </w:pPr>
      <w:r>
        <w:t>3.1 左侧导航与模型入口</w:t>
      </w:r>
    </w:p>
    <w:p>
      <w:r>
        <w:rPr>
          <w:rFonts w:ascii="Calibri" w:hAnsi="Calibri" w:eastAsia="Microsoft YaHei"/>
        </w:rPr>
        <w:t>默认模型为“V17农业零碳园区规划”。主导航只有平台概览、参数配置与运行、运行分析、场景与决策四页。快速电力滚动调度标记为兼容模式；原县域S0至S8、多能典型日、绿氢和电转其他能源只有用户主动展开兼容功能后才出现。</w:t>
      </w:r>
    </w:p>
    <w:p>
      <w:r>
        <w:rPr>
          <w:rFonts w:ascii="Calibri" w:hAnsi="Calibri" w:eastAsia="Microsoft YaHei"/>
        </w:rPr>
        <w:t>“项目中心”不是未开发页面。只有</w:t>
      </w:r>
      <w:r>
        <w:rPr>
          <w:rStyle w:val="CodeInline"/>
        </w:rPr>
        <w:t>PLATFORM_API_URL</w:t>
      </w:r>
      <w:r>
        <w:rPr>
          <w:rFonts w:ascii="Calibri" w:hAnsi="Calibri" w:eastAsia="Microsoft YaHei"/>
        </w:rPr>
        <w:t>配置为有效后台地址时才显示；纯Streamlit演示模式自动隐藏，避免出现不能使用的空页面。</w:t>
      </w:r>
    </w:p>
    <w:p>
      <w:pPr>
        <w:pStyle w:val="Heading3"/>
      </w:pPr>
      <w:r>
        <w:t>3.2 平台概览</w:t>
      </w:r>
    </w:p>
    <w:p>
      <w:r>
        <w:rPr>
          <w:rFonts w:ascii="Calibri" w:hAnsi="Calibri" w:eastAsia="Microsoft YaHei"/>
        </w:rPr>
        <w:t>用户看到的内容：园区范围说明、四类农业负荷、当前参数可信度、三策略关键结论、推荐容量、年度能量流和主要风险。</w:t>
      </w:r>
    </w:p>
    <w:p>
      <w:r>
        <w:rPr>
          <w:rFonts w:ascii="Calibri" w:hAnsi="Calibri" w:eastAsia="Microsoft YaHei"/>
        </w:rPr>
        <w:t>实现链路：</w:t>
      </w:r>
      <w:r>
        <w:rPr>
          <w:rStyle w:val="CodeInline"/>
        </w:rPr>
        <w:t>app.py</w:t>
      </w:r>
      <w:r>
        <w:rPr>
          <w:rFonts w:ascii="Calibri" w:hAnsi="Calibri" w:eastAsia="Microsoft YaHei"/>
        </w:rPr>
        <w:t>中的</w:t>
      </w:r>
      <w:r>
        <w:rPr>
          <w:rStyle w:val="CodeInline"/>
        </w:rPr>
        <w:t>agri_overview_page</w:t>
      </w:r>
      <w:r>
        <w:rPr>
          <w:rFonts w:ascii="Calibri" w:hAnsi="Calibri" w:eastAsia="Microsoft YaHei"/>
        </w:rPr>
        <w:t>读取</w:t>
      </w:r>
      <w:r>
        <w:rPr>
          <w:rStyle w:val="CodeInline"/>
        </w:rPr>
        <w:t>phase1_agri_visual_data</w:t>
      </w:r>
      <w:r>
        <w:rPr>
          <w:rFonts w:ascii="Calibri" w:hAnsi="Calibri" w:eastAsia="Microsoft YaHei"/>
        </w:rPr>
        <w:t>缓存；农业资料来自</w:t>
      </w:r>
      <w:r>
        <w:rPr>
          <w:rStyle w:val="CodeInline"/>
        </w:rPr>
        <w:t>data/demo</w:t>
      </w:r>
      <w:r>
        <w:rPr>
          <w:rFonts w:ascii="Calibri" w:hAnsi="Calibri" w:eastAsia="Microsoft YaHei"/>
        </w:rPr>
        <w:t>成果和参数注册表；图形由</w:t>
      </w:r>
      <w:r>
        <w:rPr>
          <w:rStyle w:val="CodeInline"/>
        </w:rPr>
        <w:t>src/agri_dashboard_charts.py</w:t>
      </w:r>
      <w:r>
        <w:rPr>
          <w:rFonts w:ascii="Calibri" w:hAnsi="Calibri" w:eastAsia="Microsoft YaHei"/>
        </w:rPr>
        <w:t>生成。页面数字不使用截图中的固定大屏数值。</w:t>
      </w:r>
    </w:p>
    <w:p>
      <w:r>
        <w:rPr>
          <w:rFonts w:ascii="Calibri" w:hAnsi="Calibri" w:eastAsia="Microsoft YaHei"/>
        </w:rPr>
        <w:t>讲解重点：先说明园区负荷总量与峰值，再比较三种策略，最后指出零碳方案的成本溢价、外送弃电和压力风险。概览是决策摘要，不应在本页展开全部算法公式。</w:t>
      </w:r>
    </w:p>
    <w:p>
      <w:pPr>
        <w:pStyle w:val="Heading3"/>
      </w:pPr>
      <w:r>
        <w:t>3.3 参数配置与运行</w:t>
      </w:r>
    </w:p>
    <w:p>
      <w:r>
        <w:rPr>
          <w:rFonts w:ascii="Calibri" w:hAnsi="Calibri" w:eastAsia="Microsoft YaHei"/>
        </w:rPr>
        <w:t>用户看到的内容：71项参数的名称、单位、当前值、合理范围、来源等级、来源依据和设置方法；四类负荷的明确年电量与峰值；实测时序、资产、农业任务和来源凭证四类模板；参数一致性复核。</w:t>
      </w:r>
    </w:p>
    <w:p>
      <w:r>
        <w:rPr>
          <w:rFonts w:ascii="Calibri" w:hAnsi="Calibri" w:eastAsia="Microsoft YaHei"/>
        </w:rPr>
        <w:t>实现链路：参数定义在</w:t>
      </w:r>
      <w:r>
        <w:rPr>
          <w:rStyle w:val="CodeInline"/>
        </w:rPr>
        <w:t>src/core/agri_parameter_registry.py</w:t>
      </w:r>
      <w:r>
        <w:rPr>
          <w:rFonts w:ascii="Calibri" w:hAnsi="Calibri" w:eastAsia="Microsoft YaHei"/>
        </w:rPr>
        <w:t>，模板结构在</w:t>
      </w:r>
      <w:r>
        <w:rPr>
          <w:rStyle w:val="CodeInline"/>
        </w:rPr>
        <w:t>src/core/agri_data_templates.py</w:t>
      </w:r>
      <w:r>
        <w:rPr>
          <w:rFonts w:ascii="Calibri" w:hAnsi="Calibri" w:eastAsia="Microsoft YaHei"/>
        </w:rPr>
        <w:t>，页面渲染在</w:t>
      </w:r>
      <w:r>
        <w:rPr>
          <w:rStyle w:val="CodeInline"/>
        </w:rPr>
        <w:t>app.py</w:t>
      </w:r>
      <w:r>
        <w:rPr>
          <w:rFonts w:ascii="Calibri" w:hAnsi="Calibri" w:eastAsia="Microsoft YaHei"/>
        </w:rPr>
        <w:t>的</w:t>
      </w:r>
      <w:r>
        <w:rPr>
          <w:rStyle w:val="CodeInline"/>
        </w:rPr>
        <w:t>render_agri_parameter_governance</w:t>
      </w:r>
      <w:r>
        <w:rPr>
          <w:rFonts w:ascii="Calibri" w:hAnsi="Calibri" w:eastAsia="Microsoft YaHei"/>
        </w:rPr>
        <w:t>。导出文件位于</w:t>
      </w:r>
      <w:r>
        <w:rPr>
          <w:rStyle w:val="CodeInline"/>
        </w:rPr>
        <w:t>data/templates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当前状态：67项为E级演示参数，2项待赋值，69项存在正式交付缺口。页面能够回答“当前数字按什么方法设置”，但在接入实际资料前不能回答“该数字是否代表目标园区”。</w:t>
      </w:r>
    </w:p>
    <w:p>
      <w:r>
        <w:rPr>
          <w:rFonts w:ascii="Calibri" w:hAnsi="Calibri" w:eastAsia="Microsoft YaHei"/>
        </w:rPr>
        <w:t>兼容区：原V17模型参数、15分钟数据校验与透明基线预测被收进手动展开区。农业专项主流程不会自动调用旧县域参数。</w:t>
      </w:r>
    </w:p>
    <w:p>
      <w:pPr>
        <w:pStyle w:val="Heading3"/>
      </w:pPr>
      <w:r>
        <w:t>3.4 运行分析</w:t>
      </w:r>
    </w:p>
    <w:p>
      <w:r>
        <w:rPr>
          <w:rFonts w:ascii="Calibri" w:hAnsi="Calibri" w:eastAsia="Microsoft YaHei"/>
        </w:rPr>
        <w:t>用户看到的内容：农业生产月历、四类负荷热力图、三策略成本碳排图、年度桑基能量流、月度供需结构、典型农业日逐时调度、储能来源分账、零碳电量处置、压力测试和可下载结果。</w:t>
      </w:r>
    </w:p>
    <w:p>
      <w:r>
        <w:rPr>
          <w:rFonts w:ascii="Calibri" w:hAnsi="Calibri" w:eastAsia="Microsoft YaHei"/>
        </w:rPr>
        <w:t>实现链路：</w:t>
      </w:r>
      <w:r>
        <w:rPr>
          <w:rStyle w:val="CodeInline"/>
        </w:rPr>
        <w:t>app.py</w:t>
      </w:r>
      <w:r>
        <w:rPr>
          <w:rFonts w:ascii="Calibri" w:hAnsi="Calibri" w:eastAsia="Microsoft YaHei"/>
        </w:rPr>
        <w:t>中的</w:t>
      </w:r>
      <w:r>
        <w:rPr>
          <w:rStyle w:val="CodeInline"/>
        </w:rPr>
        <w:t>render_agri_zero_carbon_analysis</w:t>
      </w:r>
      <w:r>
        <w:rPr>
          <w:rFonts w:ascii="Calibri" w:hAnsi="Calibri" w:eastAsia="Microsoft YaHei"/>
        </w:rPr>
        <w:t>组织页面；八类图形由</w:t>
      </w:r>
      <w:r>
        <w:rPr>
          <w:rStyle w:val="CodeInline"/>
        </w:rPr>
        <w:t>src/agri_dashboard_charts.py</w:t>
      </w:r>
      <w:r>
        <w:rPr>
          <w:rFonts w:ascii="Calibri" w:hAnsi="Calibri" w:eastAsia="Microsoft YaHei"/>
        </w:rPr>
        <w:t>生成；数据读取</w:t>
      </w:r>
      <w:r>
        <w:rPr>
          <w:rStyle w:val="CodeInline"/>
        </w:rPr>
        <w:t>phase1_strategy_comparison.csv</w:t>
      </w:r>
      <w:r>
        <w:rPr>
          <w:rFonts w:ascii="Calibri" w:hAnsi="Calibri" w:eastAsia="Microsoft YaHei"/>
        </w:rPr>
        <w:t>、压缩调度表、年度流向表、汇总表和压力测试表。</w:t>
      </w:r>
    </w:p>
    <w:p>
      <w:r>
        <w:rPr>
          <w:rFonts w:ascii="Calibri" w:hAnsi="Calibri" w:eastAsia="Microsoft YaHei"/>
        </w:rPr>
        <w:t>逻辑顺序：先看“什么时候用电”，再看“电从哪里来”，然后看“逐时怎样调度”，接着核对“储能里的电来自哪里”，最后看“成本、碳排和风险是否同时成立”。</w:t>
      </w:r>
    </w:p>
    <w:p>
      <w:pPr>
        <w:pStyle w:val="Heading3"/>
      </w:pPr>
      <w:r>
        <w:t>3.5 场景与决策</w:t>
      </w:r>
    </w:p>
    <w:p>
      <w:r>
        <w:rPr>
          <w:rFonts w:ascii="Calibri" w:hAnsi="Calibri" w:eastAsia="Microsoft YaHei"/>
        </w:rPr>
        <w:t>用户看到的内容：现状基准、绿电直连过渡、零碳协同优化三种策略的统一对比，以及分阶段实施建议。这里不再罗列九个浅层场景。</w:t>
      </w:r>
    </w:p>
    <w:p>
      <w:r>
        <w:rPr>
          <w:rFonts w:ascii="Calibri" w:hAnsi="Calibri" w:eastAsia="Microsoft YaHei"/>
        </w:rPr>
        <w:t>实现链路：</w:t>
      </w:r>
      <w:r>
        <w:rPr>
          <w:rStyle w:val="CodeInline"/>
        </w:rPr>
        <w:t>src/application/agri_strategy_service.py</w:t>
      </w:r>
      <w:r>
        <w:rPr>
          <w:rFonts w:ascii="Calibri" w:hAnsi="Calibri" w:eastAsia="Microsoft YaHei"/>
        </w:rPr>
        <w:t>使用同一负荷、价格和碳口径构造三策略；页面由</w:t>
      </w:r>
      <w:r>
        <w:rPr>
          <w:rStyle w:val="CodeInline"/>
        </w:rPr>
        <w:t>app.py</w:t>
      </w:r>
      <w:r>
        <w:rPr>
          <w:rFonts w:ascii="Calibri" w:hAnsi="Calibri" w:eastAsia="Microsoft YaHei"/>
        </w:rPr>
        <w:t>中的</w:t>
      </w:r>
      <w:r>
        <w:rPr>
          <w:rStyle w:val="CodeInline"/>
        </w:rPr>
        <w:t>render_agri_decision_page</w:t>
      </w:r>
      <w:r>
        <w:rPr>
          <w:rFonts w:ascii="Calibri" w:hAnsi="Calibri" w:eastAsia="Microsoft YaHei"/>
        </w:rPr>
        <w:t>渲染。现状和直连方案用于业务基准，零碳方案调用联合优化结果。</w:t>
      </w:r>
    </w:p>
    <w:p>
      <w:r>
        <w:rPr>
          <w:rFonts w:ascii="Calibri" w:hAnsi="Calibri" w:eastAsia="Microsoft YaHei"/>
        </w:rPr>
        <w:t>推荐口径：第一阶段不直接推荐“一步到位绝对零碳”。优先用实际数据复核绿电直连过渡方案；同步测算可靠性裕度、合同备份和集中加工任务；待关键参数达到A至C级后再比较零碳容量。</w:t>
      </w:r>
    </w:p>
    <w:p>
      <w:pPr>
        <w:pStyle w:val="Heading3"/>
      </w:pPr>
      <w:r>
        <w:t>3.6 下载与成果导出</w:t>
      </w:r>
    </w:p>
    <w:p>
      <w:r>
        <w:rPr>
          <w:rFonts w:ascii="Calibri" w:hAnsi="Calibri" w:eastAsia="Microsoft YaHei"/>
        </w:rPr>
        <w:t>结果导出不是独立页面。运行分析和场景与决策页提供相关下载按钮。核心机器可读成果包括三策略对比、零碳逐时调度、年度摘要、年度能量流和压力测试结果。</w:t>
      </w:r>
    </w:p>
    <w:p>
      <w:pPr>
        <w:pStyle w:val="Heading2"/>
      </w:pPr>
      <w:r>
        <w:t>4. 系统结构与数据流</w:t>
      </w:r>
    </w:p>
    <w:p>
      <w:pPr>
        <w:pStyle w:val="Heading3"/>
      </w:pPr>
      <w:r>
        <w:t>4.1 分层结构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89"/>
        <w:gridCol w:w="3735"/>
        <w:gridCol w:w="3736"/>
      </w:tblGrid>
      <w:tr>
        <w:trPr>
          <w:tblHeader w:val="true"/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目录或文件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展示层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app.py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src/agri_dashboard_charts.py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页面状态、交互、中文指标和图形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src/application/agri_*_service.py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组织物理仿真、三策略和压力测试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领域模型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src/model/agri_park_profiles.py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src/model/agri_zero_carbon_optimizer.py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生成时序、构建优化变量与约束、求解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核心契约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src/core/agri_*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业务边界、参数台账、数据模板和校验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持久化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src/persistence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SQLite迁移、项目、版本、任务、结果和审计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接口与任务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src/api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src/jobs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HTTP接口、后台任务租约、心跳、成果文件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运维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src/deployment.py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src/operations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scripts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部署预检、备份恢复和成果生成</w:t>
            </w:r>
          </w:p>
        </w:tc>
      </w:tr>
      <w:tr>
        <w:trPr>
          <w:cantSplit/>
        </w:trPr>
        <w:tc>
          <w:tcPr>
            <w:tcW w:type="dxa" w:w="188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3735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tests</w:t>
            </w:r>
          </w:p>
        </w:tc>
        <w:tc>
          <w:tcPr>
            <w:tcW w:type="dxa" w:w="373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单元、回归、接口、部署和页面冒烟测试</w:t>
            </w:r>
          </w:p>
        </w:tc>
      </w:tr>
    </w:tbl>
    <w:p>
      <w:pPr>
        <w:spacing w:after="40"/>
      </w:pPr>
    </w:p>
    <w:p>
      <w:pPr>
        <w:pStyle w:val="Heading3"/>
      </w:pPr>
      <w:r>
        <w:t>4.2 农业专项计算流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参数注册表和演示假设形成可追溯输入。</w:t>
      </w:r>
    </w:p>
    <w:p>
      <w:pPr>
        <w:pStyle w:val="ListNumber"/>
        <w:numPr>
          <w:ilvl w:val="0"/>
          <w:numId w:val="11"/>
        </w:numPr>
      </w:pPr>
      <w:r>
        <w:rPr>
          <w:rStyle w:val="CodeInline"/>
        </w:rPr>
        <w:t>generate_agri_park_profiles</w:t>
      </w:r>
      <w:r>
        <w:rPr>
          <w:rFonts w:ascii="Calibri" w:hAnsi="Calibri" w:eastAsia="Microsoft YaHei"/>
        </w:rPr>
        <w:t>生成四类负荷、天气、光伏、直连可用出力和价格。</w:t>
      </w:r>
    </w:p>
    <w:p>
      <w:pPr>
        <w:pStyle w:val="ListNumber"/>
        <w:numPr>
          <w:ilvl w:val="0"/>
          <w:numId w:val="11"/>
        </w:numPr>
      </w:pPr>
      <w:r>
        <w:rPr>
          <w:rStyle w:val="CodeInline"/>
        </w:rPr>
        <w:t>AgriEnergyFlowService</w:t>
      </w:r>
      <w:r>
        <w:rPr>
          <w:rFonts w:ascii="Calibri" w:hAnsi="Calibri" w:eastAsia="Microsoft YaHei"/>
        </w:rPr>
        <w:t>按固定演示容量计算物理直连方案。</w:t>
      </w:r>
    </w:p>
    <w:p>
      <w:pPr>
        <w:pStyle w:val="ListNumber"/>
        <w:numPr>
          <w:ilvl w:val="0"/>
          <w:numId w:val="11"/>
        </w:numPr>
      </w:pPr>
      <w:r>
        <w:rPr>
          <w:rStyle w:val="CodeInline"/>
        </w:rPr>
        <w:t>AgriZeroCarbonOptimizer</w:t>
      </w:r>
      <w:r>
        <w:rPr>
          <w:rFonts w:ascii="Calibri" w:hAnsi="Calibri" w:eastAsia="Microsoft YaHei"/>
        </w:rPr>
        <w:t>在8760小时上联合优化容量与调度。</w:t>
      </w:r>
    </w:p>
    <w:p>
      <w:pPr>
        <w:pStyle w:val="ListNumber"/>
        <w:numPr>
          <w:ilvl w:val="0"/>
          <w:numId w:val="11"/>
        </w:numPr>
      </w:pPr>
      <w:r>
        <w:rPr>
          <w:rStyle w:val="CodeInline"/>
        </w:rPr>
        <w:t>AgriStrategyService</w:t>
      </w:r>
      <w:r>
        <w:rPr>
          <w:rFonts w:ascii="Calibri" w:hAnsi="Calibri" w:eastAsia="Microsoft YaHei"/>
        </w:rPr>
        <w:t>对齐三种策略的成本、碳排和绿电口径。</w:t>
      </w:r>
    </w:p>
    <w:p>
      <w:pPr>
        <w:pStyle w:val="ListNumber"/>
        <w:numPr>
          <w:ilvl w:val="0"/>
          <w:numId w:val="11"/>
        </w:numPr>
      </w:pPr>
      <w:r>
        <w:rPr>
          <w:rStyle w:val="CodeInline"/>
        </w:rPr>
        <w:t>AgriStressTestService</w:t>
      </w:r>
      <w:r>
        <w:rPr>
          <w:rFonts w:ascii="Calibri" w:hAnsi="Calibri" w:eastAsia="Microsoft YaHei"/>
        </w:rPr>
        <w:t>冻结推荐容量并施加六类扰动。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导出脚本把可复核结果写入</w:t>
      </w:r>
      <w:r>
        <w:rPr>
          <w:rStyle w:val="CodeInline"/>
        </w:rPr>
        <w:t>data/demo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Streamlit页面读取同一批成果并转成图表，不在图表层重新编造业务数字。</w:t>
      </w:r>
    </w:p>
    <w:p>
      <w:pPr>
        <w:pStyle w:val="Heading3"/>
      </w:pPr>
      <w:r>
        <w:t>4.3 当前后台集成边界</w:t>
      </w:r>
    </w:p>
    <w:p>
      <w:r>
        <w:rPr>
          <w:rFonts w:ascii="Calibri" w:hAnsi="Calibri" w:eastAsia="Microsoft YaHei"/>
        </w:rPr>
        <w:t>通用接口服务和任务执行器已经可以保存项目、场景版本、数据集版本、模型版本、任务、结果和审计记录。农业专项优化器目前通过导出脚本生成已检验成果，主页面读取这些成果；它尚未注册为后台任务的独立模型类型。因此“本地农业模型已实现”和“农业模型已经可通过生产接口异步提交”是两个不同状态。</w:t>
      </w:r>
    </w:p>
    <w:p>
      <w:r>
        <w:rPr>
          <w:rFonts w:ascii="Calibri" w:hAnsi="Calibri" w:eastAsia="Microsoft YaHei"/>
        </w:rPr>
        <w:t>下一阶段应增加农业请求结构、模型版本登记、任务运行器分支、成果清单和接口回归测试，再允许项目中心提交农业零碳任务。</w:t>
      </w:r>
    </w:p>
    <w:p>
      <w:pPr>
        <w:pStyle w:val="Heading2"/>
      </w:pPr>
      <w:r>
        <w:t>5. 参数治理与明确数值</w:t>
      </w:r>
    </w:p>
    <w:p>
      <w:pPr>
        <w:pStyle w:val="Heading3"/>
      </w:pPr>
      <w:r>
        <w:t>5.1 来源等级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8"/>
        <w:gridCol w:w="3972"/>
        <w:gridCol w:w="3790"/>
      </w:tblGrid>
      <w:tr>
        <w:trPr>
          <w:tblHeader w:val="true"/>
          <w:cantSplit/>
        </w:trPr>
        <w:tc>
          <w:tcPr>
            <w:tcW w:type="dxa" w:w="159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39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79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是否可用于正式决策</w:t>
            </w:r>
          </w:p>
        </w:tc>
      </w:tr>
      <w:tr>
        <w:trPr>
          <w:cantSplit/>
        </w:trPr>
        <w:tc>
          <w:tcPr>
            <w:tcW w:type="dxa" w:w="159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9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经校准的园区计量、合同、验收或财务记录</w:t>
            </w:r>
          </w:p>
        </w:tc>
        <w:tc>
          <w:tcPr>
            <w:tcW w:type="dxa" w:w="379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可以</w:t>
            </w:r>
          </w:p>
        </w:tc>
      </w:tr>
      <w:tr>
        <w:trPr>
          <w:cantSplit/>
        </w:trPr>
        <w:tc>
          <w:tcPr>
            <w:tcW w:type="dxa" w:w="159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9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政府、监管、电网、气象等权威公开资料</w:t>
            </w:r>
          </w:p>
        </w:tc>
        <w:tc>
          <w:tcPr>
            <w:tcW w:type="dxa" w:w="379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可以，需记录版本和适用期</w:t>
            </w:r>
          </w:p>
        </w:tc>
      </w:tr>
      <w:tr>
        <w:trPr>
          <w:cantSplit/>
        </w:trPr>
        <w:tc>
          <w:tcPr>
            <w:tcW w:type="dxa" w:w="159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9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设备厂家资料、设计文件或有出处行业资料</w:t>
            </w:r>
          </w:p>
        </w:tc>
        <w:tc>
          <w:tcPr>
            <w:tcW w:type="dxa" w:w="379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可以，需说明适用条件</w:t>
            </w:r>
          </w:p>
        </w:tc>
      </w:tr>
      <w:tr>
        <w:trPr>
          <w:cantSplit/>
        </w:trPr>
        <w:tc>
          <w:tcPr>
            <w:tcW w:type="dxa" w:w="159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39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由A至C级数据推导或统计拟合</w:t>
            </w:r>
          </w:p>
        </w:tc>
        <w:tc>
          <w:tcPr>
            <w:tcW w:type="dxa" w:w="379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有条件使用，必须披露方法和误差</w:t>
            </w:r>
          </w:p>
        </w:tc>
      </w:tr>
      <w:tr>
        <w:trPr>
          <w:cantSplit/>
        </w:trPr>
        <w:tc>
          <w:tcPr>
            <w:tcW w:type="dxa" w:w="159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39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为演示、联调或压力测试设置的假设</w:t>
            </w:r>
          </w:p>
        </w:tc>
        <w:tc>
          <w:tcPr>
            <w:tcW w:type="dxa" w:w="379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不能用于正式投资或认证结论</w:t>
            </w:r>
          </w:p>
        </w:tc>
      </w:tr>
    </w:tbl>
    <w:p>
      <w:pPr>
        <w:spacing w:after="40"/>
      </w:pPr>
    </w:p>
    <w:p>
      <w:pPr>
        <w:pStyle w:val="Heading3"/>
      </w:pPr>
      <w:r>
        <w:t>5.2 四类负荷明确设置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58"/>
        <w:gridCol w:w="1508"/>
        <w:gridCol w:w="1356"/>
        <w:gridCol w:w="2469"/>
        <w:gridCol w:w="2469"/>
      </w:tblGrid>
      <w:tr>
        <w:trPr>
          <w:tblHeader w:val="true"/>
          <w:cantSplit/>
        </w:trPr>
        <w:tc>
          <w:tcPr>
            <w:tcW w:type="dxa" w:w="155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50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年电量</w:t>
            </w:r>
          </w:p>
        </w:tc>
        <w:tc>
          <w:tcPr>
            <w:tcW w:type="dxa" w:w="135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15分钟峰值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当前设置方法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正式替换依据</w:t>
            </w:r>
          </w:p>
        </w:tc>
      </w:tr>
      <w:tr>
        <w:trPr>
          <w:cantSplit/>
        </w:trPr>
        <w:tc>
          <w:tcPr>
            <w:tcW w:type="dxa" w:w="155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灌溉与水泵</w:t>
            </w:r>
          </w:p>
        </w:tc>
        <w:tc>
          <w:tcPr>
            <w:tcW w:type="dxa" w:w="150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521.93兆瓦时</w:t>
            </w:r>
          </w:p>
        </w:tc>
        <w:tc>
          <w:tcPr>
            <w:tcW w:type="dxa" w:w="135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1.198兆瓦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4月20日至6月10日分两个运行时段，最高1.20兆瓦，并叠加周因子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泵组台账、流量扬程效率、灌溉面积、水量任务、启停记录</w:t>
            </w:r>
          </w:p>
        </w:tc>
      </w:tr>
      <w:tr>
        <w:trPr>
          <w:cantSplit/>
        </w:trPr>
        <w:tc>
          <w:tcPr>
            <w:tcW w:type="dxa" w:w="155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粮食烘干与加工</w:t>
            </w:r>
          </w:p>
        </w:tc>
        <w:tc>
          <w:tcPr>
            <w:tcW w:type="dxa" w:w="150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3825.83兆瓦时</w:t>
            </w:r>
          </w:p>
        </w:tc>
        <w:tc>
          <w:tcPr>
            <w:tcW w:type="dxa" w:w="135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2.000兆瓦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常规期工作日运行；9月15日至11月30日按五段班次，峰值2.00兆瓦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生产线台账、单位产品能耗、批次产量、班次、最晚完成时间</w:t>
            </w:r>
          </w:p>
        </w:tc>
      </w:tr>
      <w:tr>
        <w:trPr>
          <w:cantSplit/>
        </w:trPr>
        <w:tc>
          <w:tcPr>
            <w:tcW w:type="dxa" w:w="155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仓储与冷链</w:t>
            </w:r>
          </w:p>
        </w:tc>
        <w:tc>
          <w:tcPr>
            <w:tcW w:type="dxa" w:w="150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3287.88兆瓦时</w:t>
            </w:r>
          </w:p>
        </w:tc>
        <w:tc>
          <w:tcPr>
            <w:tcW w:type="dxa" w:w="135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0.537兆瓦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0.28兆瓦基础，叠加温度、日间作业和秋收增量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冷库电表、库温、库存量、设备性能、门开启与除霜记录</w:t>
            </w:r>
          </w:p>
        </w:tc>
      </w:tr>
      <w:tr>
        <w:trPr>
          <w:cantSplit/>
        </w:trPr>
        <w:tc>
          <w:tcPr>
            <w:tcW w:type="dxa" w:w="155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公共与辅助</w:t>
            </w:r>
          </w:p>
        </w:tc>
        <w:tc>
          <w:tcPr>
            <w:tcW w:type="dxa" w:w="150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1266.72兆瓦时</w:t>
            </w:r>
          </w:p>
        </w:tc>
        <w:tc>
          <w:tcPr>
            <w:tcW w:type="dxa" w:w="135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0.240兆瓦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0.07兆瓦基础，叠加日间、秋收和冬季增量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公共分表、照明通风污水消防设备台账、工作日历</w:t>
            </w:r>
          </w:p>
        </w:tc>
      </w:tr>
      <w:tr>
        <w:trPr>
          <w:cantSplit/>
        </w:trPr>
        <w:tc>
          <w:tcPr>
            <w:tcW w:type="dxa" w:w="155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园区合计</w:t>
            </w:r>
          </w:p>
        </w:tc>
        <w:tc>
          <w:tcPr>
            <w:tcW w:type="dxa" w:w="1508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8902.36兆瓦时</w:t>
            </w:r>
          </w:p>
        </w:tc>
        <w:tc>
          <w:tcPr>
            <w:tcW w:type="dxa" w:w="135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2.763兆瓦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四类逐时直接相加，不加缩放系数</w:t>
            </w:r>
          </w:p>
        </w:tc>
        <w:tc>
          <w:tcPr>
            <w:tcW w:type="dxa" w:w="2469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园区总表与分表闭环校准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小时级园区峰值为2.760兆瓦。15分钟峰值略高是分辨率差异造成，不应将两者混为同一指标。</w:t>
      </w:r>
    </w:p>
    <w:p>
      <w:pPr>
        <w:pStyle w:val="Heading3"/>
      </w:pPr>
      <w:r>
        <w:t>5.3 负荷生成公式</w:t>
      </w:r>
    </w:p>
    <w:p>
      <w:r>
        <w:rPr>
          <w:rFonts w:ascii="Calibri" w:hAnsi="Calibri" w:eastAsia="Microsoft YaHei"/>
        </w:rPr>
        <w:t>灌溉季上午功率为</w:t>
      </w:r>
      <w:r>
        <w:rPr>
          <w:rStyle w:val="CodeInline"/>
        </w:rPr>
        <w:t>1.20 × 周变化因子</w:t>
      </w:r>
      <w:r>
        <w:rPr>
          <w:rFonts w:ascii="Calibri" w:hAnsi="Calibri" w:eastAsia="Microsoft YaHei"/>
        </w:rPr>
        <w:t>，下午为</w:t>
      </w:r>
      <w:r>
        <w:rPr>
          <w:rStyle w:val="CodeInline"/>
        </w:rPr>
        <w:t>0.90 × 周变化因子</w:t>
      </w:r>
      <w:r>
        <w:rPr>
          <w:rFonts w:ascii="Calibri" w:hAnsi="Calibri" w:eastAsia="Microsoft YaHei"/>
        </w:rPr>
        <w:t>，其中周变化因子为</w:t>
      </w:r>
      <w:r>
        <w:rPr>
          <w:rStyle w:val="CodeInline"/>
        </w:rPr>
        <w:t>0.92 + 0.08 × sin(2π × (年内日序 - 1) / 7)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加工负荷常规待机0.12兆瓦，周一至周六08:00至17:00为0.55兆瓦。秋收期06:00至22:00按0.80、1.70、0.90、2.00、1.30兆瓦五段设置，其余时段0.25兆瓦。</w:t>
      </w:r>
    </w:p>
    <w:p>
      <w:r>
        <w:rPr>
          <w:rFonts w:ascii="Calibri" w:hAnsi="Calibri" w:eastAsia="Microsoft YaHei"/>
        </w:rPr>
        <w:t>冷链负荷由0.28兆瓦基础、温度超过5摄氏度后的增量、日间0.05兆瓦和秋收0.10兆瓦构成。公共辅助由0.07兆瓦基础、日间0.12兆瓦、秋收0.04兆瓦和冬季0.02兆瓦构成。</w:t>
      </w:r>
    </w:p>
    <w:p>
      <w:pPr>
        <w:pStyle w:val="Heading3"/>
      </w:pPr>
      <w:r>
        <w:t>5.4 能源和经济演示参数</w:t>
      </w:r>
    </w:p>
    <w:p>
      <w:r>
        <w:rPr>
          <w:rFonts w:ascii="Calibri" w:hAnsi="Calibri" w:eastAsia="Microsoft YaHei"/>
        </w:rPr>
        <w:t>物理直连演示使用1.50兆瓦光伏、1.00兆瓦直连合同、0.80兆瓦/2.00兆瓦时储能、3.5%线路损耗、95%充放电效率、10%至90%荷电范围和0.50兆瓦外送上限。</w:t>
      </w:r>
    </w:p>
    <w:p>
      <w:r>
        <w:rPr>
          <w:rFonts w:ascii="Calibri" w:hAnsi="Calibri" w:eastAsia="Microsoft YaHei"/>
        </w:rPr>
        <w:t>购电价使用0.30、0.52、0.43、0.85和0.35元/千瓦时的演示分时阶梯，售电价为对应购电价的35%，公共电网排放因子为0.55吨二氧化碳/兆瓦时。这些值均为E级，正式项目应使用供电合同、结算规则和当前适用的官方排放因子。</w:t>
      </w:r>
    </w:p>
    <w:p>
      <w:pPr>
        <w:pStyle w:val="Heading3"/>
      </w:pPr>
      <w:r>
        <w:t>5.5 正式数据替换顺序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园区总表和公共电网关口表。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四类负荷分表和变压器归属。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光伏、储能、泵站、加工线和冷库设备台账。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灌溉水量、加工批次、冷库温度和库存任务。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气象与光伏实测、绿电直连计划和线路损耗。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电价、需量费、绿电合同、造价、运维和碳因子。</w:t>
      </w:r>
    </w:p>
    <w:p>
      <w:r>
        <w:rPr>
          <w:rFonts w:ascii="Calibri" w:hAnsi="Calibri" w:eastAsia="Microsoft YaHei"/>
        </w:rPr>
        <w:t>若分项和总表不一致，应先形成计量差异报告，不得用一个比例强行缩放后宣称数据已经校准。</w:t>
      </w:r>
    </w:p>
    <w:p>
      <w:pPr>
        <w:pStyle w:val="Heading2"/>
      </w:pPr>
      <w:r>
        <w:t>6. 数据模板与质量检验</w:t>
      </w:r>
    </w:p>
    <w:p>
      <w:pPr>
        <w:pStyle w:val="Heading3"/>
      </w:pPr>
      <w:r>
        <w:t>6.1 时序数据模板</w:t>
      </w:r>
    </w:p>
    <w:p>
      <w:r>
        <w:rPr>
          <w:rFonts w:ascii="Calibri" w:hAnsi="Calibri" w:eastAsia="Microsoft YaHei"/>
        </w:rPr>
        <w:t>核心字段包括时间戳、园区总负荷、四类负荷、本地光伏可用功率、直连绿电可用功率、买卖电价、公共电网碳因子、温度和数据来源。15分钟全年应有35040行，普通年份小时数据应有8760行。</w:t>
      </w:r>
    </w:p>
    <w:p>
      <w:r>
        <w:rPr>
          <w:rFonts w:ascii="Calibri" w:hAnsi="Calibri" w:eastAsia="Microsoft YaHei"/>
        </w:rPr>
        <w:t>检查规则包括必填列、数值类型、非负值、重复时间、缺失时点、时间间隔、总分表平衡、异常尖峰、数据时区和来源标识。任何自动补点、插值和异常替换都应产生审计记录。</w:t>
      </w:r>
    </w:p>
    <w:p>
      <w:pPr>
        <w:pStyle w:val="Heading3"/>
      </w:pPr>
      <w:r>
        <w:t>6.2 资产数据模板</w:t>
      </w:r>
    </w:p>
    <w:p>
      <w:r>
        <w:rPr>
          <w:rFonts w:ascii="Calibri" w:hAnsi="Calibri" w:eastAsia="Microsoft YaHei"/>
        </w:rPr>
        <w:t>每台或每类设备记录资产标识、类别、额定功率、能量容量、效率、最小最大工况、投运日期、可用率、所属变压器、来源文件和有效期。储能必须同时提供功率与能量容量；线路必须提供额定容量、长度、损耗或可计算损耗的电气参数。</w:t>
      </w:r>
    </w:p>
    <w:p>
      <w:pPr>
        <w:pStyle w:val="Heading3"/>
      </w:pPr>
      <w:r>
        <w:t>6.3 农业任务模板</w:t>
      </w:r>
    </w:p>
    <w:p>
      <w:r>
        <w:rPr>
          <w:rFonts w:ascii="Calibri" w:hAnsi="Calibri" w:eastAsia="Microsoft YaHei"/>
        </w:rPr>
        <w:t>任务记录负荷类别、任务日期、任务量、单位、单位能耗、最早开始、最晚结束、设备功率上限、最短连续运行时间、是否可中断和数据来源。正式模型应从水量、产量或温控要求推导电量，而不是只给可移动百分比。</w:t>
      </w:r>
    </w:p>
    <w:p>
      <w:pPr>
        <w:pStyle w:val="Heading3"/>
      </w:pPr>
      <w:r>
        <w:t>6.4 来源凭证模板</w:t>
      </w:r>
    </w:p>
    <w:p>
      <w:r>
        <w:rPr>
          <w:rFonts w:ascii="Calibri" w:hAnsi="Calibri" w:eastAsia="Microsoft YaHei"/>
        </w:rPr>
        <w:t>每个参数记录参数标识、值、单位、A至E等级、来源名称、文件或网址、发布机构、适用日期、提取方法、责任人和复核状态。参数变更时保留旧版本和参数指纹。</w:t>
      </w:r>
    </w:p>
    <w:p>
      <w:pPr>
        <w:pStyle w:val="Heading2"/>
      </w:pPr>
      <w:r>
        <w:t>7. 物理能量流算法</w:t>
      </w:r>
    </w:p>
    <w:p>
      <w:pPr>
        <w:pStyle w:val="Heading3"/>
      </w:pPr>
      <w:r>
        <w:t>7.1 固定容量调度顺序</w:t>
      </w:r>
    </w:p>
    <w:p>
      <w:r>
        <w:rPr>
          <w:rFonts w:ascii="Calibri" w:hAnsi="Calibri" w:eastAsia="Microsoft YaHei"/>
        </w:rPr>
        <w:t>每个时间间隔先用本地光伏满足负荷，再使用扣除线路损耗后的直连绿电，然后由储能放电补缺，剩余缺口由公共电网供给。富余绿电先给储能充电，之后在外送上限内外送，最终剩余记为弃电。</w:t>
      </w:r>
    </w:p>
    <w:p>
      <w:r>
        <w:rPr>
          <w:rFonts w:ascii="Calibri" w:hAnsi="Calibri" w:eastAsia="Microsoft YaHei"/>
        </w:rPr>
        <w:t>该规则不允许同一时段储能同时充放电，也不安排普通电网给演示储能充电。实现位于</w:t>
      </w:r>
      <w:r>
        <w:rPr>
          <w:rStyle w:val="CodeInline"/>
        </w:rPr>
        <w:t>AgriEnergyFlowService</w:t>
      </w:r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t>7.2 绿电直连损耗</w:t>
      </w:r>
    </w:p>
    <w:p>
      <w:r>
        <w:rPr>
          <w:rFonts w:ascii="Calibri" w:hAnsi="Calibri" w:eastAsia="Microsoft YaHei"/>
        </w:rPr>
        <w:t>直连送达功率等于基地注入功率乘以</w:t>
      </w:r>
      <w:r>
        <w:rPr>
          <w:rStyle w:val="CodeInline"/>
        </w:rPr>
        <w:t>1 - 线路损耗率</w:t>
      </w:r>
      <w:r>
        <w:rPr>
          <w:rFonts w:ascii="Calibri" w:hAnsi="Calibri" w:eastAsia="Microsoft YaHei"/>
        </w:rPr>
        <w:t>。线路损耗单列进入系统能量平衡和年度能量流，不能把基地注入量直接当作园区获得的绿电。</w:t>
      </w:r>
    </w:p>
    <w:p>
      <w:pPr>
        <w:pStyle w:val="Heading3"/>
      </w:pPr>
      <w:r>
        <w:t>7.3 母线与系统守恒</w:t>
      </w:r>
    </w:p>
    <w:p>
      <w:r>
        <w:rPr>
          <w:rFonts w:ascii="Calibri" w:hAnsi="Calibri" w:eastAsia="Microsoft YaHei"/>
        </w:rPr>
        <w:t>母线平衡为：</w:t>
      </w:r>
    </w:p>
    <w:p>
      <w:r>
        <w:rPr>
          <w:rStyle w:val="CodeInline"/>
        </w:rPr>
        <w:t>光伏 + 直连送达 + 电网购电 + 储能放电 = 农业负荷 + 储能充电 + 外送 + 弃电</w:t>
      </w:r>
    </w:p>
    <w:p>
      <w:r>
        <w:rPr>
          <w:rFonts w:ascii="Calibri" w:hAnsi="Calibri" w:eastAsia="Microsoft YaHei"/>
        </w:rPr>
        <w:t>系统平衡为：</w:t>
      </w:r>
    </w:p>
    <w:p>
      <w:r>
        <w:rPr>
          <w:rStyle w:val="CodeInline"/>
        </w:rPr>
        <w:t>光伏 + 直连注入 + 电网购电 = 农业负荷 + 外送 + 弃电 + 线路损耗 + 储能损耗 + 储能存量变化</w:t>
      </w:r>
    </w:p>
    <w:p>
      <w:r>
        <w:rPr>
          <w:rFonts w:ascii="Calibri" w:hAnsi="Calibri" w:eastAsia="Microsoft YaHei"/>
        </w:rPr>
        <w:t>当前全年最大平衡误差处于浮点数容差量级，约</w:t>
      </w:r>
      <w:r>
        <w:rPr>
          <w:rStyle w:val="CodeInline"/>
        </w:rPr>
        <w:t>10^-15</w:t>
      </w:r>
      <w:r>
        <w:rPr>
          <w:rFonts w:ascii="Calibri" w:hAnsi="Calibri" w:eastAsia="Microsoft YaHei"/>
        </w:rPr>
        <w:t>至</w:t>
      </w:r>
      <w:r>
        <w:rPr>
          <w:rStyle w:val="CodeInline"/>
        </w:rPr>
        <w:t>10^-9</w:t>
      </w:r>
      <w:r>
        <w:rPr>
          <w:rFonts w:ascii="Calibri" w:hAnsi="Calibri" w:eastAsia="Microsoft YaHei"/>
        </w:rPr>
        <w:t>兆瓦，具体取决于调用路径和汇总尺度。</w:t>
      </w:r>
    </w:p>
    <w:p>
      <w:pPr>
        <w:pStyle w:val="Heading3"/>
      </w:pPr>
      <w:r>
        <w:t>7.4 储能来源分账</w:t>
      </w:r>
    </w:p>
    <w:p>
      <w:r>
        <w:rPr>
          <w:rFonts w:ascii="Calibri" w:hAnsi="Calibri" w:eastAsia="Microsoft YaHei"/>
        </w:rPr>
        <w:t>储能内部维护光伏来源、直连来源和未核验来源账户。充电时按来源增加存量；放电时按各账户现有存量比例扣减；效率和自放电损耗单列。只有光伏和直连来源的放电能继续计为物理绿电。</w:t>
      </w:r>
    </w:p>
    <w:p>
      <w:r>
        <w:rPr>
          <w:rFonts w:ascii="Calibri" w:hAnsi="Calibri" w:eastAsia="Microsoft YaHei"/>
        </w:rPr>
        <w:t>优化模型目前只允许光伏和直连绿电给绿色储能账户充电。若未来允许谷时普通电网充电，必须新增普通电来源账户，并在放电时分别计算碳因子和绿电属性。</w:t>
      </w:r>
    </w:p>
    <w:p>
      <w:pPr>
        <w:pStyle w:val="Heading3"/>
      </w:pPr>
      <w:r>
        <w:t>7.5 四类负荷流向</w:t>
      </w:r>
    </w:p>
    <w:p>
      <w:r>
        <w:rPr>
          <w:rFonts w:ascii="Calibri" w:hAnsi="Calibri" w:eastAsia="Microsoft YaHei"/>
        </w:rPr>
        <w:t>每个时刻，各供能来源按照四类负荷当期占比分配到灌溉、加工、冷链和公共辅助。年度桑基流量由逐时分配求和得到，不使用固定年度比例。</w:t>
      </w:r>
    </w:p>
    <w:p>
      <w:pPr>
        <w:pStyle w:val="Heading3"/>
      </w:pPr>
      <w:r>
        <w:t>7.6 物理直连演示结果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277"/>
        <w:gridCol w:w="5083"/>
      </w:tblGrid>
      <w:tr>
        <w:trPr>
          <w:tblHeader w:val="true"/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本地光伏发电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2814.96兆瓦时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绿电基地注入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4444.55兆瓦时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直连线路损耗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155.56兆瓦时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直连送达园区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4288.99兆瓦时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公共电网购电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2256.27兆瓦时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物理绿电供给负荷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6645.89兆瓦时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物理绿电匹配率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74.65%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储能充电与放电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444.60与401.22兆瓦时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储能损耗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43.35兆瓦时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外送与弃电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330.20与84.29兆瓦时</w:t>
            </w:r>
          </w:p>
        </w:tc>
      </w:tr>
      <w:tr>
        <w:trPr>
          <w:cantSplit/>
        </w:trPr>
        <w:tc>
          <w:tcPr>
            <w:tcW w:type="dxa" w:w="427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运营碳排放</w:t>
            </w:r>
          </w:p>
        </w:tc>
        <w:tc>
          <w:tcPr>
            <w:tcW w:type="dxa" w:w="508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1241.06吨二氧化碳</w:t>
            </w:r>
          </w:p>
        </w:tc>
      </w:tr>
    </w:tbl>
    <w:p>
      <w:pPr>
        <w:spacing w:after="40"/>
      </w:pPr>
    </w:p>
    <w:p>
      <w:pPr>
        <w:pStyle w:val="Heading2"/>
      </w:pPr>
      <w:r>
        <w:t>8. 联合优化算法</w:t>
      </w:r>
    </w:p>
    <w:p>
      <w:pPr>
        <w:pStyle w:val="Heading3"/>
      </w:pPr>
      <w:r>
        <w:t>8.1 求解器和问题类型</w:t>
      </w:r>
    </w:p>
    <w:p>
      <w:r>
        <w:rPr>
          <w:rFonts w:ascii="Calibri" w:hAnsi="Calibri" w:eastAsia="Microsoft YaHei"/>
        </w:rPr>
        <w:t>核心实现位于</w:t>
      </w:r>
      <w:r>
        <w:rPr>
          <w:rStyle w:val="CodeInline"/>
        </w:rPr>
        <w:t>src/model/agri_zero_carbon_optimizer.py</w:t>
      </w:r>
      <w:r>
        <w:rPr>
          <w:rFonts w:ascii="Calibri" w:hAnsi="Calibri" w:eastAsia="Microsoft YaHei"/>
        </w:rPr>
        <w:t>，使用SciPy的HiGHS线性规划求解器。默认在8760个小时上求解；1、2、3、4和6小时聚合只用于快速试算。</w:t>
      </w:r>
    </w:p>
    <w:p>
      <w:r>
        <w:rPr>
          <w:rFonts w:ascii="Calibri" w:hAnsi="Calibri" w:eastAsia="Microsoft YaHei"/>
        </w:rPr>
        <w:t>直连固定工程费使“建或不建”出现离散选择。当前实现分别求解“不建设直连”和“建设直连”两个连续线性规划，再把固定费加入建设方案，比较总成本后选优。这是一种两分支析取求解，避免为单个二元变量引入完整混合整数模型。</w:t>
      </w:r>
    </w:p>
    <w:p>
      <w:pPr>
        <w:pStyle w:val="Heading3"/>
      </w:pPr>
      <w:r>
        <w:t>8.2 容量决策变量</w:t>
      </w:r>
    </w:p>
    <w:p>
      <w:pPr>
        <w:pStyle w:val="ListBullet"/>
      </w:pPr>
      <w:r>
        <w:rPr>
          <w:rFonts w:ascii="Calibri" w:hAnsi="Calibri" w:eastAsia="Microsoft YaHei"/>
        </w:rPr>
        <w:t>本地光伏容量，兆瓦。</w:t>
      </w:r>
    </w:p>
    <w:p>
      <w:pPr>
        <w:pStyle w:val="ListBullet"/>
      </w:pPr>
      <w:r>
        <w:rPr>
          <w:rFonts w:ascii="Calibri" w:hAnsi="Calibri" w:eastAsia="Microsoft YaHei"/>
        </w:rPr>
        <w:t>绿电直连合同容量，兆瓦。</w:t>
      </w:r>
    </w:p>
    <w:p>
      <w:pPr>
        <w:pStyle w:val="ListBullet"/>
      </w:pPr>
      <w:r>
        <w:rPr>
          <w:rFonts w:ascii="Calibri" w:hAnsi="Calibri" w:eastAsia="Microsoft YaHei"/>
        </w:rPr>
        <w:t>储能充放电功率，兆瓦。</w:t>
      </w:r>
    </w:p>
    <w:p>
      <w:pPr>
        <w:pStyle w:val="ListBullet"/>
      </w:pPr>
      <w:r>
        <w:rPr>
          <w:rFonts w:ascii="Calibri" w:hAnsi="Calibri" w:eastAsia="Microsoft YaHei"/>
        </w:rPr>
        <w:t>储能能量容量，兆瓦时。</w:t>
      </w:r>
    </w:p>
    <w:p>
      <w:pPr>
        <w:pStyle w:val="ListBullet"/>
      </w:pPr>
      <w:r>
        <w:rPr>
          <w:rFonts w:ascii="Calibri" w:hAnsi="Calibri" w:eastAsia="Microsoft YaHei"/>
        </w:rPr>
        <w:t>公共电网最大需量，兆瓦。</w:t>
      </w:r>
    </w:p>
    <w:p>
      <w:pPr>
        <w:pStyle w:val="Heading3"/>
      </w:pPr>
      <w:r>
        <w:t>8.3 逐时运行变量</w:t>
      </w:r>
    </w:p>
    <w:p>
      <w:pPr>
        <w:pStyle w:val="ListBullet"/>
      </w:pPr>
      <w:r>
        <w:rPr>
          <w:rFonts w:ascii="Calibri" w:hAnsi="Calibri" w:eastAsia="Microsoft YaHei"/>
        </w:rPr>
        <w:t>光伏和直连绿电分别流向负荷、储能、外送和弃电的功率。</w:t>
      </w:r>
    </w:p>
    <w:p>
      <w:pPr>
        <w:pStyle w:val="ListBullet"/>
      </w:pPr>
      <w:r>
        <w:rPr>
          <w:rFonts w:ascii="Calibri" w:hAnsi="Calibri" w:eastAsia="Microsoft YaHei"/>
        </w:rPr>
        <w:t>光伏来源和直连来源储能的充电、放电和荷电状态。</w:t>
      </w:r>
    </w:p>
    <w:p>
      <w:pPr>
        <w:pStyle w:val="ListBullet"/>
      </w:pPr>
      <w:r>
        <w:rPr>
          <w:rFonts w:ascii="Calibri" w:hAnsi="Calibri" w:eastAsia="Microsoft YaHei"/>
        </w:rPr>
        <w:t>公共电网购电与外送功率。</w:t>
      </w:r>
    </w:p>
    <w:p>
      <w:pPr>
        <w:pStyle w:val="ListBullet"/>
      </w:pPr>
      <w:r>
        <w:rPr>
          <w:rFonts w:ascii="Calibri" w:hAnsi="Calibri" w:eastAsia="Microsoft YaHei"/>
        </w:rPr>
        <w:t>灌溉、加工和冷链的可移动负荷功率。</w:t>
      </w:r>
    </w:p>
    <w:p>
      <w:pPr>
        <w:pStyle w:val="Heading3"/>
      </w:pPr>
      <w:r>
        <w:t>8.4 目标函数</w:t>
      </w:r>
    </w:p>
    <w:p>
      <w:r>
        <w:rPr>
          <w:rFonts w:ascii="Calibri" w:hAnsi="Calibri" w:eastAsia="Microsoft YaHei"/>
        </w:rPr>
        <w:t>模型最小化人民币年总成本：</w:t>
      </w:r>
    </w:p>
    <w:p>
      <w:r>
        <w:rPr>
          <w:rStyle w:val="CodeInline"/>
        </w:rPr>
        <w:t>年总成本 = 光伏年化投资运维 + 储能年化投资运维 + 直连固定工程年化 + 直连购电 + 电网购电 + 最大需量费 + 碳成本 + 储能衰减 + 弃电惩罚 - 外送收益</w:t>
      </w:r>
    </w:p>
    <w:p>
      <w:r>
        <w:rPr>
          <w:rFonts w:ascii="Calibri" w:hAnsi="Calibri" w:eastAsia="Microsoft YaHei"/>
        </w:rPr>
        <w:t>资本性支出使用20年规划期和5%折现率计算年化系数。所有结果都保留成本分项，图表总成本应与分项之和对账。</w:t>
      </w:r>
    </w:p>
    <w:p>
      <w:pPr>
        <w:pStyle w:val="Heading3"/>
      </w:pPr>
      <w:r>
        <w:t>8.5 核心约束</w:t>
      </w:r>
    </w:p>
    <w:p>
      <w:pPr>
        <w:pStyle w:val="ListBullet"/>
      </w:pPr>
      <w:r>
        <w:rPr>
          <w:rFonts w:ascii="Calibri" w:hAnsi="Calibri" w:eastAsia="Microsoft YaHei"/>
        </w:rPr>
        <w:t>光伏和直连出力不能超过容量乘以逐时可用系数。</w:t>
      </w:r>
    </w:p>
    <w:p>
      <w:pPr>
        <w:pStyle w:val="ListBullet"/>
      </w:pPr>
      <w:r>
        <w:rPr>
          <w:rFonts w:ascii="Calibri" w:hAnsi="Calibri" w:eastAsia="Microsoft YaHei"/>
        </w:rPr>
        <w:t>每个时刻满足园区电力母线平衡。</w:t>
      </w:r>
    </w:p>
    <w:p>
      <w:pPr>
        <w:pStyle w:val="ListBullet"/>
      </w:pPr>
      <w:r>
        <w:rPr>
          <w:rFonts w:ascii="Calibri" w:hAnsi="Calibri" w:eastAsia="Microsoft YaHei"/>
        </w:rPr>
        <w:t>直连电量先扣除3.5%线路损耗。</w:t>
      </w:r>
    </w:p>
    <w:p>
      <w:pPr>
        <w:pStyle w:val="ListBullet"/>
      </w:pPr>
      <w:r>
        <w:rPr>
          <w:rFonts w:ascii="Calibri" w:hAnsi="Calibri" w:eastAsia="Microsoft YaHei"/>
        </w:rPr>
        <w:t>储能荷电状态逐时递推、年初年末循环闭合，并受功率、容量、荷电范围、效率、自放电和循环约束。</w:t>
      </w:r>
    </w:p>
    <w:p>
      <w:pPr>
        <w:pStyle w:val="ListBullet"/>
      </w:pPr>
      <w:r>
        <w:rPr>
          <w:rFonts w:ascii="Calibri" w:hAnsi="Calibri" w:eastAsia="Microsoft YaHei"/>
        </w:rPr>
        <w:t>直连与公共电网共同受4.50兆瓦园区进口边界约束，外送受0.50兆瓦边界约束。</w:t>
      </w:r>
    </w:p>
    <w:p>
      <w:pPr>
        <w:pStyle w:val="ListBullet"/>
      </w:pPr>
      <w:r>
        <w:rPr>
          <w:rFonts w:ascii="Calibri" w:hAnsi="Calibri" w:eastAsia="Microsoft YaHei"/>
        </w:rPr>
        <w:t>物理绿电目标通过限制普通电网年购电量实现；100%目标等价于年度普通购电为零。</w:t>
      </w:r>
    </w:p>
    <w:p>
      <w:pPr>
        <w:pStyle w:val="ListBullet"/>
      </w:pPr>
      <w:r>
        <w:rPr>
          <w:rFonts w:ascii="Calibri" w:hAnsi="Calibri" w:eastAsia="Microsoft YaHei"/>
        </w:rPr>
        <w:t>三类农业负荷每天完成与基线相同的任务电量，并受可移动比例和设备功率上限约束。</w:t>
      </w:r>
    </w:p>
    <w:p>
      <w:pPr>
        <w:pStyle w:val="Heading3"/>
      </w:pPr>
      <w:r>
        <w:t>8.6 农业任务的实现逻辑</w:t>
      </w:r>
    </w:p>
    <w:p>
      <w:r>
        <w:rPr>
          <w:rFonts w:ascii="Calibri" w:hAnsi="Calibri" w:eastAsia="Microsoft YaHei"/>
        </w:rPr>
        <w:t>每类负荷拆成不可移动部分和可移动部分。模型对每一天建立等式，要求优化后的日总电量与基线日任务电量相同；同时对每个时点设置设备功率上限。这样可以把灌溉或加工移动到绿电充足时段，但不能通过减少生产任务得到虚假的低成本和零排放。</w:t>
      </w:r>
    </w:p>
    <w:p>
      <w:r>
        <w:rPr>
          <w:rFonts w:ascii="Calibri" w:hAnsi="Calibri" w:eastAsia="Microsoft YaHei"/>
        </w:rPr>
        <w:t>当前任务仍以日用电量为代理变量。下一阶段需用灌溉水量、加工产量、冷库温度和最迟完成时间建立物理任务约束。</w:t>
      </w:r>
    </w:p>
    <w:p>
      <w:pPr>
        <w:pStyle w:val="Heading3"/>
      </w:pPr>
      <w:r>
        <w:t>8.7 防止不合理套利</w:t>
      </w:r>
    </w:p>
    <w:p>
      <w:r>
        <w:rPr>
          <w:rFonts w:ascii="Calibri" w:hAnsi="Calibri" w:eastAsia="Microsoft YaHei"/>
        </w:rPr>
        <w:t>当前买电价严格高于同期净售电价，储能衰减成本高于弃电惩罚，因此同时购售电、同时充放电都是严格劣解。程序在求解前验证该经济条件，求解后统计冲突时段。若未来合同使条件不成立，系统应拒绝当前连续模型，并升级为包含互斥二元变量的混合整数模型。</w:t>
      </w:r>
    </w:p>
    <w:p>
      <w:pPr>
        <w:pStyle w:val="Heading3"/>
      </w:pPr>
      <w:r>
        <w:t>8.8 三策略结果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87"/>
        <w:gridCol w:w="2146"/>
        <w:gridCol w:w="2664"/>
        <w:gridCol w:w="2663"/>
      </w:tblGrid>
      <w:tr>
        <w:trPr>
          <w:tblHeader w:val="true"/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现状基准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绿电直连过渡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零碳协同优化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光伏容量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0.000兆瓦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1.500兆瓦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4.000兆瓦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直连容量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0.000兆瓦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1.000兆瓦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2.608兆瓦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储能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0/0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0.800兆瓦/2.000兆瓦时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1.965兆瓦/7.858兆瓦时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普通电网购电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8902.36兆瓦时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2256.27兆瓦时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0.00兆瓦时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物理绿电匹配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74.65%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运营排放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4896.30吨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1241.06吨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0.00吨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年总成本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679.88万元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660.95万元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757.11万元</w:t>
            </w:r>
          </w:p>
        </w:tc>
      </w:tr>
      <w:tr>
        <w:trPr>
          <w:cantSplit/>
        </w:trPr>
        <w:tc>
          <w:tcPr>
            <w:tcW w:type="dxa" w:w="1887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平均供能成本</w:t>
            </w:r>
          </w:p>
        </w:tc>
        <w:tc>
          <w:tcPr>
            <w:tcW w:type="dxa" w:w="214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763.70元/兆瓦时</w:t>
            </w:r>
          </w:p>
        </w:tc>
        <w:tc>
          <w:tcPr>
            <w:tcW w:type="dxa" w:w="266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742.44元/兆瓦时</w:t>
            </w:r>
          </w:p>
        </w:tc>
        <w:tc>
          <w:tcPr>
            <w:tcW w:type="dxa" w:w="2663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850.46元/兆瓦时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零碳方案相对现状年成本增加约77.24万元，溢价约11.36%。它同时产生约3884.87兆瓦时外送和5833.64兆瓦时弃电，表明当前逐时零普通购电要求造成容量过配。页面必须同时展示这些副作用。</w:t>
      </w:r>
    </w:p>
    <w:p>
      <w:pPr>
        <w:pStyle w:val="Heading2"/>
      </w:pPr>
      <w:r>
        <w:t>9. 压力测试与合理性复核</w:t>
      </w:r>
    </w:p>
    <w:p>
      <w:pPr>
        <w:pStyle w:val="Heading3"/>
      </w:pPr>
      <w:r>
        <w:t>9.1 方法</w:t>
      </w:r>
    </w:p>
    <w:p>
      <w:r>
        <w:rPr>
          <w:rFonts w:ascii="Calibri" w:hAnsi="Calibri" w:eastAsia="Microsoft YaHei"/>
        </w:rPr>
        <w:t>压力测试固定零碳方案推荐容量，不允许扰动后重新扩建。筛查保留全年季节、春灌和秋收日历，并继续检查能量平衡、日任务、储能来源和互斥冲突。</w:t>
      </w:r>
    </w:p>
    <w:p>
      <w:pPr>
        <w:pStyle w:val="Heading3"/>
      </w:pPr>
      <w:r>
        <w:t>9.2 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94"/>
        <w:gridCol w:w="1872"/>
        <w:gridCol w:w="1531"/>
        <w:gridCol w:w="1531"/>
        <w:gridCol w:w="1532"/>
      </w:tblGrid>
      <w:tr>
        <w:trPr>
          <w:tblHeader w:val="true"/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压力条件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普通电网补充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运营排放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成本变化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保持零碳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光伏出力下降30%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56.77兆瓦时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31.22吨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+1.30%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春灌负荷增加25%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0.00兆瓦时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0.00吨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-0.03%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秋收加工增加20%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88.80兆瓦时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48.84吨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+2.51%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直连出力下降40%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492.89兆瓦时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271.09吨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-14.43%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电价与投资上浮20%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0.00兆瓦时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0.00吨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+21.30%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公共电网晚峰连续七日限电</w:t>
            </w:r>
          </w:p>
        </w:tc>
        <w:tc>
          <w:tcPr>
            <w:tcW w:type="dxa" w:w="187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0.00兆瓦时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0.00吨</w:t>
            </w:r>
          </w:p>
        </w:tc>
        <w:tc>
          <w:tcPr>
            <w:tcW w:type="dxa" w:w="1531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约0.00%</w:t>
            </w:r>
          </w:p>
        </w:tc>
        <w:tc>
          <w:tcPr>
            <w:tcW w:type="dxa" w:w="1532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3"/>
      </w:pPr>
      <w:r>
        <w:t>9.3 解释规则</w:t>
      </w:r>
    </w:p>
    <w:p>
      <w:r>
        <w:rPr>
          <w:rFonts w:ascii="Calibri" w:hAnsi="Calibri" w:eastAsia="Microsoft YaHei"/>
        </w:rPr>
        <w:t>直连受限时成本下降不是方案改善，而是按实际注入电量结算导致少买了绿电，同时失去零碳。任何决策图都必须把成本与排放并列，禁止仅按最低成本推荐。</w:t>
      </w:r>
    </w:p>
    <w:p>
      <w:r>
        <w:rPr>
          <w:rFonts w:ascii="Calibri" w:hAnsi="Calibri" w:eastAsia="Microsoft YaHei"/>
        </w:rPr>
        <w:t>春灌增加仍能保持零碳，是因为当前演示时序春季有富余绿电且灌溉允许日内移动，不能外推为真实园区一定有该裕度。</w:t>
      </w:r>
    </w:p>
    <w:p>
      <w:r>
        <w:rPr>
          <w:rFonts w:ascii="Calibri" w:hAnsi="Calibri" w:eastAsia="Microsoft YaHei"/>
        </w:rPr>
        <w:t>当前推荐容量没有通过全部压力场景，因此不能称为稳健零碳方案。下一阶段要比较容量裕度、备用绿电合同、直连中断恢复和跨日加工任务。</w:t>
      </w:r>
    </w:p>
    <w:p>
      <w:pPr>
        <w:pStyle w:val="Heading2"/>
      </w:pPr>
      <w:r>
        <w:t>10. 图表算法与阅读方法</w:t>
      </w:r>
    </w:p>
    <w:p>
      <w:pPr>
        <w:pStyle w:val="Heading3"/>
      </w:pPr>
      <w:r>
        <w:t>10.1 农业生产日历</w:t>
      </w:r>
    </w:p>
    <w:p>
      <w:r>
        <w:rPr>
          <w:rFonts w:ascii="Calibri" w:hAnsi="Calibri" w:eastAsia="Microsoft YaHei"/>
        </w:rPr>
        <w:t>把8760小时负荷按日期和小时透视为二维矩阵，颜色表示功率。四类负荷分别绘制，用户可直观看到春灌、秋收加工、冷链季节性和公共辅助基荷。</w:t>
      </w:r>
    </w:p>
    <w:p>
      <w:pPr>
        <w:pStyle w:val="Heading3"/>
      </w:pPr>
      <w:r>
        <w:t>10.2 成本—碳排策略图</w:t>
      </w:r>
    </w:p>
    <w:p>
      <w:r>
        <w:rPr>
          <w:rFonts w:ascii="Calibri" w:hAnsi="Calibri" w:eastAsia="Microsoft YaHei"/>
        </w:rPr>
        <w:t>横轴为年成本，纵轴为运营排放，点大小或标签区分策略。图形不进行脱离原值的主观评分；绿电覆盖和容量在旁表披露。</w:t>
      </w:r>
    </w:p>
    <w:p>
      <w:pPr>
        <w:pStyle w:val="Heading3"/>
      </w:pPr>
      <w:r>
        <w:t>10.3 年度桑基能量流</w:t>
      </w:r>
    </w:p>
    <w:p>
      <w:r>
        <w:rPr>
          <w:rFonts w:ascii="Calibri" w:hAnsi="Calibri" w:eastAsia="Microsoft YaHei"/>
        </w:rPr>
        <w:t>逐时结果先乘时间间隔得到能量，再按来源和去向聚合。直连注入到园区送达之间显示线路损耗；储能充放电与损耗单列；负荷端分到四类农业负荷。</w:t>
      </w:r>
    </w:p>
    <w:p>
      <w:pPr>
        <w:pStyle w:val="Heading3"/>
      </w:pPr>
      <w:r>
        <w:t>10.4 月度平衡图</w:t>
      </w:r>
    </w:p>
    <w:p>
      <w:r>
        <w:rPr>
          <w:rFonts w:ascii="Calibri" w:hAnsi="Calibri" w:eastAsia="Microsoft YaHei"/>
        </w:rPr>
        <w:t>逐时能量按自然月汇总，比较本地光伏、直连、电网、储能、外送、弃电和负荷。它用于识别全年总量指标掩盖的季节缺口。</w:t>
      </w:r>
    </w:p>
    <w:p>
      <w:pPr>
        <w:pStyle w:val="Heading3"/>
      </w:pPr>
      <w:r>
        <w:t>10.5 典型农业日图</w:t>
      </w:r>
    </w:p>
    <w:p>
      <w:r>
        <w:rPr>
          <w:rFonts w:ascii="Calibri" w:hAnsi="Calibri" w:eastAsia="Microsoft YaHei"/>
        </w:rPr>
        <w:t>用户选择春灌日、秋收加工日或普通日，页面绘制当天24小时供能和四类负荷。图中所有曲线来自年度调度表的同一日期切片，不是另算一个典型日。</w:t>
      </w:r>
    </w:p>
    <w:p>
      <w:pPr>
        <w:pStyle w:val="Heading3"/>
      </w:pPr>
      <w:r>
        <w:t>10.6 储能来源图</w:t>
      </w:r>
    </w:p>
    <w:p>
      <w:r>
        <w:rPr>
          <w:rFonts w:ascii="Calibri" w:hAnsi="Calibri" w:eastAsia="Microsoft YaHei"/>
        </w:rPr>
        <w:t>分别展示光伏来源与直连来源的荷电状态和放电，检查夜间放出的绿色电量是否确实来自此前的绿电充电。</w:t>
      </w:r>
    </w:p>
    <w:p>
      <w:pPr>
        <w:pStyle w:val="Heading3"/>
      </w:pPr>
      <w:r>
        <w:t>10.7 零碳电量处置图</w:t>
      </w:r>
    </w:p>
    <w:p>
      <w:r>
        <w:rPr>
          <w:rFonts w:ascii="Calibri" w:hAnsi="Calibri" w:eastAsia="Microsoft YaHei"/>
        </w:rPr>
        <w:t>将绿电分为供给负荷、储能损耗、线路损耗、外送和弃电，避免只展示100%绿电覆盖而隐藏大量过配。</w:t>
      </w:r>
    </w:p>
    <w:p>
      <w:pPr>
        <w:pStyle w:val="Heading3"/>
      </w:pPr>
      <w:r>
        <w:t>10.8 压力测试图</w:t>
      </w:r>
    </w:p>
    <w:p>
      <w:r>
        <w:rPr>
          <w:rFonts w:ascii="Calibri" w:hAnsi="Calibri" w:eastAsia="Microsoft YaHei"/>
        </w:rPr>
        <w:t>按压力场景同时展示排放或缺口及成本变化。绿色或通过标识只表示当前筛查条件下满足运营零碳，不代表正式认证。</w:t>
      </w:r>
    </w:p>
    <w:p>
      <w:pPr>
        <w:pStyle w:val="Heading2"/>
      </w:pPr>
      <w:r>
        <w:t>11. 数据库、接口与后台任务</w:t>
      </w:r>
    </w:p>
    <w:p>
      <w:pPr>
        <w:pStyle w:val="Heading3"/>
      </w:pPr>
      <w:r>
        <w:t>11.1 当前数据库能力</w:t>
      </w:r>
    </w:p>
    <w:p>
      <w:r>
        <w:rPr>
          <w:rFonts w:ascii="Calibri" w:hAnsi="Calibri" w:eastAsia="Microsoft YaHei"/>
        </w:rPr>
        <w:t>平台已经接入SQLite，默认路径为</w:t>
      </w:r>
      <w:r>
        <w:rPr>
          <w:rStyle w:val="CodeInline"/>
        </w:rPr>
        <w:t>var/platform.db</w:t>
      </w:r>
      <w:r>
        <w:rPr>
          <w:rFonts w:ascii="Calibri" w:hAnsi="Calibri" w:eastAsia="Microsoft YaHei"/>
        </w:rPr>
        <w:t>，可通过</w:t>
      </w:r>
      <w:r>
        <w:rPr>
          <w:rStyle w:val="CodeInline"/>
        </w:rPr>
        <w:t>PLATFORM_DB_PATH</w:t>
      </w:r>
      <w:r>
        <w:rPr>
          <w:rFonts w:ascii="Calibri" w:hAnsi="Calibri" w:eastAsia="Microsoft YaHei"/>
        </w:rPr>
        <w:t>修改。数据库启用外键和WAL模式，迁移脚本位于</w:t>
      </w:r>
      <w:r>
        <w:rPr>
          <w:rStyle w:val="CodeInline"/>
        </w:rPr>
        <w:t>src/persistence/migrations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仓储层保存项目、场景版本、数据集版本、模型版本、任务、结果和审计日志。项目成果文件保存到</w:t>
      </w:r>
      <w:r>
        <w:rPr>
          <w:rStyle w:val="CodeInline"/>
        </w:rPr>
        <w:t>PLATFORM_ARTIFACT_DIR</w:t>
      </w:r>
      <w:r>
        <w:rPr>
          <w:rFonts w:ascii="Calibri" w:hAnsi="Calibri" w:eastAsia="Microsoft YaHei"/>
        </w:rPr>
        <w:t>，并记录校验值。</w:t>
      </w:r>
    </w:p>
    <w:p>
      <w:pPr>
        <w:pStyle w:val="Heading3"/>
      </w:pPr>
      <w:r>
        <w:t>11.2 能否接外部数据库</w:t>
      </w:r>
    </w:p>
    <w:p>
      <w:r>
        <w:rPr>
          <w:rFonts w:ascii="Calibri" w:hAnsi="Calibri" w:eastAsia="Microsoft YaHei"/>
        </w:rPr>
        <w:t>可以扩展，但当前不是把连接字符串改成PostgreSQL就能直接运行。现有SQL、连接管理和迁移针对SQLite。接入PostgreSQL或企业数据库需要新增数据库适配器、调整SQL方言和事务、建立连接池、迁移现有表、补充并发和恢复测试。应用服务应只依赖仓储接口，避免在页面中直接写SQL。</w:t>
      </w:r>
    </w:p>
    <w:p>
      <w:pPr>
        <w:pStyle w:val="Heading3"/>
      </w:pPr>
      <w:r>
        <w:t>11.3 接口服务</w:t>
      </w:r>
    </w:p>
    <w:p>
      <w:r>
        <w:rPr>
          <w:rFonts w:ascii="Calibri" w:hAnsi="Calibri" w:eastAsia="Microsoft YaHei"/>
        </w:rPr>
        <w:t>FastAPI服务提供健康、就绪、指标和</w:t>
      </w:r>
      <w:r>
        <w:rPr>
          <w:rStyle w:val="CodeInline"/>
        </w:rPr>
        <w:t>/api/v1</w:t>
      </w:r>
      <w:r>
        <w:rPr>
          <w:rFonts w:ascii="Calibri" w:hAnsi="Calibri" w:eastAsia="Microsoft YaHei"/>
        </w:rPr>
        <w:t>业务接口。生产配置使用令牌认证，启动密钥用于换取访问令牌。开发默认可以关闭认证，但不得把关闭认证的配置直接用于外网。</w:t>
      </w:r>
    </w:p>
    <w:p>
      <w:pPr>
        <w:pStyle w:val="Heading3"/>
      </w:pPr>
      <w:r>
        <w:t>11.4 后台任务</w:t>
      </w:r>
    </w:p>
    <w:p>
      <w:r>
        <w:rPr>
          <w:rFonts w:ascii="Calibri" w:hAnsi="Calibri" w:eastAsia="Microsoft YaHei"/>
        </w:rPr>
        <w:t>任务执行器从数据库领取任务租约，记录心跳、重试和最终状态。成果目录包含输出文件和校验信息。进程异常后，超时租约可以被重新领取，避免任务永久卡死。</w:t>
      </w:r>
    </w:p>
    <w:p>
      <w:pPr>
        <w:pStyle w:val="Heading3"/>
      </w:pPr>
      <w:r>
        <w:t>11.5 农业专项接入清单</w:t>
      </w:r>
    </w:p>
    <w:p>
      <w:pPr>
        <w:pStyle w:val="ListBullet"/>
      </w:pPr>
      <w:r>
        <w:rPr>
          <w:rFonts w:ascii="Calibri" w:hAnsi="Calibri" w:eastAsia="Microsoft YaHei"/>
        </w:rPr>
        <w:t>增加农业优化请求和响应结构。</w:t>
      </w:r>
    </w:p>
    <w:p>
      <w:pPr>
        <w:pStyle w:val="ListBullet"/>
      </w:pPr>
      <w:r>
        <w:rPr>
          <w:rFonts w:ascii="Calibri" w:hAnsi="Calibri" w:eastAsia="Microsoft YaHei"/>
        </w:rPr>
        <w:t>在模型服务登记农业模型版本和参数指纹。</w:t>
      </w:r>
    </w:p>
    <w:p>
      <w:pPr>
        <w:pStyle w:val="ListBullet"/>
      </w:pPr>
      <w:r>
        <w:rPr>
          <w:rFonts w:ascii="Calibri" w:hAnsi="Calibri" w:eastAsia="Microsoft YaHei"/>
        </w:rPr>
        <w:t>在任务运行器调用</w:t>
      </w:r>
      <w:r>
        <w:rPr>
          <w:rStyle w:val="CodeInline"/>
        </w:rPr>
        <w:t>AgriZeroCarbonOptimizer</w:t>
      </w:r>
      <w:r>
        <w:rPr>
          <w:rFonts w:ascii="Calibri" w:hAnsi="Calibri" w:eastAsia="Microsoft YaHei"/>
        </w:rPr>
        <w:t>和压力服务。</w:t>
      </w:r>
    </w:p>
    <w:p>
      <w:pPr>
        <w:pStyle w:val="ListBullet"/>
      </w:pPr>
      <w:r>
        <w:rPr>
          <w:rFonts w:ascii="Calibri" w:hAnsi="Calibri" w:eastAsia="Microsoft YaHei"/>
        </w:rPr>
        <w:t>把逐时压缩调度、汇总、流向、压力结果写入成果清单。</w:t>
      </w:r>
    </w:p>
    <w:p>
      <w:pPr>
        <w:pStyle w:val="ListBullet"/>
      </w:pPr>
      <w:r>
        <w:rPr>
          <w:rFonts w:ascii="Calibri" w:hAnsi="Calibri" w:eastAsia="Microsoft YaHei"/>
        </w:rPr>
        <w:t>增加接口鉴权、任务重试、结果读取和向后兼容测试。</w:t>
      </w:r>
    </w:p>
    <w:p>
      <w:pPr>
        <w:pStyle w:val="Heading2"/>
      </w:pPr>
      <w:r>
        <w:t>12. 部署与运行</w:t>
      </w:r>
    </w:p>
    <w:p>
      <w:pPr>
        <w:pStyle w:val="Heading3"/>
      </w:pPr>
      <w:r>
        <w:t>12.1 本地演示</w:t>
      </w:r>
    </w:p>
    <w:p>
      <w:r>
        <w:rPr>
          <w:rFonts w:ascii="Calibri" w:hAnsi="Calibri" w:eastAsia="Microsoft YaHei"/>
        </w:rPr>
        <w:t>创建Python环境并安装</w:t>
      </w:r>
      <w:r>
        <w:rPr>
          <w:rStyle w:val="CodeInline"/>
        </w:rPr>
        <w:t>requirements.txt</w:t>
      </w:r>
      <w:r>
        <w:rPr>
          <w:rFonts w:ascii="Calibri" w:hAnsi="Calibri" w:eastAsia="Microsoft YaHei"/>
        </w:rPr>
        <w:t>后运行Streamlit入口</w:t>
      </w:r>
      <w:r>
        <w:rPr>
          <w:rStyle w:val="CodeInline"/>
        </w:rPr>
        <w:t>app.py</w:t>
      </w:r>
      <w:r>
        <w:rPr>
          <w:rFonts w:ascii="Calibri" w:hAnsi="Calibri" w:eastAsia="Microsoft YaHei"/>
        </w:rPr>
        <w:t>。纯演示模式不要求后台服务，项目中心会隐藏。运行前执行部署预检和自动测试。</w:t>
      </w:r>
    </w:p>
    <w:p>
      <w:pPr>
        <w:spacing w:before="40" w:after="40" w:line="240" w:lineRule="auto"/>
        <w:ind w:left="259" w:right="259"/>
        <w:shd w:fill="F2F4F7"/>
      </w:pPr>
      <w:r>
        <w:rPr>
          <w:rStyle w:val="CodeInline"/>
        </w:rPr>
        <w:t>python scripts/deployment_preflight.py --profile ui</w:t>
      </w:r>
    </w:p>
    <w:p>
      <w:pPr>
        <w:spacing w:before="40" w:after="40" w:line="240" w:lineRule="auto"/>
        <w:ind w:left="259" w:right="259"/>
        <w:shd w:fill="F2F4F7"/>
      </w:pPr>
      <w:r>
        <w:rPr>
          <w:rStyle w:val="CodeInline"/>
        </w:rPr>
        <w:t>python -m pytest -q</w:t>
      </w:r>
    </w:p>
    <w:p>
      <w:pPr>
        <w:spacing w:before="40" w:after="40" w:line="240" w:lineRule="auto"/>
        <w:ind w:left="259" w:right="259"/>
        <w:shd w:fill="F2F4F7"/>
      </w:pPr>
      <w:r>
        <w:rPr>
          <w:rStyle w:val="CodeInline"/>
        </w:rPr>
        <w:t>streamlit run app.py</w:t>
      </w:r>
    </w:p>
    <w:p>
      <w:pPr>
        <w:pStyle w:val="Heading3"/>
      </w:pPr>
      <w:r>
        <w:t>12.2 单节点项目部署</w:t>
      </w:r>
    </w:p>
    <w:p>
      <w:r>
        <w:rPr>
          <w:rFonts w:ascii="Calibri" w:hAnsi="Calibri" w:eastAsia="Microsoft YaHei"/>
        </w:rPr>
        <w:t>使用</w:t>
      </w:r>
      <w:r>
        <w:rPr>
          <w:rStyle w:val="CodeInline"/>
        </w:rPr>
        <w:t>compose.yaml</w:t>
      </w:r>
      <w:r>
        <w:rPr>
          <w:rFonts w:ascii="Calibri" w:hAnsi="Calibri" w:eastAsia="Microsoft YaHei"/>
        </w:rPr>
        <w:t>或</w:t>
      </w:r>
      <w:r>
        <w:rPr>
          <w:rStyle w:val="CodeInline"/>
        </w:rPr>
        <w:t>compose.production.yaml</w:t>
      </w:r>
      <w:r>
        <w:rPr>
          <w:rFonts w:ascii="Calibri" w:hAnsi="Calibri" w:eastAsia="Microsoft YaHei"/>
        </w:rPr>
        <w:t>启动界面、接口和任务执行器。生产文件强制要求认证密钥和前台访问令牌。需要持久化</w:t>
      </w:r>
      <w:r>
        <w:rPr>
          <w:rStyle w:val="CodeInline"/>
        </w:rPr>
        <w:t>var</w:t>
      </w:r>
      <w:r>
        <w:rPr>
          <w:rFonts w:ascii="Calibri" w:hAnsi="Calibri" w:eastAsia="Microsoft YaHei"/>
        </w:rPr>
        <w:t>目录，定期备份数据库和成果目录。</w:t>
      </w:r>
    </w:p>
    <w:p>
      <w:pPr>
        <w:pStyle w:val="Heading3"/>
      </w:pPr>
      <w:r>
        <w:t>12.3 关键环境变量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70"/>
        <w:gridCol w:w="2716"/>
        <w:gridCol w:w="3474"/>
      </w:tblGrid>
      <w:tr>
        <w:trPr>
          <w:tblHeader w:val="true"/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生产要求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PLATFORM_DB_PATH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SQLite数据库位置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放在持久卷并备份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PLATFORM_ARTIFACT_DIR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成果目录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放在持久卷并校验容量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PLATFORM_API_URL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前台连接后台地址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使用容器内或反向代理地址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PLATFORM_AUTH_MODE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认证模式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生产使用</w:t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token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PLATFORM_AUTH_SECRET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令牌签名密钥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至少32位随机字符，不提交仓库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PLATFORM_BOOTSTRAP_KEY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首次换取令牌的私密密钥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单独保管和轮换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PLATFORM_ACCESS_TOKEN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前台访问令牌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通过秘密管理注入</w:t>
            </w:r>
          </w:p>
        </w:tc>
      </w:tr>
      <w:tr>
        <w:trPr>
          <w:cantSplit/>
        </w:trPr>
        <w:tc>
          <w:tcPr>
            <w:tcW w:type="dxa" w:w="3170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Style w:val="CodeInline"/>
                <w:rFonts w:ascii="Calibri" w:hAnsi="Calibri" w:eastAsia="Microsoft YaHei"/>
                <w:b w:val="0"/>
                <w:color w:val="000000"/>
                <w:sz w:val="18"/>
              </w:rPr>
              <w:t>PLATFORM_JOB_LEASE_SECONDS</w:t>
            </w:r>
          </w:p>
        </w:tc>
        <w:tc>
          <w:tcPr>
            <w:tcW w:type="dxa" w:w="2716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任务租约时间</w:t>
            </w:r>
          </w:p>
        </w:tc>
        <w:tc>
          <w:tcPr>
            <w:tcW w:type="dxa" w:w="3474"/>
            <w:vAlign w:val="center"/>
            <w:tcBorders>
              <w:top w:val="single" w:sz="4" w:color="C9D4E2"/>
              <w:left w:val="single" w:sz="4" w:color="C9D4E2"/>
              <w:bottom w:val="single" w:sz="4" w:color="C9D4E2"/>
              <w:right w:val="single" w:sz="4" w:color="C9D4E2"/>
              <w:insideH w:val="single" w:sz="4" w:color="C9D4E2"/>
              <w:insideV w:val="single" w:sz="4" w:color="C9D4E2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大于最长心跳间隔并小于故障恢复要求</w:t>
            </w:r>
          </w:p>
        </w:tc>
      </w:tr>
    </w:tbl>
    <w:p>
      <w:pPr>
        <w:spacing w:after="40"/>
      </w:pPr>
    </w:p>
    <w:p>
      <w:pPr>
        <w:pStyle w:val="Heading3"/>
      </w:pPr>
      <w:r>
        <w:t>12.4 Streamlit公开部署</w:t>
      </w:r>
    </w:p>
    <w:p>
      <w:r>
        <w:rPr>
          <w:rFonts w:ascii="Calibri" w:hAnsi="Calibri" w:eastAsia="Microsoft YaHei"/>
        </w:rPr>
        <w:t>公开网址只有在对应GitHub仓库的部署分支包含最新提交且应用重新启动后才会更新。若页面显示“Error running app”，先在Streamlit管理页查看日志，重点检查入口文件、依赖安装、Python版本、内存和秘密配置。</w:t>
      </w:r>
    </w:p>
    <w:p>
      <w:r>
        <w:rPr>
          <w:rFonts w:ascii="Calibri" w:hAnsi="Calibri" w:eastAsia="Microsoft YaHei"/>
        </w:rPr>
        <w:t>公开演示建议只部署前台单机模式，不在公开环境启用无认证后台。正式项目应使用内网或受控云环境，通过HTTPS反向代理访问接口。</w:t>
      </w:r>
    </w:p>
    <w:p>
      <w:pPr>
        <w:pStyle w:val="Heading2"/>
      </w:pPr>
      <w:r>
        <w:t>13. 测试、复盘和验收</w:t>
      </w:r>
    </w:p>
    <w:p>
      <w:pPr>
        <w:pStyle w:val="Heading3"/>
      </w:pPr>
      <w:r>
        <w:t>13.1 自动测试范围</w:t>
      </w:r>
    </w:p>
    <w:p>
      <w:r>
        <w:rPr>
          <w:rFonts w:ascii="Calibri" w:hAnsi="Calibri" w:eastAsia="Microsoft YaHei"/>
        </w:rPr>
        <w:t>当前自动测试覆盖农业边界、参数注册表、全年时序、能量流、联合优化、压力测试、图表、通用模型服务、接口与任务、持久化、备份恢复、部署、页面呈现、快速模式和原V17兼容回归。</w:t>
      </w:r>
    </w:p>
    <w:p>
      <w:r>
        <w:rPr>
          <w:rFonts w:ascii="Calibri" w:hAnsi="Calibri" w:eastAsia="Microsoft YaHei"/>
        </w:rPr>
        <w:t>完整测试当前为100项通过。唯一提示为第三方Starlette与httpx测试客户端的弃用警告，不影响当前功能，但依赖升级时应处理。</w:t>
      </w:r>
    </w:p>
    <w:p>
      <w:pPr>
        <w:pStyle w:val="Heading3"/>
      </w:pPr>
      <w:r>
        <w:t>13.2 每次模型变更后的固定检验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运行农业专项测试和完整测试。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导出负荷、三策略、压力和逐时成果。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检查母线平衡、日任务误差、年初年末储能状态。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检查同时充放电和同时购售电时段数为零。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对账年度负荷、来源、去向、损耗和储能存量变化。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对账成本分项与总成本，确认单位为人民币。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比较基准结果，解释任何容量、成本或排放的显著变化。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运行部署预检和页面冒烟测试。</w:t>
      </w:r>
    </w:p>
    <w:p>
      <w:pPr>
        <w:pStyle w:val="Heading3"/>
      </w:pPr>
      <w:r>
        <w:t>13.3 参数变更后的复盘</w:t>
      </w:r>
    </w:p>
    <w:p>
      <w:r>
        <w:rPr>
          <w:rFonts w:ascii="Calibri" w:hAnsi="Calibri" w:eastAsia="Microsoft YaHei"/>
        </w:rPr>
        <w:t>记录变更人、来源、旧值、新值、有效期和原因；重新生成参数指纹；重新运行三策略和压力测试；如果结论发生改变，在报告中区分“数据改变导致”和“模型改变导致”。</w:t>
      </w:r>
    </w:p>
    <w:p>
      <w:pPr>
        <w:pStyle w:val="Heading2"/>
      </w:pPr>
      <w:r>
        <w:t>14. 已知限制和下一阶段路线</w:t>
      </w:r>
    </w:p>
    <w:p>
      <w:pPr>
        <w:pStyle w:val="Heading3"/>
      </w:pPr>
      <w:r>
        <w:t>14.1 当前唯一未关闭的现状问题</w:t>
      </w:r>
    </w:p>
    <w:p>
      <w:r>
        <w:rPr>
          <w:rFonts w:ascii="Calibri" w:hAnsi="Calibri" w:eastAsia="Microsoft YaHei"/>
        </w:rPr>
        <w:t>农业负荷仍为合成数据。现状审计17项中16项已经关闭，剩余问题为</w:t>
      </w:r>
      <w:r>
        <w:rPr>
          <w:rStyle w:val="CodeInline"/>
        </w:rPr>
        <w:t>DATA-001</w:t>
      </w:r>
      <w:r>
        <w:rPr>
          <w:rFonts w:ascii="Calibri" w:hAnsi="Calibri" w:eastAsia="Microsoft YaHei"/>
        </w:rPr>
        <w:t>。因此模型可验证、结果可复现，但项目数值不能代表实际园区。</w:t>
      </w:r>
    </w:p>
    <w:p>
      <w:pPr>
        <w:pStyle w:val="Heading3"/>
      </w:pPr>
      <w:r>
        <w:t>14.2 其他工程边界</w:t>
      </w:r>
    </w:p>
    <w:p>
      <w:pPr>
        <w:pStyle w:val="ListBullet"/>
      </w:pPr>
      <w:r>
        <w:rPr>
          <w:rFonts w:ascii="Calibri" w:hAnsi="Calibri" w:eastAsia="Microsoft YaHei"/>
        </w:rPr>
        <w:t>农业优化尚未接入后台任务接口，当前页面读取经脚本生成的检验成果。</w:t>
      </w:r>
    </w:p>
    <w:p>
      <w:pPr>
        <w:pStyle w:val="ListBullet"/>
      </w:pPr>
      <w:r>
        <w:rPr>
          <w:rFonts w:ascii="Calibri" w:hAnsi="Calibri" w:eastAsia="Microsoft YaHei"/>
        </w:rPr>
        <w:t>当前连续模型依赖价格条件排除互斥冲突，复杂市场合同需升级混合整数模型。</w:t>
      </w:r>
    </w:p>
    <w:p>
      <w:pPr>
        <w:pStyle w:val="ListBullet"/>
      </w:pPr>
      <w:r>
        <w:rPr>
          <w:rFonts w:ascii="Calibri" w:hAnsi="Calibri" w:eastAsia="Microsoft YaHei"/>
        </w:rPr>
        <w:t>农业任务目前以电量守恒为主，尚无水力、产量、库温动态和设备启停约束。</w:t>
      </w:r>
    </w:p>
    <w:p>
      <w:pPr>
        <w:pStyle w:val="ListBullet"/>
      </w:pPr>
      <w:r>
        <w:rPr>
          <w:rFonts w:ascii="Calibri" w:hAnsi="Calibri" w:eastAsia="Microsoft YaHei"/>
        </w:rPr>
        <w:t>零碳方案没有通过全部压力测试，尚未形成稳健容量区间。</w:t>
      </w:r>
    </w:p>
    <w:p>
      <w:pPr>
        <w:pStyle w:val="ListBullet"/>
      </w:pPr>
      <w:r>
        <w:rPr>
          <w:rFonts w:ascii="Calibri" w:hAnsi="Calibri" w:eastAsia="Microsoft YaHei"/>
        </w:rPr>
        <w:t>SQLite适合单节点交付，不适合高并发多节点生产。</w:t>
      </w:r>
    </w:p>
    <w:p>
      <w:pPr>
        <w:pStyle w:val="ListBullet"/>
      </w:pPr>
      <w:r>
        <w:rPr>
          <w:rFonts w:ascii="Calibri" w:hAnsi="Calibri" w:eastAsia="Microsoft YaHei"/>
        </w:rPr>
        <w:t>第一阶段只核算运营能源碳，不代表农业全生命周期零碳。</w:t>
      </w:r>
    </w:p>
    <w:p>
      <w:pPr>
        <w:pStyle w:val="Heading3"/>
      </w:pPr>
      <w:r>
        <w:t>14.3 推荐下一阶段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现场数据接入与计量闭环，关闭</w:t>
      </w:r>
      <w:r>
        <w:rPr>
          <w:rStyle w:val="CodeInline"/>
        </w:rPr>
        <w:t>DATA-001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将农业任务从电量代理升级为水量、产量和温控约束。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建立容量裕度、备用合同和直连中断恢复的稳健优化。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将农业模型注册到后台任务、项目版本和成果系统。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需要多用户和高并发时迁移PostgreSQL、对象存储和集中任务队列。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在数据成熟后增加投资现金流、敏感性区间和正式零碳核验报告。</w:t>
      </w:r>
    </w:p>
    <w:p>
      <w:pPr>
        <w:pStyle w:val="Heading2"/>
      </w:pPr>
      <w:r>
        <w:t>15. 逐页面演示讲稿</w:t>
      </w:r>
    </w:p>
    <w:p>
      <w:pPr>
        <w:pStyle w:val="Heading3"/>
      </w:pPr>
      <w:r>
        <w:t>15.1 开场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今天展示的是基于绿电直连的零碳农业园区优化调度平台。它不是把几个农业场景简单拼在一起，而是围绕一个园区，把灌溉、加工、冷链和公共辅助四类负荷，与本地光伏、外部直连绿电、储能和公共电网放进同一个逐时模型。平台要回答电从哪里来、怎样调度、需要建设多大容量、成本和碳排怎样变化，以及方案遇到极端条件还能不能成立。</w:t>
      </w:r>
    </w:p>
    <w:p>
      <w:pPr>
        <w:pStyle w:val="Heading3"/>
      </w:pPr>
      <w:r>
        <w:t>15.2 平台概览讲稿</w:t>
      </w:r>
    </w:p>
    <w:p>
      <w:r>
        <w:rPr>
          <w:rFonts w:ascii="Calibri" w:hAnsi="Calibri" w:eastAsia="Microsoft YaHei"/>
        </w:rPr>
        <w:t>操作：点击“平台概览”，先指向园区边界和四类负荷。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第一阶段不是只做一个孤立农业设备，而是选择一个完整农业园区。当前演示年用电量8902.36兆瓦时，15分钟峰值2.763兆瓦。其中灌溉约521.93兆瓦时，加工约3825.83兆瓦时，仓储冷链约3287.88兆瓦时，公共辅助约1266.72兆瓦时。每个数字都有公式和来源等级，当前明确标注为演示基准。</w:t>
      </w:r>
    </w:p>
    <w:p>
      <w:r>
        <w:rPr>
          <w:rFonts w:ascii="Calibri" w:hAnsi="Calibri" w:eastAsia="Microsoft YaHei"/>
        </w:rPr>
        <w:t>操作：指向三策略和推荐容量。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平台比较三种同口径策略。现状方案全部依靠普通电网；绿电直连过渡方案加入1.5兆瓦光伏、1兆瓦直连和0.8兆瓦/2兆瓦时储能；零碳方案由全年优化器决定容量。当前计算得到4兆瓦光伏、2.608兆瓦直连和1.965兆瓦/7.858兆瓦时储能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我们没有把零碳结果包装成完美答案。零碳方案虽然计算排放为零，但年成本比现状高约11.36%，还有较多外送和弃电，并且在低光伏、秋收集中加工和直连受限压力下会重新出现排放。因此平台给出的是可解释的规划依据，不是预设的宣传数字。</w:t>
      </w:r>
    </w:p>
    <w:p>
      <w:pPr>
        <w:pStyle w:val="Heading3"/>
      </w:pPr>
      <w:r>
        <w:t>15.3 参数配置与运行讲稿</w:t>
      </w:r>
    </w:p>
    <w:p>
      <w:r>
        <w:rPr>
          <w:rFonts w:ascii="Calibri" w:hAnsi="Calibri" w:eastAsia="Microsoft YaHei"/>
        </w:rPr>
        <w:t>操作：点击“参数配置与运行”，展示参数来源分级。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这一页解决最重要的交付问题：每个参数从哪里来、为什么这样设置。平台把来源分为A到E级。A是园区计量和合同，B是权威公开资料，C是设备和设计资料，D是由前述资料推导，E是演示假设。当前71项中大部分仍是E级，所以页面不会宣称已经代表实际园区。</w:t>
      </w:r>
    </w:p>
    <w:p>
      <w:r>
        <w:rPr>
          <w:rFonts w:ascii="Calibri" w:hAnsi="Calibri" w:eastAsia="Microsoft YaHei"/>
        </w:rPr>
        <w:t>操作：指向四类负荷和模板下载。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四类负荷不仅给出一个总数，还明确季节、班次、峰值和公式。正式实施时，工程师按四套模板接入总分表、资产、农业任务和来源凭证。数据接入后先核对四类分项是否与园区总表闭环，再运行模型。</w:t>
      </w:r>
    </w:p>
    <w:p>
      <w:r>
        <w:rPr>
          <w:rFonts w:ascii="Calibri" w:hAnsi="Calibri" w:eastAsia="Microsoft YaHei"/>
        </w:rPr>
        <w:t>操作：展开兼容功能时说明。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原V17县域多能模型和数据预测工具仍然保留，但从农业专项主流程中收起。这样既不丢失已有能力，也不会让本次农业零碳演示被无关场景分散。</w:t>
      </w:r>
    </w:p>
    <w:p>
      <w:pPr>
        <w:pStyle w:val="Heading3"/>
      </w:pPr>
      <w:r>
        <w:t>15.4 运行分析讲稿</w:t>
      </w:r>
    </w:p>
    <w:p>
      <w:r>
        <w:rPr>
          <w:rFonts w:ascii="Calibri" w:hAnsi="Calibri" w:eastAsia="Microsoft YaHei"/>
        </w:rPr>
        <w:t>操作：点击“运行分析”，先展示农业生产月历或负荷热力图。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结果分析的顺序是先理解农业生产，再解释能源。这里可以看到春灌集中在4月下旬到6月上旬，加工高峰集中在秋收期，冷链全年有基础负荷并随温度和库存变化。不同负荷不能用一条固定曲线代替。</w:t>
      </w:r>
    </w:p>
    <w:p>
      <w:r>
        <w:rPr>
          <w:rFonts w:ascii="Calibri" w:hAnsi="Calibri" w:eastAsia="Microsoft YaHei"/>
        </w:rPr>
        <w:t>操作：指向年度能量流。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这张图从左到右展示本地光伏、外部绿电基地和公共电网怎样经过线路、储能和园区母线流向四类负荷。直连基地注入4444.55兆瓦时，扣除155.56兆瓦时线路损耗后到达园区4288.99兆瓦时。储能损耗、外送和弃电都单独显示，能量在图中可以对账。</w:t>
      </w:r>
    </w:p>
    <w:p>
      <w:r>
        <w:rPr>
          <w:rFonts w:ascii="Calibri" w:hAnsi="Calibri" w:eastAsia="Microsoft YaHei"/>
        </w:rPr>
        <w:t>操作：选择春灌日或秋收加工日。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年度总量不能说明每个时刻是否零碳。典型日图直接从8760小时调度中切出当天数据，展示什么时候由光伏直供、什么时候由直连或储能供电、什么时候需要公共电网。</w:t>
      </w:r>
    </w:p>
    <w:p>
      <w:r>
        <w:rPr>
          <w:rFonts w:ascii="Calibri" w:hAnsi="Calibri" w:eastAsia="Microsoft YaHei"/>
        </w:rPr>
        <w:t>操作：指向储能来源。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储能不是天然绿色。平台分别记录来自光伏和直连绿电的荷电状态，放电时按来源扣减。只有此前由绿电充入的存量才继续计为物理绿电，这避免了低谷普通电充电后被错误标记为绿电。</w:t>
      </w:r>
    </w:p>
    <w:p>
      <w:r>
        <w:rPr>
          <w:rFonts w:ascii="Calibri" w:hAnsi="Calibri" w:eastAsia="Microsoft YaHei"/>
        </w:rPr>
        <w:t>操作：指向压力测试。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最后用六类压力检验固定推荐容量。低光伏、集中加工和直连受限不能保持零碳，说明下一步要设计容量裕度和备用绿电，而不是只展示一个最优点。</w:t>
      </w:r>
    </w:p>
    <w:p>
      <w:pPr>
        <w:pStyle w:val="Heading3"/>
      </w:pPr>
      <w:r>
        <w:t>15.5 场景与决策讲稿</w:t>
      </w:r>
    </w:p>
    <w:p>
      <w:r>
        <w:rPr>
          <w:rFonts w:ascii="Calibri" w:hAnsi="Calibri" w:eastAsia="Microsoft YaHei"/>
        </w:rPr>
        <w:t>操作：点击“场景与决策”。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这一页只保留三个有明确决策含义的策略。现状是成本和排放基准；绿电直连过渡方案当前同时降本和减排，但还不是零碳；零碳协同方案实现逐时零普通购电，但付出成本和过配代价。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因此建议分阶段推进。第一阶段先用真实计量、合同和设备数据复核绿电直连过渡方案；第二阶段补充储能和生产任务协同；第三阶段在可靠性压力测试通过后，再确定零碳建设容量。平台的价值不是给出一个看起来很理想的数字，而是把每个决策的成本、碳排、来源和风险说明白。</w:t>
      </w:r>
    </w:p>
    <w:p>
      <w:pPr>
        <w:pStyle w:val="Heading3"/>
      </w:pPr>
      <w:r>
        <w:t>15.6 收尾</w:t>
      </w:r>
    </w:p>
    <w:p>
      <w:pPr>
        <w:spacing w:before="80" w:after="160"/>
        <w:ind w:left="317" w:right="173"/>
        <w:shd w:fill="EEF5FB"/>
      </w:pPr>
      <w:r>
        <w:rPr>
          <w:rFonts w:ascii="Calibri" w:hAnsi="Calibri" w:eastAsia="Microsoft YaHei"/>
        </w:rPr>
        <w:t>当前系统已经具备明确业务边界、可追溯参数、全年优化、物理绿电分账、压力测试、数据库和部署基础。现阶段最重要的下一步不是继续增加浅层页面，而是接入园区真实数据，关闭唯一未完成的数据问题，并把农业优化注册到后台任务和项目版本体系，形成可正式交付的园区方案。</w:t>
      </w:r>
    </w:p>
    <w:p>
      <w:pPr>
        <w:pStyle w:val="Heading2"/>
      </w:pPr>
      <w:r>
        <w:t>16. 现场问答口径</w:t>
      </w:r>
    </w:p>
    <w:p>
      <w:pPr>
        <w:pStyle w:val="Heading3"/>
      </w:pPr>
      <w:r>
        <w:t>16.1 两种模型模式有什么区别</w:t>
      </w:r>
    </w:p>
    <w:p>
      <w:r>
        <w:rPr>
          <w:rFonts w:ascii="Calibri" w:hAnsi="Calibri" w:eastAsia="Microsoft YaHei"/>
        </w:rPr>
        <w:t>快速电力滚动调度回答未来几小时怎样运行，容量通常已知；V17农业零碳园区规划回答年度应该建设多大容量并怎样逐时协同。当前默认是农业V17，快速模式只作为兼容入口。</w:t>
      </w:r>
    </w:p>
    <w:p>
      <w:pPr>
        <w:pStyle w:val="Heading3"/>
      </w:pPr>
      <w:r>
        <w:t>16.2 为什么不直接显示零碳达标</w:t>
      </w:r>
    </w:p>
    <w:p>
      <w:r>
        <w:rPr>
          <w:rFonts w:ascii="Calibri" w:hAnsi="Calibri" w:eastAsia="Microsoft YaHei"/>
        </w:rPr>
        <w:t>因为当前负荷、价格、造价和碳因子仍是E级演示参数。模型在该输入下计算排放为零，不等于实际园区已经通过零碳核验。</w:t>
      </w:r>
    </w:p>
    <w:p>
      <w:pPr>
        <w:pStyle w:val="Heading3"/>
      </w:pPr>
      <w:r>
        <w:t>16.3 为什么零碳方案有很多弃电</w:t>
      </w:r>
    </w:p>
    <w:p>
      <w:r>
        <w:rPr>
          <w:rFonts w:ascii="Calibri" w:hAnsi="Calibri" w:eastAsia="Microsoft YaHei"/>
        </w:rPr>
        <w:t>逐时禁止普通电网供能使系统必须覆盖最不利时段，容易在普通时段产生富余。弃电和外送正是容量过配的证据，下一步应比较备用合同、需求响应和允许的年度或小时匹配规则。</w:t>
      </w:r>
    </w:p>
    <w:p>
      <w:pPr>
        <w:pStyle w:val="Heading3"/>
      </w:pPr>
      <w:r>
        <w:t>16.4 为什么直连受限时成本反而下降</w:t>
      </w:r>
    </w:p>
    <w:p>
      <w:r>
        <w:rPr>
          <w:rFonts w:ascii="Calibri" w:hAnsi="Calibri" w:eastAsia="Microsoft YaHei"/>
        </w:rPr>
        <w:t>演示合同按实际注入电量结算，少供电就少付费，但同时增加普通电网购电和碳排。成本下降不能单独作为更优结论。</w:t>
      </w:r>
    </w:p>
    <w:p>
      <w:pPr>
        <w:pStyle w:val="Heading3"/>
      </w:pPr>
      <w:r>
        <w:t>16.5 当前能接数据库吗</w:t>
      </w:r>
    </w:p>
    <w:p>
      <w:r>
        <w:rPr>
          <w:rFonts w:ascii="Calibri" w:hAnsi="Calibri" w:eastAsia="Microsoft YaHei"/>
        </w:rPr>
        <w:t>已经内置SQLite并支持项目、任务和结果持久化。接PostgreSQL等生产数据库需要适配器和迁移，不是只修改地址即可。</w:t>
      </w:r>
    </w:p>
    <w:p>
      <w:pPr>
        <w:pStyle w:val="Heading3"/>
      </w:pPr>
      <w:r>
        <w:t>16.6 项目与任务是不是没开发</w:t>
      </w:r>
    </w:p>
    <w:p>
      <w:r>
        <w:rPr>
          <w:rFonts w:ascii="Calibri" w:hAnsi="Calibri" w:eastAsia="Microsoft YaHei"/>
        </w:rPr>
        <w:t>已经开发。后台地址有效时项目中心才显示；公开或单机演示默认隐藏。农业专项模型接入后台异步任务仍是下一阶段工作。</w:t>
      </w:r>
    </w:p>
    <w:p>
      <w:pPr>
        <w:pStyle w:val="Heading3"/>
      </w:pPr>
      <w:r>
        <w:t>16.7 数据与预测为什么没有单独页面</w:t>
      </w:r>
    </w:p>
    <w:p>
      <w:r>
        <w:rPr>
          <w:rFonts w:ascii="Calibri" w:hAnsi="Calibri" w:eastAsia="Microsoft YaHei"/>
        </w:rPr>
        <w:t>它属于运行前的数据准备能力，已收进参数页兼容区。主导航围绕农业决策链，避免增加一个脱离业务流程的页面。</w:t>
      </w:r>
    </w:p>
    <w:p>
      <w:pPr>
        <w:pStyle w:val="Heading2"/>
      </w:pPr>
      <w:r>
        <w:t>17. 交接清单</w:t>
      </w:r>
    </w:p>
    <w:p>
      <w:pPr>
        <w:pStyle w:val="ListBullet"/>
      </w:pPr>
      <w:r>
        <w:rPr>
          <w:rFonts w:ascii="Calibri" w:hAnsi="Calibri" w:eastAsia="Microsoft YaHei"/>
        </w:rPr>
        <w:t>仓库、分支、提交记录和依赖文件已移交。</w:t>
      </w:r>
    </w:p>
    <w:p>
      <w:pPr>
        <w:pStyle w:val="ListBullet"/>
      </w:pPr>
      <w:r>
        <w:rPr>
          <w:rFonts w:ascii="Calibri" w:hAnsi="Calibri" w:eastAsia="Microsoft YaHei"/>
        </w:rPr>
        <w:t>第一阶段业务边界、排除项和零碳口径已确认。</w:t>
      </w:r>
    </w:p>
    <w:p>
      <w:pPr>
        <w:pStyle w:val="ListBullet"/>
      </w:pPr>
      <w:r>
        <w:rPr>
          <w:rFonts w:ascii="Calibri" w:hAnsi="Calibri" w:eastAsia="Microsoft YaHei"/>
        </w:rPr>
        <w:t>参数台账、四类数据模板和演示数据已移交。</w:t>
      </w:r>
    </w:p>
    <w:p>
      <w:pPr>
        <w:pStyle w:val="ListBullet"/>
      </w:pPr>
      <w:r>
        <w:rPr>
          <w:rFonts w:ascii="Calibri" w:hAnsi="Calibri" w:eastAsia="Microsoft YaHei"/>
        </w:rPr>
        <w:t>物理能量流、联合优化、三策略和压力测试代码已移交。</w:t>
      </w:r>
    </w:p>
    <w:p>
      <w:pPr>
        <w:pStyle w:val="ListBullet"/>
      </w:pPr>
      <w:r>
        <w:rPr>
          <w:rFonts w:ascii="Calibri" w:hAnsi="Calibri" w:eastAsia="Microsoft YaHei"/>
        </w:rPr>
        <w:t>四个主页面、中文图表和下载成果已移交。</w:t>
      </w:r>
    </w:p>
    <w:p>
      <w:pPr>
        <w:pStyle w:val="ListBullet"/>
      </w:pPr>
      <w:r>
        <w:rPr>
          <w:rFonts w:ascii="Calibri" w:hAnsi="Calibri" w:eastAsia="Microsoft YaHei"/>
        </w:rPr>
        <w:t>SQLite、接口、任务、部署、备份恢复基础已移交。</w:t>
      </w:r>
    </w:p>
    <w:p>
      <w:pPr>
        <w:pStyle w:val="ListBullet"/>
      </w:pPr>
      <w:r>
        <w:rPr>
          <w:rFonts w:ascii="Calibri" w:hAnsi="Calibri" w:eastAsia="Microsoft YaHei"/>
        </w:rPr>
        <w:t>自动测试、部署预检和已知限制已说明。</w:t>
      </w:r>
    </w:p>
    <w:p>
      <w:pPr>
        <w:pStyle w:val="ListBullet"/>
      </w:pPr>
      <w:r>
        <w:rPr>
          <w:rFonts w:ascii="Calibri" w:hAnsi="Calibri" w:eastAsia="Microsoft YaHei"/>
        </w:rPr>
        <w:t>正式园区数据、生产数据库适配和农业后台任务接入尚待下一阶段完成。</w:t>
      </w:r>
    </w:p>
    <w:p>
      <w:r>
        <w:rPr>
          <w:rFonts w:ascii="Calibri" w:hAnsi="Calibri" w:eastAsia="Microsoft YaHei"/>
        </w:rPr>
        <w:t>交接人员应以本手册、参数台账、机器可读结果和自动测试共同作为验收依据，不应只根据页面截图判断模型是否完成。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Microsoft YaHei"/>
        <w:color w:val="667085"/>
        <w:sz w:val="17"/>
      </w:rPr>
      <w:t xml:space="preserve">v1.0.0  ·  </w:t>
    </w:r>
    <w:fldSimple w:instr="PAGE">
      <w:r>
        <w:rPr>
          <w:sz w:val="17"/>
          <w:color w:val="66708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color w:val="667085"/>
        <w:sz w:val="17"/>
      </w:rPr>
      <w:t>零碳农业园区优化调度平台  |  第一阶段项目交接手册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40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 w:eastAsia="Microsoft YaHei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零碳农业园区优化调度平台第一阶段项目交接手册</dc:title>
  <dc:subject>业务边界、参数来源、算法实现、部署维护和逐页面演示</dc:subject>
  <dc:creator>项目交付组</dc:creator>
  <cp:keywords>农业园区, 绿电直连, 零碳, 优化调度, 项目交接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