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24FA4">
      <w:pPr>
        <w:spacing w:after="120"/>
        <w:jc w:val="center"/>
      </w:pPr>
      <w:r>
        <w:rPr>
          <w:rFonts w:ascii="Arial" w:hAnsi="Arial" w:eastAsia="微软雅黑"/>
          <w:b/>
          <w:color w:val="17365D"/>
          <w:sz w:val="36"/>
        </w:rPr>
        <w:t>RES无线急停失效保护补充说明</w:t>
      </w:r>
    </w:p>
    <w:p w14:paraId="22B99804">
      <w:pPr>
        <w:spacing w:after="280"/>
        <w:jc w:val="center"/>
      </w:pPr>
      <w:r>
        <w:rPr>
          <w:rFonts w:ascii="Arial" w:hAnsi="Arial" w:eastAsia="微软雅黑"/>
          <w:b w:val="0"/>
          <w:color w:val="6B7280"/>
          <w:sz w:val="20"/>
        </w:rPr>
        <w:t>针对 ASF 3.1.2-5“失效设计”反馈的合并说明</w:t>
      </w:r>
    </w:p>
    <w:p w14:paraId="552E8DDA">
      <w:pPr>
        <w:spacing w:after="160"/>
      </w:pPr>
      <w:r>
        <w:rPr>
          <w:rFonts w:ascii="Arial" w:hAnsi="Arial" w:eastAsia="微软雅黑"/>
          <w:b/>
          <w:color w:val="1F2937"/>
          <w:sz w:val="21"/>
        </w:rPr>
        <w:t>尊敬的赛事技术审查组：</w:t>
      </w:r>
    </w:p>
    <w:p w14:paraId="7181980C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color w:val="1F2937"/>
          <w:sz w:val="21"/>
        </w:rPr>
        <w:t>感谢审查组对本队RES无线急停失效保护设计提出意见。我们理解该意见关注的是：如果按下急停后仍发送与急停状态无关的READY心跳，某一帧STOP因干扰丢失后，后续READY心跳可能继续刷新赛车端的通信计时器。</w:t>
      </w:r>
    </w:p>
    <w:p w14:paraId="48B1815A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color w:val="1F2937"/>
          <w:sz w:val="21"/>
        </w:rPr>
        <w:t>我们重新核对了已提交ASF。上述风险在设计中已经考虑，但相关内容分别写在3.1.2“赛车模块”和3.1.3“遥控端”，没有放在同一处说明，确实容易引起误解。这里需要说明的重点不是“是否仍有周期报文”，而是“急停后周期报文携带什么状态，以及什么样的报文能够刷新有效通信计时器”。</w:t>
      </w:r>
    </w:p>
    <w:tbl>
      <w:tblPr>
        <w:tblStyle w:val="32"/>
        <w:tblW w:w="900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2BCBF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0" w:type="dxa"/>
            <w:shd w:val="clear" w:color="auto" w:fill="EAF5EF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4EAC90F2">
            <w:pPr>
              <w:spacing w:after="100"/>
            </w:pPr>
            <w:r>
              <w:rPr>
                <w:rFonts w:ascii="Arial" w:hAnsi="Arial" w:eastAsia="微软雅黑"/>
                <w:b/>
                <w:color w:val="1F6F4A"/>
                <w:sz w:val="22"/>
              </w:rPr>
              <w:t>说明要点</w:t>
            </w:r>
          </w:p>
          <w:p w14:paraId="78D44666"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ASF中的“心跳”是携带STOP、READY或GO当前状态的认证状态报文，不是固定表示READY的独立保活报文。进入急停后，当前状态为STOP，不再产生READY状态。有效STOP到达时赛车端立即释放安全继电器；如果急停后的有效状态报文全部丢失，计时器不会继续刷新，并在500 ms有效通信超时后释放安全继电器。</w:t>
            </w:r>
          </w:p>
        </w:tc>
      </w:tr>
    </w:tbl>
    <w:p w14:paraId="02B65937">
      <w:pPr>
        <w:spacing w:after="0"/>
      </w:pPr>
    </w:p>
    <w:p w14:paraId="745BEAED">
      <w:pPr>
        <w:pStyle w:val="3"/>
        <w:keepNext/>
        <w:pageBreakBefore w:val="0"/>
      </w:pPr>
      <w:r>
        <w:rPr>
          <w:rFonts w:ascii="Arial" w:hAnsi="Arial" w:eastAsia="微软雅黑"/>
          <w:b/>
          <w:color w:val="1F5D99"/>
          <w:sz w:val="28"/>
        </w:rPr>
        <w:t>一、对审查意见的理解</w:t>
      </w:r>
    </w:p>
    <w:p w14:paraId="51E72E32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color w:val="1F2937"/>
          <w:sz w:val="21"/>
        </w:rPr>
        <w:t>审查意见建议在发送STOP的同时停止发送心跳报文。对于“STOP报文与心跳报文相互独立，并且急停后心跳仍表示READY”的系统，这一担心是成立的。但本队ASF中所写的心跳是状态报文，报文内直接包含当前的STOP、READY或GO状态。</w:t>
      </w:r>
    </w:p>
    <w:p w14:paraId="7FB264BF">
      <w:pPr>
        <w:keepNext/>
        <w:spacing w:before="80" w:after="0"/>
        <w:jc w:val="center"/>
      </w:pPr>
      <w:r>
        <w:drawing>
          <wp:inline distT="0" distB="0" distL="114300" distR="114300">
            <wp:extent cx="4751705" cy="1953895"/>
            <wp:effectExtent l="0" t="0" r="1079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95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2BEE">
      <w:pPr>
        <w:spacing w:before="60" w:after="180"/>
        <w:jc w:val="center"/>
      </w:pPr>
      <w:r>
        <w:rPr>
          <w:rFonts w:ascii="Arial" w:hAnsi="Arial" w:eastAsia="宋体"/>
          <w:b w:val="0"/>
          <w:i/>
          <w:color w:val="6B7280"/>
          <w:sz w:val="18"/>
        </w:rPr>
        <w:t>图1  ASF审查反馈原文</w:t>
      </w:r>
    </w:p>
    <w:p w14:paraId="4B125BF2">
      <w:pPr>
        <w:spacing w:after="100" w:line="348" w:lineRule="auto"/>
      </w:pPr>
      <w:r>
        <w:rPr>
          <w:rFonts w:ascii="Times New Roman" w:hAnsi="Times New Roman" w:eastAsia="宋体"/>
          <w:b w:val="0"/>
          <w:color w:val="1F2937"/>
          <w:sz w:val="21"/>
        </w:rPr>
        <w:t>判断本队系统是否存在这一失效模式，需要把ASF 3.1.2中的有效通信超时机制，与3.1.3中的状态心跳和报文内容定义放在一起看。</w:t>
      </w:r>
    </w:p>
    <w:p w14:paraId="1899D1A0">
      <w:pPr>
        <w:pStyle w:val="3"/>
        <w:keepNext/>
        <w:pageBreakBefore w:val="0"/>
      </w:pPr>
      <w:r>
        <w:rPr>
          <w:rFonts w:ascii="Arial" w:hAnsi="Arial" w:eastAsia="微软雅黑"/>
          <w:b/>
          <w:color w:val="1F5D99"/>
          <w:sz w:val="28"/>
        </w:rPr>
        <w:t>二、ASF中已有的相关说明</w:t>
      </w:r>
    </w:p>
    <w:p w14:paraId="11FA12C5">
      <w:pPr>
        <w:pStyle w:val="4"/>
        <w:keepNext/>
        <w:pageBreakBefore w:val="0"/>
      </w:pPr>
      <w:r>
        <w:rPr>
          <w:rFonts w:ascii="Arial" w:hAnsi="Arial" w:eastAsia="微软雅黑"/>
          <w:b/>
          <w:color w:val="17365D"/>
          <w:sz w:val="23"/>
        </w:rPr>
        <w:t>1. 赛车端如何判断通信有效</w:t>
      </w:r>
    </w:p>
    <w:p w14:paraId="17927061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color w:val="1F2937"/>
          <w:sz w:val="21"/>
        </w:rPr>
        <w:t>ASF第3.1.2节已经覆盖STOP接收、遥控端断电、无线链路中断、无线干扰、错误或伪造报文等失效场景，并明确赛车端采用失电释放原则。与本次反馈直接相关的条件包括：</w:t>
      </w:r>
    </w:p>
    <w:p w14:paraId="107BFFA3">
      <w:pPr>
        <w:pStyle w:val="14"/>
        <w:spacing w:after="80" w:line="324" w:lineRule="auto"/>
        <w:ind w:left="454" w:hanging="255"/>
      </w:pPr>
      <w:r>
        <w:rPr>
          <w:rFonts w:ascii="Times New Roman" w:hAnsi="Times New Roman" w:eastAsia="宋体"/>
          <w:b w:val="0"/>
          <w:color w:val="1F2937"/>
          <w:sz w:val="21"/>
        </w:rPr>
        <w:t>赛车端收到有效STOP报文后，无条件释放安全继电器。</w:t>
      </w:r>
    </w:p>
    <w:p w14:paraId="7926E7DB">
      <w:pPr>
        <w:pStyle w:val="14"/>
        <w:spacing w:after="80" w:line="324" w:lineRule="auto"/>
        <w:ind w:left="454" w:hanging="255"/>
      </w:pPr>
      <w:r>
        <w:rPr>
          <w:rFonts w:ascii="Times New Roman" w:hAnsi="Times New Roman" w:eastAsia="宋体"/>
          <w:b w:val="0"/>
          <w:color w:val="1F2937"/>
          <w:sz w:val="21"/>
        </w:rPr>
        <w:t>赛车端以500 ms为阈值监测“有效通信”；若未收到通过CRC、鉴权、会话号和序号检查的有效报文，则释放两个安全继电器。</w:t>
      </w:r>
    </w:p>
    <w:p w14:paraId="624C6AD7">
      <w:pPr>
        <w:pStyle w:val="14"/>
        <w:spacing w:after="80" w:line="324" w:lineRule="auto"/>
        <w:ind w:left="454" w:hanging="255"/>
      </w:pPr>
      <w:r>
        <w:rPr>
          <w:rFonts w:ascii="Times New Roman" w:hAnsi="Times New Roman" w:eastAsia="宋体"/>
          <w:b w:val="0"/>
          <w:color w:val="1F2937"/>
          <w:sz w:val="21"/>
        </w:rPr>
        <w:t>CRC错误、鉴权失败、会话号错误、重复报文及超出防重放窗口的报文，均不能刷新有效通信计时器。</w:t>
      </w:r>
    </w:p>
    <w:p w14:paraId="5D97F5AA">
      <w:pPr>
        <w:pStyle w:val="14"/>
        <w:spacing w:after="80" w:line="324" w:lineRule="auto"/>
        <w:ind w:left="454" w:hanging="255"/>
      </w:pPr>
      <w:r>
        <w:rPr>
          <w:rFonts w:ascii="Times New Roman" w:hAnsi="Times New Roman" w:eastAsia="宋体"/>
          <w:b w:val="0"/>
          <w:color w:val="1F2937"/>
          <w:sz w:val="21"/>
        </w:rPr>
        <w:t>系统采用多信道自动跳频；无法恢复有效通信时，按通信中断处理并断开SDC。</w:t>
      </w:r>
    </w:p>
    <w:p w14:paraId="33BED540">
      <w:pPr>
        <w:keepNext/>
        <w:spacing w:before="80" w:after="0"/>
        <w:jc w:val="center"/>
      </w:pPr>
      <w:r>
        <w:drawing>
          <wp:inline distT="0" distB="0" distL="114300" distR="114300">
            <wp:extent cx="4139565" cy="5857240"/>
            <wp:effectExtent l="0" t="0" r="63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85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0B6A">
      <w:pPr>
        <w:spacing w:before="60" w:after="180"/>
        <w:jc w:val="center"/>
      </w:pPr>
      <w:r>
        <w:rPr>
          <w:rFonts w:ascii="Arial" w:hAnsi="Arial" w:eastAsia="宋体"/>
          <w:b w:val="0"/>
          <w:i/>
          <w:color w:val="6B7280"/>
          <w:sz w:val="18"/>
        </w:rPr>
        <w:t>图2  已提交ASF第3.1.2节中的赛车端失效保护原文</w:t>
      </w:r>
    </w:p>
    <w:p w14:paraId="3ED7B4AD">
      <w:pPr>
        <w:pStyle w:val="4"/>
        <w:keepNext/>
        <w:pageBreakBefore w:val="0"/>
      </w:pPr>
      <w:r>
        <w:rPr>
          <w:rFonts w:ascii="Arial" w:hAnsi="Arial" w:eastAsia="微软雅黑"/>
          <w:b/>
          <w:color w:val="17365D"/>
          <w:sz w:val="23"/>
        </w:rPr>
        <w:t>2. 遥控端发送的心跳是什么</w:t>
      </w:r>
      <w:bookmarkStart w:id="0" w:name="_GoBack"/>
      <w:bookmarkEnd w:id="0"/>
    </w:p>
    <w:p w14:paraId="1AADDE9D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color w:val="1F2937"/>
          <w:sz w:val="21"/>
        </w:rPr>
        <w:t>ASF第3.1.3节写明：无线数据帧包含STOP、READY或GO命令，正常工作时发送状态心跳；按下急停后，遥控端立即并重复发送STOP。结合这两处表述，ASF中的心跳是“携带当前状态的状态帧”，并非与STOP并行、固定表达READY的另一类报文。</w:t>
      </w:r>
    </w:p>
    <w:p w14:paraId="35345AE8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color w:val="1F2937"/>
          <w:sz w:val="21"/>
        </w:rPr>
        <w:t>因此，进入急停后，遥控端当前状态转为STOP，不再产生新的READY状态；随后发送的命令及必要状态报文表达的仍是STOP。即使受到干扰，只要有任一有效状态帧到达，赛车端识别到的就是STOP。</w:t>
      </w:r>
    </w:p>
    <w:p w14:paraId="66D938F3">
      <w:pPr>
        <w:keepNext/>
        <w:spacing w:before="80" w:after="0"/>
        <w:jc w:val="center"/>
      </w:pPr>
      <w:r>
        <w:drawing>
          <wp:inline distT="0" distB="0" distL="114300" distR="114300">
            <wp:extent cx="4139565" cy="5857240"/>
            <wp:effectExtent l="0" t="0" r="63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85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6526">
      <w:pPr>
        <w:spacing w:before="60" w:after="180"/>
        <w:jc w:val="center"/>
      </w:pPr>
      <w:r>
        <w:rPr>
          <w:rFonts w:ascii="Arial" w:hAnsi="Arial" w:eastAsia="宋体"/>
          <w:b w:val="0"/>
          <w:i/>
          <w:color w:val="6B7280"/>
          <w:sz w:val="18"/>
        </w:rPr>
        <w:t>图3  已提交ASF第3.1.3节中的无线发射与报文失效处理原文</w:t>
      </w:r>
    </w:p>
    <w:p w14:paraId="3F7FEAC4">
      <w:pPr>
        <w:pStyle w:val="3"/>
        <w:keepNext/>
        <w:pageBreakBefore w:val="0"/>
      </w:pPr>
      <w:r>
        <w:rPr>
          <w:rFonts w:ascii="Arial" w:hAnsi="Arial" w:eastAsia="微软雅黑"/>
          <w:b/>
          <w:color w:val="1F5D99"/>
          <w:sz w:val="28"/>
        </w:rPr>
        <w:t>三、两处说明合并后的失效处理逻辑</w:t>
      </w:r>
    </w:p>
    <w:p w14:paraId="03E71783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color w:val="1F2937"/>
          <w:sz w:val="21"/>
        </w:rPr>
        <w:t>把上述两部分合起来，按下急停后实际会出现以下几种结果：</w:t>
      </w:r>
    </w:p>
    <w:tbl>
      <w:tblPr>
        <w:tblStyle w:val="33"/>
        <w:tblW w:w="9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2850"/>
        <w:gridCol w:w="2300"/>
        <w:gridCol w:w="2100"/>
      </w:tblGrid>
      <w:tr w14:paraId="6C1F8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0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4E4BA5">
            <w:pPr>
              <w:spacing w:after="0" w:line="288" w:lineRule="auto"/>
              <w:jc w:val="center"/>
            </w:pPr>
            <w:r>
              <w:rPr>
                <w:rFonts w:ascii="Arial" w:hAnsi="Arial" w:eastAsia="微软雅黑"/>
                <w:b/>
                <w:color w:val="17365D"/>
                <w:sz w:val="19"/>
              </w:rPr>
              <w:t>情形</w:t>
            </w:r>
          </w:p>
        </w:tc>
        <w:tc>
          <w:tcPr>
            <w:tcW w:w="2850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FAE114">
            <w:pPr>
              <w:spacing w:after="0" w:line="288" w:lineRule="auto"/>
              <w:jc w:val="left"/>
            </w:pPr>
            <w:r>
              <w:rPr>
                <w:rFonts w:ascii="Arial" w:hAnsi="Arial" w:eastAsia="微软雅黑"/>
                <w:b/>
                <w:color w:val="17365D"/>
                <w:sz w:val="19"/>
              </w:rPr>
              <w:t>无线结果</w:t>
            </w:r>
          </w:p>
        </w:tc>
        <w:tc>
          <w:tcPr>
            <w:tcW w:w="2300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E1FFB6">
            <w:pPr>
              <w:spacing w:after="0" w:line="288" w:lineRule="auto"/>
              <w:jc w:val="left"/>
            </w:pPr>
            <w:r>
              <w:rPr>
                <w:rFonts w:ascii="Arial" w:hAnsi="Arial" w:eastAsia="微软雅黑"/>
                <w:b/>
                <w:color w:val="17365D"/>
                <w:sz w:val="19"/>
              </w:rPr>
              <w:t>赛车端判据</w:t>
            </w:r>
          </w:p>
        </w:tc>
        <w:tc>
          <w:tcPr>
            <w:tcW w:w="2100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6CEBEA">
            <w:pPr>
              <w:spacing w:after="0" w:line="288" w:lineRule="auto"/>
              <w:jc w:val="center"/>
            </w:pPr>
            <w:r>
              <w:rPr>
                <w:rFonts w:ascii="Arial" w:hAnsi="Arial" w:eastAsia="微软雅黑"/>
                <w:b/>
                <w:color w:val="17365D"/>
                <w:sz w:val="19"/>
              </w:rPr>
              <w:t>最终安全动作</w:t>
            </w:r>
          </w:p>
        </w:tc>
      </w:tr>
      <w:tr w14:paraId="5E268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7AA6C4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至少一帧急停后的有效状态报文送达</w:t>
            </w:r>
          </w:p>
        </w:tc>
        <w:tc>
          <w:tcPr>
            <w:tcW w:w="285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F51DB4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报文通过CRC、鉴权、会话号与序号检查，且当前状态为STOP</w:t>
            </w:r>
          </w:p>
        </w:tc>
        <w:tc>
          <w:tcPr>
            <w:tcW w:w="23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4E9F60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立即识别STOP</w:t>
            </w:r>
          </w:p>
        </w:tc>
        <w:tc>
          <w:tcPr>
            <w:tcW w:w="21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CB616C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立即释放两个安全继电器</w:t>
            </w:r>
          </w:p>
        </w:tc>
      </w:tr>
      <w:tr w14:paraId="0F8BD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69164B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急停后的有效STOP状态报文全部丢失</w:t>
            </w:r>
          </w:p>
        </w:tc>
        <w:tc>
          <w:tcPr>
            <w:tcW w:w="285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49CCBF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没有新的有效状态报文</w:t>
            </w:r>
          </w:p>
        </w:tc>
        <w:tc>
          <w:tcPr>
            <w:tcW w:w="23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921194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500 ms有效通信超时</w:t>
            </w:r>
          </w:p>
        </w:tc>
        <w:tc>
          <w:tcPr>
            <w:tcW w:w="21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27EFCB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释放两个安全继电器</w:t>
            </w:r>
          </w:p>
        </w:tc>
      </w:tr>
      <w:tr w14:paraId="1785F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CA8BF2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收到错误、伪造、旧序号或重放报文</w:t>
            </w:r>
          </w:p>
        </w:tc>
        <w:tc>
          <w:tcPr>
            <w:tcW w:w="285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24328C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校验或鉴权失败</w:t>
            </w:r>
          </w:p>
        </w:tc>
        <w:tc>
          <w:tcPr>
            <w:tcW w:w="23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7185C7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不得刷新有效通信计时器</w:t>
            </w:r>
          </w:p>
        </w:tc>
        <w:tc>
          <w:tcPr>
            <w:tcW w:w="21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F251DE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计时器到期后释放继电器</w:t>
            </w:r>
          </w:p>
        </w:tc>
      </w:tr>
      <w:tr w14:paraId="01249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32C0A0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部分信道受干扰</w:t>
            </w:r>
          </w:p>
        </w:tc>
        <w:tc>
          <w:tcPr>
            <w:tcW w:w="285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FE5AA7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按约定顺序自动跳频</w:t>
            </w:r>
          </w:p>
        </w:tc>
        <w:tc>
          <w:tcPr>
            <w:tcW w:w="23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8859CA">
            <w:pPr>
              <w:spacing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恢复有效STOP，或最终进入通信超时</w:t>
            </w:r>
          </w:p>
        </w:tc>
        <w:tc>
          <w:tcPr>
            <w:tcW w:w="21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E45457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立即或超时释放继电器</w:t>
            </w:r>
          </w:p>
        </w:tc>
      </w:tr>
    </w:tbl>
    <w:p w14:paraId="1ED86114">
      <w:pPr>
        <w:spacing w:after="0"/>
      </w:pPr>
    </w:p>
    <w:tbl>
      <w:tblPr>
        <w:tblStyle w:val="32"/>
        <w:tblW w:w="900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344B3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0" w:type="dxa"/>
            <w:shd w:val="clear" w:color="auto" w:fill="EAF5EF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3C982347">
            <w:pPr>
              <w:spacing w:after="100"/>
            </w:pPr>
            <w:r>
              <w:rPr>
                <w:rFonts w:ascii="Arial" w:hAnsi="Arial" w:eastAsia="微软雅黑"/>
                <w:b/>
                <w:color w:val="1F6F4A"/>
                <w:sz w:val="22"/>
              </w:rPr>
              <w:t>对“只有STOP无法正确接收”的直接回答</w:t>
            </w:r>
          </w:p>
          <w:p w14:paraId="44392B36"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color w:val="1F2937"/>
                <w:sz w:val="21"/>
              </w:rPr>
              <w:t>如果急停后的STOP状态帧均未被正确接收，就等同于赛车端没有收到新的有效状态报文。错误报文、旧序号报文、重放报文或未通过鉴权的报文不能刷新计时器，最终进入有效通信超时并释放安全继电器。由于急停后不再产生READY状态，因此不会出现“STOP丢失，但READY报文继续维持通信有效”的情况。</w:t>
            </w:r>
          </w:p>
        </w:tc>
      </w:tr>
    </w:tbl>
    <w:p w14:paraId="65FF9110">
      <w:pPr>
        <w:spacing w:after="0"/>
      </w:pPr>
    </w:p>
    <w:p w14:paraId="377F6F20">
      <w:pPr>
        <w:pStyle w:val="3"/>
        <w:keepNext/>
        <w:pageBreakBefore w:val="0"/>
      </w:pPr>
      <w:r>
        <w:rPr>
          <w:rFonts w:ascii="Arial" w:hAnsi="Arial" w:eastAsia="微软雅黑"/>
          <w:b/>
          <w:color w:val="1F5D99"/>
          <w:sz w:val="28"/>
        </w:rPr>
        <w:t>四、与规则要求的对应关系及复核请求</w:t>
      </w:r>
    </w:p>
    <w:p w14:paraId="7410CEE3">
      <w:pPr>
        <w:spacing w:after="100" w:line="348" w:lineRule="auto"/>
      </w:pPr>
      <w:r>
        <w:rPr>
          <w:rFonts w:ascii="Times New Roman" w:hAnsi="Times New Roman" w:eastAsia="宋体"/>
          <w:b w:val="0"/>
          <w:color w:val="1F2937"/>
          <w:sz w:val="21"/>
        </w:rPr>
        <w:t>规则AV1.4.2(c)、AV1.4.3、T12.10.2(d)及T12.10.5分别要求急停触发、信号丢失或损坏时进入安全状态，并满足规定的响应时间。本队ASF已经说明：有效通信超时阈值为500 ms，从最后一个有效报文到SDC断开的时间小于1.5 s，并采用多信道自动跳频提高抗干扰能力。</w:t>
      </w:r>
    </w:p>
    <w:p w14:paraId="48F06766">
      <w:pPr>
        <w:spacing w:after="100" w:line="348" w:lineRule="auto"/>
      </w:pPr>
      <w:r>
        <w:rPr>
          <w:rFonts w:ascii="Times New Roman" w:hAnsi="Times New Roman" w:eastAsia="宋体"/>
          <w:b w:val="0"/>
          <w:color w:val="1F2937"/>
          <w:sz w:val="21"/>
        </w:rPr>
        <w:t>上述规则规定的是失效后的安全结果和时间边界，并未将“停止发送全部心跳报文”规定为唯一实现方式。本队通过“当前状态报文 + 有效报文计时器 + 失电释放继电器”实现同一安全目标。</w:t>
      </w:r>
    </w:p>
    <w:p w14:paraId="53C8BCD7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color w:val="1F2937"/>
          <w:sz w:val="21"/>
        </w:rPr>
        <w:t>本次反馈关注的风险，已经由ASF中分开写明的报文状态定义、无效报文不刷新计时器和500 ms有效通信超时机制共同处理。本说明没有增加新的安全机制，只是把3.1.2和3.1.3中的原有内容放在一起说明。</w:t>
      </w:r>
    </w:p>
    <w:p w14:paraId="2DE20896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color w:val="1F2937"/>
          <w:sz w:val="21"/>
        </w:rPr>
        <w:t>基于以上原文和逻辑，恳请审查组重新评估3.1.2-5“失效设计”项；如认可上述说明，希望能够撤销该项Not OK。</w:t>
      </w:r>
    </w:p>
    <w:p w14:paraId="019E3B1E">
      <w:pPr>
        <w:spacing w:after="100" w:line="348" w:lineRule="auto"/>
      </w:pPr>
      <w:r>
        <w:rPr>
          <w:rFonts w:ascii="Times New Roman" w:hAnsi="Times New Roman" w:eastAsia="宋体"/>
          <w:b w:val="0"/>
          <w:color w:val="1F2937"/>
          <w:sz w:val="21"/>
        </w:rPr>
        <w:t>再次感谢审查组的指导与审核。</w:t>
      </w:r>
    </w:p>
    <w:sectPr>
      <w:footerReference r:id="rId5" w:type="default"/>
      <w:pgSz w:w="11906" w:h="16838"/>
      <w:pgMar w:top="1134" w:right="1304" w:bottom="1020" w:left="130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8B0E3">
    <w:pPr>
      <w:pStyle w:val="24"/>
      <w:spacing w:before="60"/>
      <w:jc w:val="center"/>
    </w:pPr>
    <w:r>
      <w:rPr>
        <w:rFonts w:ascii="Arial" w:hAnsi="Arial" w:eastAsia="微软雅黑"/>
        <w:b w:val="0"/>
        <w:color w:val="6B7280"/>
        <w:sz w:val="16"/>
      </w:rPr>
      <w:t xml:space="preserve">合肥工业大学车队  |  RES ASF审查意见补充说明  |  </w:t>
    </w:r>
    <w:r>
      <w:rPr>
        <w:rFonts w:ascii="Arial" w:hAnsi="Arial" w:eastAsia="微软雅黑"/>
        <w:b w:val="0"/>
        <w:color w:val="6B7280"/>
        <w:sz w:val="16"/>
      </w:rPr>
      <w:fldChar w:fldCharType="begin"/>
    </w:r>
    <w:r>
      <w:rPr>
        <w:rFonts w:ascii="Arial" w:hAnsi="Arial" w:eastAsia="微软雅黑"/>
        <w:b w:val="0"/>
        <w:color w:val="6B7280"/>
        <w:sz w:val="16"/>
      </w:rPr>
      <w:instrText xml:space="preserve"> PAGE </w:instrText>
    </w:r>
    <w:r>
      <w:rPr>
        <w:rFonts w:ascii="Arial" w:hAnsi="Arial" w:eastAsia="微软雅黑"/>
        <w:b w:val="0"/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2F1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48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3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1839</Words>
  <Characters>2121</Characters>
  <Lines>0</Lines>
  <Paragraphs>0</Paragraphs>
  <TotalTime>4</TotalTime>
  <ScaleCrop>false</ScaleCrop>
  <LinksUpToDate>false</LinksUpToDate>
  <CharactersWithSpaces>2143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合肥工业大学车队</dc:creator>
  <dc:description>generated by python-docx</dc:description>
  <cp:lastModifiedBy>凛祢</cp:lastModifiedBy>
  <dcterms:modified xsi:type="dcterms:W3CDTF">2026-08-26T06:23:43Z</dcterms:modified>
  <dc:subject>ASF 3.1.2-5 失效设计反馈复核</dc:subject>
  <dc:title>关于RES无线急停失效保护审查意见的补充说明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eyJoZGlkIjoiOWRmMzhiY2E2YjE2NGZjYWRmOTVlYzg2ZGQ1NjVkNzEiLCJ1c2VySWQiOiIxMzk3OTQ2MzA1In0=</vt:lpwstr>
  </property>
  <property fmtid="{D5CDD505-2E9C-101B-9397-08002B2CF9AE}" pid="3" name="KSOProductBuildVer">
    <vt:lpwstr>2052-12.1.0.28043</vt:lpwstr>
  </property>
  <property fmtid="{D5CDD505-2E9C-101B-9397-08002B2CF9AE}" pid="4" name="ICV">
    <vt:lpwstr>FFFEAC7E799B418CBDE46F844B1B04C0_12</vt:lpwstr>
  </property>
</Properties>
</file>