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82633" w14:textId="0B8D52C9" w:rsidR="004F338C" w:rsidRDefault="004F338C" w:rsidP="004F338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9"/>
          <w:szCs w:val="29"/>
        </w:rPr>
        <w:t>1- Should we move to GKE? Why? </w:t>
      </w:r>
      <w:r>
        <w:rPr>
          <w:rStyle w:val="normaltextrun"/>
          <w:rFonts w:ascii="Calibri" w:hAnsi="Calibri" w:cs="Calibri"/>
          <w:sz w:val="29"/>
          <w:szCs w:val="29"/>
        </w:rPr>
        <w:t>(</w:t>
      </w:r>
      <w:r>
        <w:rPr>
          <w:rStyle w:val="normaltextrun"/>
          <w:rFonts w:ascii="Calibri" w:hAnsi="Calibri" w:cs="Calibri"/>
          <w:sz w:val="29"/>
          <w:szCs w:val="29"/>
        </w:rPr>
        <w:t>-Zhihao</w:t>
      </w:r>
      <w:r>
        <w:rPr>
          <w:rStyle w:val="normaltextrun"/>
          <w:rFonts w:ascii="Calibri" w:hAnsi="Calibri" w:cs="Calibri"/>
          <w:sz w:val="29"/>
          <w:szCs w:val="29"/>
        </w:rPr>
        <w:t xml:space="preserve"> </w:t>
      </w:r>
      <w:r>
        <w:rPr>
          <w:rStyle w:val="normaltextrun"/>
          <w:rFonts w:ascii="Calibri" w:hAnsi="Calibri" w:cs="Calibri"/>
          <w:sz w:val="29"/>
          <w:szCs w:val="29"/>
        </w:rPr>
        <w:t>Chen</w:t>
      </w:r>
      <w:r>
        <w:rPr>
          <w:rStyle w:val="eop"/>
          <w:rFonts w:ascii="Calibri" w:hAnsi="Calibri" w:cs="Calibri"/>
          <w:sz w:val="29"/>
          <w:szCs w:val="29"/>
        </w:rPr>
        <w:t>)</w:t>
      </w:r>
    </w:p>
    <w:p w14:paraId="5F9E22C8" w14:textId="77777777" w:rsidR="004F338C" w:rsidRDefault="004F338C" w:rsidP="004F338C">
      <w:pPr>
        <w:pStyle w:val="paragraph"/>
        <w:spacing w:before="0" w:beforeAutospacing="0" w:after="0" w:afterAutospacing="0"/>
        <w:jc w:val="both"/>
        <w:textAlignment w:val="baseline"/>
        <w:rPr>
          <w:rFonts w:ascii="Segoe UI" w:hAnsi="Segoe UI" w:cs="Segoe UI" w:hint="eastAsia"/>
          <w:sz w:val="18"/>
          <w:szCs w:val="18"/>
        </w:rPr>
      </w:pPr>
      <w:r>
        <w:rPr>
          <w:rStyle w:val="normaltextrun"/>
          <w:rFonts w:ascii="Calibri" w:hAnsi="Calibri" w:cs="Calibri"/>
          <w:b/>
          <w:bCs/>
          <w:sz w:val="29"/>
          <w:szCs w:val="29"/>
        </w:rPr>
        <w:t>Answer:</w:t>
      </w:r>
      <w:r>
        <w:rPr>
          <w:rStyle w:val="eop"/>
          <w:rFonts w:ascii="Calibri" w:hAnsi="Calibri" w:cs="Calibri"/>
          <w:sz w:val="29"/>
          <w:szCs w:val="29"/>
        </w:rPr>
        <w:t> </w:t>
      </w:r>
    </w:p>
    <w:p w14:paraId="50A92B98" w14:textId="1E759746" w:rsidR="004F338C" w:rsidRDefault="004F338C" w:rsidP="004F338C">
      <w:pPr>
        <w:pStyle w:val="paragraph"/>
        <w:spacing w:before="0" w:beforeAutospacing="0" w:after="0" w:afterAutospacing="0"/>
        <w:jc w:val="both"/>
        <w:textAlignment w:val="baseline"/>
        <w:rPr>
          <w:rFonts w:ascii="Segoe UI" w:hAnsi="Segoe UI" w:cs="Segoe UI" w:hint="eastAsia"/>
          <w:sz w:val="18"/>
          <w:szCs w:val="18"/>
        </w:rPr>
      </w:pPr>
      <w:r>
        <w:rPr>
          <w:rStyle w:val="normaltextrun"/>
          <w:rFonts w:ascii="Times New Roman" w:hAnsi="Times New Roman" w:cs="Times New Roman"/>
        </w:rPr>
        <w:t xml:space="preserve">Customers should move to Google Kubernetes Engine and activate ISTIO. Google Kubernetes Engine is a management system and can be orchestrated. The main problems faced by customers are related to scale. According to Rob and </w:t>
      </w:r>
      <w:r>
        <w:rPr>
          <w:rStyle w:val="normaltextrun"/>
          <w:rFonts w:ascii="Times New Roman" w:hAnsi="Times New Roman" w:cs="Times New Roman"/>
        </w:rPr>
        <w:t>Maciek (2020)</w:t>
      </w:r>
      <w:r>
        <w:rPr>
          <w:rStyle w:val="normaltextrun"/>
          <w:rFonts w:ascii="Times New Roman" w:hAnsi="Times New Roman" w:cs="Times New Roman" w:hint="eastAsia"/>
        </w:rPr>
        <w:t>,</w:t>
      </w:r>
      <w:r>
        <w:rPr>
          <w:rStyle w:val="normaltextrun"/>
          <w:rFonts w:ascii="Times New Roman" w:hAnsi="Times New Roman" w:cs="Times New Roman"/>
        </w:rPr>
        <w:t xml:space="preserve"> t</w:t>
      </w:r>
      <w:r>
        <w:rPr>
          <w:rStyle w:val="normaltextrun"/>
          <w:rFonts w:ascii="Times New Roman" w:hAnsi="Times New Roman" w:cs="Times New Roman"/>
        </w:rPr>
        <w:t xml:space="preserve">hey introduced several important features of Google Kubernetes Engine,"clusters with up to 15,000 nodes", and "If you're running large, internet-scale services; If you need to simplify infrastructure management by having fewer clusters to manage; Batch processing — shortening the time needed to process data by temporarily using much more resources". These features mean that Google Kubernetes Engine can help companies solve the problem of scale and improve the company's efficiency by reducing the number of clusters managed and increasing the speed of data processing. In addition, Google Kubernetes Engine can help maintainers and developers to automatically maintain and repair nodes, which is very convenient and highly secure. In addition to using Google Kubernetes Engin, customers also need to activate Istio. According to </w:t>
      </w:r>
      <w:r>
        <w:rPr>
          <w:rStyle w:val="normaltextrun"/>
          <w:rFonts w:ascii="Times New Roman" w:hAnsi="Times New Roman" w:cs="Times New Roman"/>
        </w:rPr>
        <w:t xml:space="preserve">Istio </w:t>
      </w:r>
      <w:r>
        <w:rPr>
          <w:rStyle w:val="normaltextrun"/>
          <w:rFonts w:ascii="Times New Roman" w:hAnsi="Times New Roman" w:cs="Times New Roman" w:hint="eastAsia"/>
        </w:rPr>
        <w:t>(</w:t>
      </w:r>
      <w:r>
        <w:rPr>
          <w:rStyle w:val="normaltextrun"/>
          <w:rFonts w:ascii="Times New Roman" w:hAnsi="Times New Roman" w:cs="Times New Roman"/>
        </w:rPr>
        <w:t>n.d.</w:t>
      </w:r>
      <w:r>
        <w:rPr>
          <w:rStyle w:val="normaltextrun"/>
          <w:rFonts w:ascii="Times New Roman" w:hAnsi="Times New Roman" w:cs="Times New Roman" w:hint="eastAsia"/>
        </w:rPr>
        <w:t>)</w:t>
      </w:r>
      <w:r>
        <w:rPr>
          <w:rStyle w:val="normaltextrun"/>
          <w:rFonts w:ascii="Times New Roman" w:hAnsi="Times New Roman" w:cs="Times New Roman"/>
        </w:rPr>
        <w:t xml:space="preserve">,"Istio's powerful features provide a uniform and more efficient way to secure, connect, and monitor services. "This means that combining Google Kubernetes Engine and </w:t>
      </w:r>
      <w:r>
        <w:rPr>
          <w:rStyle w:val="normaltextrun"/>
          <w:rFonts w:ascii="Times New Roman" w:hAnsi="Times New Roman" w:cs="Times New Roman"/>
        </w:rPr>
        <w:t>Istio</w:t>
      </w:r>
      <w:r>
        <w:rPr>
          <w:rStyle w:val="normaltextrun"/>
          <w:rFonts w:ascii="Times New Roman" w:hAnsi="Times New Roman" w:cs="Times New Roman"/>
        </w:rPr>
        <w:t xml:space="preserve"> can improve scalability and monitor and maintain products more efficiently Quality and improve user experience.</w:t>
      </w:r>
      <w:r>
        <w:rPr>
          <w:rStyle w:val="eop"/>
          <w:rFonts w:ascii="Times New Roman" w:hAnsi="Times New Roman" w:cs="Times New Roman"/>
        </w:rPr>
        <w:t> </w:t>
      </w:r>
    </w:p>
    <w:p w14:paraId="69828F66" w14:textId="007BD0B5" w:rsidR="00DA0810" w:rsidRDefault="00DA0810"/>
    <w:p w14:paraId="29025E23" w14:textId="5AE228E6" w:rsidR="004F338C" w:rsidRDefault="004F338C"/>
    <w:p w14:paraId="3147F023" w14:textId="2FD43227" w:rsidR="004F338C" w:rsidRDefault="004F338C"/>
    <w:p w14:paraId="7A94C7EC" w14:textId="38C6AD0F" w:rsidR="004F338C" w:rsidRDefault="004F338C"/>
    <w:p w14:paraId="2172ABD0" w14:textId="77777777" w:rsidR="004F338C" w:rsidRDefault="004F338C" w:rsidP="004F338C">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31"/>
          <w:szCs w:val="31"/>
        </w:rPr>
        <w:t>Reference:</w:t>
      </w:r>
      <w:r>
        <w:rPr>
          <w:rStyle w:val="eop"/>
          <w:rFonts w:ascii="Arial" w:hAnsi="Arial" w:cs="Arial"/>
          <w:sz w:val="31"/>
          <w:szCs w:val="31"/>
        </w:rPr>
        <w:t> </w:t>
      </w:r>
    </w:p>
    <w:p w14:paraId="47361651" w14:textId="77777777" w:rsidR="004F338C" w:rsidRDefault="004F338C" w:rsidP="004F338C">
      <w:pPr>
        <w:pStyle w:val="paragraph"/>
        <w:spacing w:before="0" w:beforeAutospacing="0" w:after="0" w:afterAutospacing="0"/>
        <w:textAlignment w:val="baseline"/>
        <w:rPr>
          <w:rFonts w:ascii="Segoe UI" w:hAnsi="Segoe UI" w:cs="Segoe UI" w:hint="eastAsia"/>
          <w:sz w:val="18"/>
          <w:szCs w:val="18"/>
        </w:rPr>
      </w:pPr>
      <w:r>
        <w:rPr>
          <w:rStyle w:val="eop"/>
          <w:rFonts w:ascii="Arial" w:hAnsi="Arial" w:cs="Arial"/>
          <w:sz w:val="31"/>
          <w:szCs w:val="31"/>
        </w:rPr>
        <w:t> </w:t>
      </w:r>
    </w:p>
    <w:p w14:paraId="0102ED68" w14:textId="77777777" w:rsidR="004F338C" w:rsidRDefault="004F338C" w:rsidP="004F338C">
      <w:pPr>
        <w:pStyle w:val="paragraph"/>
        <w:spacing w:before="0" w:beforeAutospacing="0" w:after="0" w:afterAutospacing="0"/>
        <w:textAlignment w:val="baseline"/>
        <w:rPr>
          <w:rFonts w:ascii="Segoe UI" w:hAnsi="Segoe UI" w:cs="Segoe UI" w:hint="eastAsia"/>
          <w:sz w:val="18"/>
          <w:szCs w:val="18"/>
        </w:rPr>
      </w:pPr>
      <w:r>
        <w:rPr>
          <w:rStyle w:val="normaltextrun"/>
          <w:rFonts w:ascii="Roboto" w:hAnsi="Roboto" w:cs="Segoe UI"/>
          <w:color w:val="202124"/>
          <w:sz w:val="21"/>
          <w:szCs w:val="21"/>
        </w:rPr>
        <w:t>Rob Long &amp;</w:t>
      </w:r>
      <w:r>
        <w:rPr>
          <w:rStyle w:val="normaltextrun"/>
          <w:rFonts w:ascii="Cambria" w:hAnsi="Cambria" w:cs="Cambria"/>
          <w:color w:val="202124"/>
          <w:sz w:val="21"/>
          <w:szCs w:val="21"/>
        </w:rPr>
        <w:t> </w:t>
      </w:r>
      <w:r>
        <w:rPr>
          <w:rStyle w:val="normaltextrun"/>
          <w:rFonts w:ascii="Roboto" w:hAnsi="Roboto" w:cs="Segoe UI"/>
          <w:color w:val="202124"/>
          <w:sz w:val="21"/>
          <w:szCs w:val="21"/>
        </w:rPr>
        <w:t>Maciek R</w:t>
      </w:r>
      <w:r>
        <w:rPr>
          <w:rStyle w:val="normaltextrun"/>
          <w:rFonts w:ascii="Roboto" w:hAnsi="Roboto" w:cs="Roboto"/>
          <w:color w:val="202124"/>
          <w:sz w:val="21"/>
          <w:szCs w:val="21"/>
        </w:rPr>
        <w:t>ó</w:t>
      </w:r>
      <w:r>
        <w:rPr>
          <w:rStyle w:val="normaltextrun"/>
          <w:rFonts w:ascii="Cambria" w:hAnsi="Cambria" w:cs="Cambria"/>
          <w:color w:val="202124"/>
          <w:sz w:val="21"/>
          <w:szCs w:val="21"/>
        </w:rPr>
        <w:t>ż</w:t>
      </w:r>
      <w:r>
        <w:rPr>
          <w:rStyle w:val="normaltextrun"/>
          <w:rFonts w:ascii="Roboto" w:hAnsi="Roboto" w:cs="Segoe UI"/>
          <w:color w:val="202124"/>
          <w:sz w:val="21"/>
          <w:szCs w:val="21"/>
        </w:rPr>
        <w:t>acki (2020, June</w:t>
      </w:r>
      <w:r>
        <w:rPr>
          <w:rStyle w:val="normaltextrun"/>
          <w:rFonts w:ascii="Cambria" w:hAnsi="Cambria" w:cs="Cambria"/>
          <w:color w:val="202124"/>
          <w:sz w:val="21"/>
          <w:szCs w:val="21"/>
        </w:rPr>
        <w:t> </w:t>
      </w:r>
      <w:r>
        <w:rPr>
          <w:rStyle w:val="normaltextrun"/>
          <w:rFonts w:ascii="Roboto" w:hAnsi="Roboto" w:cs="Segoe UI"/>
          <w:color w:val="202124"/>
          <w:sz w:val="21"/>
          <w:szCs w:val="21"/>
        </w:rPr>
        <w:t>23.</w:t>
      </w:r>
      <w:r>
        <w:rPr>
          <w:rStyle w:val="normaltextrun"/>
          <w:rFonts w:ascii="Cambria" w:hAnsi="Cambria" w:cs="Cambria"/>
          <w:color w:val="202124"/>
          <w:sz w:val="21"/>
          <w:szCs w:val="21"/>
        </w:rPr>
        <w:t> </w:t>
      </w:r>
      <w:r>
        <w:rPr>
          <w:rStyle w:val="normaltextrun"/>
          <w:rFonts w:ascii="Roboto" w:hAnsi="Roboto" w:cs="Segoe UI"/>
          <w:i/>
          <w:iCs/>
          <w:color w:val="202124"/>
          <w:sz w:val="21"/>
          <w:szCs w:val="21"/>
        </w:rPr>
        <w:t>Bayer Crop Science seeds the future with 15000-node GKE clusters.</w:t>
      </w:r>
      <w:r>
        <w:rPr>
          <w:rStyle w:val="normaltextrun"/>
          <w:rFonts w:ascii="Cambria" w:hAnsi="Cambria" w:cs="Cambria"/>
          <w:i/>
          <w:iCs/>
          <w:color w:val="202124"/>
          <w:sz w:val="21"/>
          <w:szCs w:val="21"/>
        </w:rPr>
        <w:t> </w:t>
      </w:r>
      <w:r>
        <w:rPr>
          <w:rStyle w:val="normaltextrun"/>
          <w:rFonts w:ascii="Roboto" w:hAnsi="Roboto" w:cs="Segoe UI"/>
          <w:color w:val="202124"/>
          <w:sz w:val="21"/>
          <w:szCs w:val="21"/>
        </w:rPr>
        <w:t>Google</w:t>
      </w:r>
      <w:r>
        <w:rPr>
          <w:rStyle w:val="normaltextrun"/>
          <w:rFonts w:ascii="Cambria" w:hAnsi="Cambria" w:cs="Cambria"/>
          <w:color w:val="202124"/>
          <w:sz w:val="21"/>
          <w:szCs w:val="21"/>
        </w:rPr>
        <w:t> </w:t>
      </w:r>
      <w:r>
        <w:rPr>
          <w:rStyle w:val="normaltextrun"/>
          <w:rFonts w:ascii="Roboto" w:hAnsi="Roboto" w:cs="Segoe UI"/>
          <w:color w:val="202124"/>
          <w:sz w:val="21"/>
          <w:szCs w:val="21"/>
        </w:rPr>
        <w:t>Cloud. Retrieved from</w:t>
      </w:r>
      <w:r>
        <w:rPr>
          <w:rStyle w:val="normaltextrun"/>
          <w:rFonts w:ascii="Cambria" w:hAnsi="Cambria" w:cs="Cambria"/>
          <w:i/>
          <w:iCs/>
          <w:color w:val="202124"/>
          <w:sz w:val="21"/>
          <w:szCs w:val="21"/>
        </w:rPr>
        <w:t> </w:t>
      </w:r>
      <w:hyperlink r:id="rId4" w:tgtFrame="_blank" w:history="1">
        <w:r>
          <w:rPr>
            <w:rStyle w:val="normaltextrun"/>
            <w:rFonts w:ascii="Roboto" w:hAnsi="Roboto" w:cs="Segoe UI"/>
            <w:i/>
            <w:iCs/>
            <w:color w:val="0563C1"/>
            <w:sz w:val="21"/>
            <w:szCs w:val="21"/>
            <w:u w:val="single"/>
          </w:rPr>
          <w:t>https://cloud.google.com/blog/products/containers-kubernetes/google-kubernetes-engine-clusters-can-have-up-to-15000-nodes</w:t>
        </w:r>
      </w:hyperlink>
      <w:r>
        <w:rPr>
          <w:rStyle w:val="eop"/>
          <w:rFonts w:ascii="Cambria" w:hAnsi="Cambria" w:cs="Cambria"/>
          <w:color w:val="202124"/>
          <w:sz w:val="21"/>
          <w:szCs w:val="21"/>
        </w:rPr>
        <w:t> </w:t>
      </w:r>
    </w:p>
    <w:p w14:paraId="685A694C" w14:textId="77777777" w:rsidR="004F338C" w:rsidRDefault="004F338C" w:rsidP="004F338C">
      <w:pPr>
        <w:pStyle w:val="paragraph"/>
        <w:spacing w:before="0" w:beforeAutospacing="0" w:after="0" w:afterAutospacing="0"/>
        <w:textAlignment w:val="baseline"/>
        <w:rPr>
          <w:rFonts w:ascii="Segoe UI" w:hAnsi="Segoe UI" w:cs="Segoe UI" w:hint="eastAsia"/>
          <w:sz w:val="18"/>
          <w:szCs w:val="18"/>
        </w:rPr>
      </w:pPr>
      <w:r>
        <w:rPr>
          <w:rStyle w:val="eop"/>
          <w:rFonts w:ascii="Cambria" w:hAnsi="Cambria" w:cs="Cambria"/>
          <w:sz w:val="21"/>
          <w:szCs w:val="21"/>
        </w:rPr>
        <w:t> </w:t>
      </w:r>
    </w:p>
    <w:p w14:paraId="6F86837E" w14:textId="77777777" w:rsidR="004F338C" w:rsidRDefault="004F338C" w:rsidP="004F338C">
      <w:pPr>
        <w:pStyle w:val="paragraph"/>
        <w:spacing w:before="0" w:beforeAutospacing="0" w:after="0" w:afterAutospacing="0"/>
        <w:textAlignment w:val="baseline"/>
        <w:rPr>
          <w:rFonts w:ascii="Segoe UI" w:hAnsi="Segoe UI" w:cs="Segoe UI" w:hint="eastAsia"/>
          <w:sz w:val="18"/>
          <w:szCs w:val="18"/>
        </w:rPr>
      </w:pPr>
      <w:r>
        <w:rPr>
          <w:rStyle w:val="normaltextrun"/>
          <w:rFonts w:ascii="Roboto" w:hAnsi="Roboto" w:cs="Segoe UI"/>
          <w:sz w:val="21"/>
          <w:szCs w:val="21"/>
        </w:rPr>
        <w:t>Istio</w:t>
      </w:r>
      <w:r>
        <w:rPr>
          <w:rStyle w:val="normaltextrun"/>
          <w:rFonts w:ascii="Cambria" w:hAnsi="Cambria" w:cs="Cambria"/>
          <w:sz w:val="21"/>
          <w:szCs w:val="21"/>
        </w:rPr>
        <w:t> </w:t>
      </w:r>
      <w:r>
        <w:rPr>
          <w:rStyle w:val="normaltextrun"/>
          <w:rFonts w:ascii="Roboto" w:hAnsi="Roboto" w:cs="Segoe UI"/>
          <w:sz w:val="21"/>
          <w:szCs w:val="21"/>
        </w:rPr>
        <w:t>（</w:t>
      </w:r>
      <w:r>
        <w:rPr>
          <w:rStyle w:val="normaltextrun"/>
          <w:rFonts w:ascii="Roboto" w:hAnsi="Roboto" w:cs="Segoe UI"/>
          <w:sz w:val="21"/>
          <w:szCs w:val="21"/>
        </w:rPr>
        <w:t>n.d.</w:t>
      </w:r>
      <w:r>
        <w:rPr>
          <w:rStyle w:val="normaltextrun"/>
          <w:rFonts w:ascii="Roboto" w:hAnsi="Roboto" w:cs="Segoe UI"/>
          <w:sz w:val="21"/>
          <w:szCs w:val="21"/>
        </w:rPr>
        <w:t>）</w:t>
      </w:r>
      <w:r>
        <w:rPr>
          <w:rStyle w:val="normaltextrun"/>
          <w:rFonts w:ascii="Roboto" w:hAnsi="Roboto" w:cs="Segoe UI"/>
          <w:sz w:val="21"/>
          <w:szCs w:val="21"/>
        </w:rPr>
        <w:t>.</w:t>
      </w:r>
      <w:r>
        <w:rPr>
          <w:rStyle w:val="normaltextrun"/>
          <w:rFonts w:ascii="Cambria" w:hAnsi="Cambria" w:cs="Cambria"/>
          <w:sz w:val="21"/>
          <w:szCs w:val="21"/>
        </w:rPr>
        <w:t> </w:t>
      </w:r>
      <w:r>
        <w:rPr>
          <w:rStyle w:val="normaltextrun"/>
          <w:rFonts w:ascii="Roboto" w:hAnsi="Roboto" w:cs="Segoe UI"/>
          <w:i/>
          <w:iCs/>
          <w:sz w:val="21"/>
          <w:szCs w:val="21"/>
        </w:rPr>
        <w:t>The Istio service mesh</w:t>
      </w:r>
      <w:r>
        <w:rPr>
          <w:rStyle w:val="normaltextrun"/>
          <w:rFonts w:ascii="Cambria" w:hAnsi="Cambria" w:cs="Cambria"/>
          <w:sz w:val="21"/>
          <w:szCs w:val="21"/>
        </w:rPr>
        <w:t> </w:t>
      </w:r>
      <w:r>
        <w:rPr>
          <w:rStyle w:val="normaltextrun"/>
          <w:rFonts w:ascii="Roboto" w:hAnsi="Roboto" w:cs="Segoe UI"/>
          <w:sz w:val="21"/>
          <w:szCs w:val="21"/>
        </w:rPr>
        <w:t>T. Istio. Retrieved from</w:t>
      </w:r>
      <w:r>
        <w:rPr>
          <w:rStyle w:val="normaltextrun"/>
          <w:rFonts w:ascii="Cambria" w:hAnsi="Cambria" w:cs="Cambria"/>
          <w:sz w:val="21"/>
          <w:szCs w:val="21"/>
        </w:rPr>
        <w:t> </w:t>
      </w:r>
      <w:hyperlink r:id="rId5" w:tgtFrame="_blank" w:history="1">
        <w:r>
          <w:rPr>
            <w:rStyle w:val="normaltextrun"/>
            <w:rFonts w:ascii="Roboto" w:hAnsi="Roboto" w:cs="Segoe UI"/>
            <w:color w:val="0563C1"/>
            <w:sz w:val="21"/>
            <w:szCs w:val="21"/>
            <w:u w:val="single"/>
          </w:rPr>
          <w:t>https://istio.io/latest/about/service-mesh/</w:t>
        </w:r>
      </w:hyperlink>
      <w:r>
        <w:rPr>
          <w:rStyle w:val="eop"/>
          <w:rFonts w:ascii="Cambria" w:hAnsi="Cambria" w:cs="Cambria"/>
          <w:sz w:val="21"/>
          <w:szCs w:val="21"/>
        </w:rPr>
        <w:t> </w:t>
      </w:r>
    </w:p>
    <w:p w14:paraId="38E9E9E6" w14:textId="77777777" w:rsidR="004F338C" w:rsidRPr="004F338C" w:rsidRDefault="004F338C">
      <w:pPr>
        <w:rPr>
          <w:rFonts w:hint="eastAsia"/>
        </w:rPr>
      </w:pPr>
    </w:p>
    <w:sectPr w:rsidR="004F338C" w:rsidRPr="004F33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79"/>
    <w:rsid w:val="00026CFD"/>
    <w:rsid w:val="004F338C"/>
    <w:rsid w:val="00C03B35"/>
    <w:rsid w:val="00C31379"/>
    <w:rsid w:val="00DA0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AFD7"/>
  <w15:chartTrackingRefBased/>
  <w15:docId w15:val="{E88D1F1F-BF7D-43DA-816C-6781A4AF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4F338C"/>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a0"/>
    <w:rsid w:val="004F338C"/>
  </w:style>
  <w:style w:type="character" w:customStyle="1" w:styleId="eop">
    <w:name w:val="eop"/>
    <w:basedOn w:val="a0"/>
    <w:rsid w:val="004F3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0241">
      <w:bodyDiv w:val="1"/>
      <w:marLeft w:val="0"/>
      <w:marRight w:val="0"/>
      <w:marTop w:val="0"/>
      <w:marBottom w:val="0"/>
      <w:divBdr>
        <w:top w:val="none" w:sz="0" w:space="0" w:color="auto"/>
        <w:left w:val="none" w:sz="0" w:space="0" w:color="auto"/>
        <w:bottom w:val="none" w:sz="0" w:space="0" w:color="auto"/>
        <w:right w:val="none" w:sz="0" w:space="0" w:color="auto"/>
      </w:divBdr>
      <w:divsChild>
        <w:div w:id="1906454449">
          <w:marLeft w:val="0"/>
          <w:marRight w:val="0"/>
          <w:marTop w:val="0"/>
          <w:marBottom w:val="0"/>
          <w:divBdr>
            <w:top w:val="none" w:sz="0" w:space="0" w:color="auto"/>
            <w:left w:val="none" w:sz="0" w:space="0" w:color="auto"/>
            <w:bottom w:val="none" w:sz="0" w:space="0" w:color="auto"/>
            <w:right w:val="none" w:sz="0" w:space="0" w:color="auto"/>
          </w:divBdr>
        </w:div>
        <w:div w:id="690304763">
          <w:marLeft w:val="0"/>
          <w:marRight w:val="0"/>
          <w:marTop w:val="0"/>
          <w:marBottom w:val="0"/>
          <w:divBdr>
            <w:top w:val="none" w:sz="0" w:space="0" w:color="auto"/>
            <w:left w:val="none" w:sz="0" w:space="0" w:color="auto"/>
            <w:bottom w:val="none" w:sz="0" w:space="0" w:color="auto"/>
            <w:right w:val="none" w:sz="0" w:space="0" w:color="auto"/>
          </w:divBdr>
        </w:div>
        <w:div w:id="1470438609">
          <w:marLeft w:val="0"/>
          <w:marRight w:val="0"/>
          <w:marTop w:val="0"/>
          <w:marBottom w:val="0"/>
          <w:divBdr>
            <w:top w:val="none" w:sz="0" w:space="0" w:color="auto"/>
            <w:left w:val="none" w:sz="0" w:space="0" w:color="auto"/>
            <w:bottom w:val="none" w:sz="0" w:space="0" w:color="auto"/>
            <w:right w:val="none" w:sz="0" w:space="0" w:color="auto"/>
          </w:divBdr>
        </w:div>
        <w:div w:id="265777267">
          <w:marLeft w:val="0"/>
          <w:marRight w:val="0"/>
          <w:marTop w:val="0"/>
          <w:marBottom w:val="0"/>
          <w:divBdr>
            <w:top w:val="none" w:sz="0" w:space="0" w:color="auto"/>
            <w:left w:val="none" w:sz="0" w:space="0" w:color="auto"/>
            <w:bottom w:val="none" w:sz="0" w:space="0" w:color="auto"/>
            <w:right w:val="none" w:sz="0" w:space="0" w:color="auto"/>
          </w:divBdr>
        </w:div>
        <w:div w:id="637801741">
          <w:marLeft w:val="0"/>
          <w:marRight w:val="0"/>
          <w:marTop w:val="0"/>
          <w:marBottom w:val="0"/>
          <w:divBdr>
            <w:top w:val="none" w:sz="0" w:space="0" w:color="auto"/>
            <w:left w:val="none" w:sz="0" w:space="0" w:color="auto"/>
            <w:bottom w:val="none" w:sz="0" w:space="0" w:color="auto"/>
            <w:right w:val="none" w:sz="0" w:space="0" w:color="auto"/>
          </w:divBdr>
        </w:div>
      </w:divsChild>
    </w:div>
    <w:div w:id="551696182">
      <w:bodyDiv w:val="1"/>
      <w:marLeft w:val="0"/>
      <w:marRight w:val="0"/>
      <w:marTop w:val="0"/>
      <w:marBottom w:val="0"/>
      <w:divBdr>
        <w:top w:val="none" w:sz="0" w:space="0" w:color="auto"/>
        <w:left w:val="none" w:sz="0" w:space="0" w:color="auto"/>
        <w:bottom w:val="none" w:sz="0" w:space="0" w:color="auto"/>
        <w:right w:val="none" w:sz="0" w:space="0" w:color="auto"/>
      </w:divBdr>
      <w:divsChild>
        <w:div w:id="28848456">
          <w:marLeft w:val="0"/>
          <w:marRight w:val="0"/>
          <w:marTop w:val="0"/>
          <w:marBottom w:val="0"/>
          <w:divBdr>
            <w:top w:val="none" w:sz="0" w:space="0" w:color="auto"/>
            <w:left w:val="none" w:sz="0" w:space="0" w:color="auto"/>
            <w:bottom w:val="none" w:sz="0" w:space="0" w:color="auto"/>
            <w:right w:val="none" w:sz="0" w:space="0" w:color="auto"/>
          </w:divBdr>
        </w:div>
        <w:div w:id="944996164">
          <w:marLeft w:val="0"/>
          <w:marRight w:val="0"/>
          <w:marTop w:val="0"/>
          <w:marBottom w:val="0"/>
          <w:divBdr>
            <w:top w:val="none" w:sz="0" w:space="0" w:color="auto"/>
            <w:left w:val="none" w:sz="0" w:space="0" w:color="auto"/>
            <w:bottom w:val="none" w:sz="0" w:space="0" w:color="auto"/>
            <w:right w:val="none" w:sz="0" w:space="0" w:color="auto"/>
          </w:divBdr>
        </w:div>
        <w:div w:id="294024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stio.io/latest/about/service-mesh/" TargetMode="External"/><Relationship Id="rId4" Type="http://schemas.openxmlformats.org/officeDocument/2006/relationships/hyperlink" Target="https://cloud.google.com/blog/products/containers-kubernetes/google-kubernetes-engine-clusters-can-have-up-to-15000-nod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 Chen</dc:creator>
  <cp:keywords/>
  <dc:description/>
  <cp:lastModifiedBy>Zhihao Chen</cp:lastModifiedBy>
  <cp:revision>2</cp:revision>
  <dcterms:created xsi:type="dcterms:W3CDTF">2021-12-14T06:51:00Z</dcterms:created>
  <dcterms:modified xsi:type="dcterms:W3CDTF">2021-12-14T06:53:00Z</dcterms:modified>
</cp:coreProperties>
</file>