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3A5C"/>
          <w:sz w:val="72"/>
          <w:szCs w:val="72"/>
        </w:rPr>
        <w:t xml:space="preserve">AgriChain</w:t>
      </w:r>
    </w:p>
    <w:p>
      <w:pPr>
        <w:spacing w:after="80" w:before="0"/>
        <w:jc w:val="center"/>
      </w:pPr>
      <w:r>
        <w:rPr>
          <w:rFonts w:ascii="Arial" w:cs="Arial" w:eastAsia="Arial" w:hAnsi="Arial"/>
          <w:b/>
          <w:bCs/>
          <w:color w:val="2E6DA4"/>
          <w:sz w:val="36"/>
          <w:szCs w:val="36"/>
        </w:rPr>
        <w:t xml:space="preserve">Spatially-Aware Agricultural Price Prediction</w:t>
      </w:r>
    </w:p>
    <w:p>
      <w:pPr>
        <w:spacing w:after="200" w:before="0"/>
        <w:jc w:val="center"/>
      </w:pPr>
      <w:r>
        <w:rPr>
          <w:rFonts w:ascii="Arial" w:cs="Arial" w:eastAsia="Arial" w:hAnsi="Arial"/>
          <w:i/>
          <w:iCs/>
          <w:color w:val="2E6DA4"/>
          <w:sz w:val="36"/>
          <w:szCs w:val="36"/>
        </w:rPr>
        <w:t xml:space="preserve">with Blockchain Integrity Assurance</w:t>
      </w:r>
    </w:p>
    <w:p>
      <w:pPr>
        <w:spacing w:after="100" w:before="100"/>
        <w:jc w:val="center"/>
      </w:pPr>
      <w:r>
        <w:rPr>
          <w:rFonts w:ascii="Arial" w:cs="Arial" w:eastAsia="Arial" w:hAnsi="Arial"/>
          <w:color w:val="C9A84C"/>
          <w:sz w:val="22"/>
          <w:szCs w:val="22"/>
        </w:rPr>
        <w:t xml:space="preserve">────────────────────────────────────────</w:t>
      </w:r>
    </w:p>
    <w:p>
      <w:pPr>
        <w:spacing w:after="600" w:before="100"/>
        <w:jc w:val="center"/>
      </w:pPr>
      <w:r>
        <w:rPr>
          <w:rFonts w:ascii="Arial" w:cs="Arial" w:eastAsia="Arial" w:hAnsi="Arial"/>
          <w:i/>
          <w:iCs/>
          <w:color w:val="444444"/>
          <w:sz w:val="28"/>
          <w:szCs w:val="28"/>
        </w:rPr>
        <w:t xml:space="preserve">Research Documentation &amp; Technical Report</w:t>
      </w:r>
    </w:p>
    <w:p>
      <w:pPr>
        <w:spacing w:after="60" w:before="0"/>
        <w:jc w:val="center"/>
      </w:pPr>
      <w:r>
        <w:rPr>
          <w:rFonts w:ascii="Arial" w:cs="Arial" w:eastAsia="Arial" w:hAnsi="Arial"/>
          <w:color w:val="555555"/>
          <w:sz w:val="22"/>
          <w:szCs w:val="22"/>
        </w:rPr>
        <w:t xml:space="preserve">A Study in Geospatial Deep Learning, Graph Neural Networks,</w:t>
      </w:r>
    </w:p>
    <w:p>
      <w:pPr>
        <w:spacing w:after="400" w:before="0"/>
        <w:jc w:val="center"/>
      </w:pPr>
      <w:r>
        <w:rPr>
          <w:rFonts w:ascii="Arial" w:cs="Arial" w:eastAsia="Arial" w:hAnsi="Arial"/>
          <w:color w:val="555555"/>
          <w:sz w:val="22"/>
          <w:szCs w:val="22"/>
        </w:rPr>
        <w:t xml:space="preserve">and Distributed Ledger Technology for Agricultural Market Informatics</w:t>
      </w:r>
    </w:p>
    <w:p>
      <w:pPr>
        <w:spacing w:after="40" w:before="200"/>
        <w:jc w:val="center"/>
      </w:pPr>
      <w:r>
        <w:rPr>
          <w:rFonts w:ascii="Arial" w:cs="Arial" w:eastAsia="Arial" w:hAnsi="Arial"/>
          <w:color w:val="777777"/>
          <w:sz w:val="22"/>
          <w:szCs w:val="22"/>
        </w:rPr>
        <w:t xml:space="preserve">April 2026</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Abstract</w:t>
      </w:r>
    </w:p>
    <w:p>
      <w:pPr>
        <w:spacing w:after="80" w:before="80"/>
        <w:jc w:val="both"/>
      </w:pPr>
      <w:r>
        <w:rPr>
          <w:rFonts w:ascii="Arial" w:cs="Arial" w:eastAsia="Arial" w:hAnsi="Arial"/>
          <w:sz w:val="22"/>
          <w:szCs w:val="22"/>
        </w:rPr>
        <w:t xml:space="preserve">Agricultural price volatility in India's regulated wholesale markets (mandis) constitutes a persistent challenge for smallholder farmers, commodity traders, and government agencies alike. Accurate price forecasting and tamper-proof price recording remain open problems that conventional univariate time-series approaches have failed to resolve adequately. This research presents </w:t>
      </w:r>
      <w:r>
        <w:rPr>
          <w:rFonts w:ascii="Arial" w:cs="Arial" w:eastAsia="Arial" w:hAnsi="Arial"/>
          <w:b/>
          <w:bCs/>
          <w:sz w:val="22"/>
          <w:szCs w:val="22"/>
        </w:rPr>
        <w:t xml:space="preserve">AgriChain</w:t>
      </w:r>
      <w:r>
        <w:rPr>
          <w:rFonts w:ascii="Arial" w:cs="Arial" w:eastAsia="Arial" w:hAnsi="Arial"/>
          <w:sz w:val="22"/>
          <w:szCs w:val="22"/>
        </w:rPr>
        <w:t xml:space="preserve">, an integrated system that combines </w:t>
      </w:r>
      <w:r>
        <w:rPr>
          <w:rFonts w:ascii="Arial" w:cs="Arial" w:eastAsia="Arial" w:hAnsi="Arial"/>
          <w:b/>
          <w:bCs/>
          <w:sz w:val="22"/>
          <w:szCs w:val="22"/>
        </w:rPr>
        <w:t xml:space="preserve">Spatial-Temporal Graph Convolutional Networks (ST-GCN)</w:t>
      </w:r>
      <w:r>
        <w:rPr>
          <w:rFonts w:ascii="Arial" w:cs="Arial" w:eastAsia="Arial" w:hAnsi="Arial"/>
          <w:sz w:val="22"/>
          <w:szCs w:val="22"/>
        </w:rPr>
        <w:t xml:space="preserve"> with a </w:t>
      </w:r>
      <w:r>
        <w:rPr>
          <w:rFonts w:ascii="Arial" w:cs="Arial" w:eastAsia="Arial" w:hAnsi="Arial"/>
          <w:b/>
          <w:bCs/>
          <w:sz w:val="22"/>
          <w:szCs w:val="22"/>
        </w:rPr>
        <w:t xml:space="preserve">Proof-of-Stake blockchain</w:t>
      </w:r>
      <w:r>
        <w:rPr>
          <w:rFonts w:ascii="Arial" w:cs="Arial" w:eastAsia="Arial" w:hAnsi="Arial"/>
          <w:sz w:val="22"/>
          <w:szCs w:val="22"/>
        </w:rPr>
        <w:t xml:space="preserve"> for price recording and consensus verification. The system operationalises the insight—drawn from parallel work in remote-sensing soil moisture estimation (Cai et al., 2026)—that combining data-driven models with physically-structured simulation frameworks produces superior results to either approach in isolation. AgriChain generates a spatially correlated synthetic dataset of 31 mandi nodes over 100 timesteps, employing Gaussian Random Fields for weather synthesis, ARIMA-based price generation with spatial noise, and a k-NN graph encoding geographic market proximity. A Convolutional Graph Neural Network (CGNN) is trained on 36,315 market observations to predict commodity prices up to 30 days ahead. All observed and predicted prices are immutably committed to a blockchain via SHA-256 hash chaining and PBFT consensus, enabling tamper-proof price discovery. This document reports the theoretical foundations, methodological progression, current empirical results, and a roadmap toward the full ST-GCN architecture described in the project design specification.</w:t>
      </w:r>
    </w:p>
    <w:p>
      <w:pPr>
        <w:spacing w:after="0" w:before="80"/>
      </w:pPr>
      <w:r>
        <w:t xml:space="preserve"/>
      </w:r>
    </w:p>
    <w:p>
      <w:pPr>
        <w:spacing w:after="80" w:before="80"/>
        <w:jc w:val="both"/>
      </w:pPr>
      <w:r>
        <w:rPr>
          <w:rFonts w:ascii="Arial" w:cs="Arial" w:eastAsia="Arial" w:hAnsi="Arial"/>
          <w:b/>
          <w:bCs/>
          <w:sz w:val="22"/>
          <w:szCs w:val="22"/>
        </w:rPr>
        <w:t xml:space="preserve">Keywords: </w:t>
      </w:r>
      <w:r>
        <w:rPr>
          <w:rFonts w:ascii="Arial" w:cs="Arial" w:eastAsia="Arial" w:hAnsi="Arial"/>
          <w:sz w:val="22"/>
          <w:szCs w:val="22"/>
        </w:rPr>
        <w:t xml:space="preserve">Graph Neural Networks, Spatiotemporal Forecasting, Blockchain, Agricultural Markets, Price Prediction, Gaussian Random Fields, Proof-of-Stake, Mandi Markets, India, Geospatial Machine Learning</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1. Introduction</w:t>
      </w:r>
    </w:p>
    <w:p>
      <w:pPr>
        <w:pStyle w:val="Heading2"/>
        <w:spacing w:after="120" w:before="280"/>
      </w:pPr>
      <w:r>
        <w:rPr>
          <w:rFonts w:ascii="Arial" w:cs="Arial" w:eastAsia="Arial" w:hAnsi="Arial"/>
          <w:b/>
          <w:bCs/>
          <w:color w:val="2E6DA4"/>
          <w:sz w:val="26"/>
          <w:szCs w:val="26"/>
        </w:rPr>
        <w:t xml:space="preserve">1.1 Motivation and Context</w:t>
      </w:r>
    </w:p>
    <w:p>
      <w:pPr>
        <w:spacing w:after="80" w:before="80"/>
        <w:jc w:val="both"/>
      </w:pPr>
      <w:r>
        <w:rPr>
          <w:rFonts w:ascii="Arial" w:cs="Arial" w:eastAsia="Arial" w:hAnsi="Arial"/>
          <w:sz w:val="22"/>
          <w:szCs w:val="22"/>
        </w:rPr>
        <w:t xml:space="preserve">India's agricultural economy, which employs more than 40% of the national workforce, operates through a network of approximately 7,000 regulated wholesale markets known as </w:t>
      </w:r>
      <w:r>
        <w:rPr>
          <w:rFonts w:ascii="Arial" w:cs="Arial" w:eastAsia="Arial" w:hAnsi="Arial"/>
          <w:i/>
          <w:iCs/>
          <w:sz w:val="22"/>
          <w:szCs w:val="22"/>
        </w:rPr>
        <w:t xml:space="preserve">mandis</w:t>
      </w:r>
      <w:r>
        <w:rPr>
          <w:rFonts w:ascii="Arial" w:cs="Arial" w:eastAsia="Arial" w:hAnsi="Arial"/>
          <w:sz w:val="22"/>
          <w:szCs w:val="22"/>
        </w:rPr>
        <w:t xml:space="preserve">. Price discovery at these markets is notoriously fragmented: farmers sell at prices determined by local supply-demand conditions while remaining unaware of prices prevailing at neighbouring markets only tens of kilometres away (Aijaz et al., 2025). This information asymmetry leads to sub-optimal selling decisions, unnecessary post-harvest losses, and periodic price crashes when multiple farmers arrive at the same market simultaneously.</w:t>
      </w:r>
    </w:p>
    <w:p>
      <w:pPr>
        <w:spacing w:after="80" w:before="80"/>
        <w:jc w:val="both"/>
      </w:pPr>
      <w:r>
        <w:rPr>
          <w:rFonts w:ascii="Arial" w:cs="Arial" w:eastAsia="Arial" w:hAnsi="Arial"/>
          <w:sz w:val="22"/>
          <w:szCs w:val="22"/>
        </w:rPr>
        <w:t xml:space="preserve">The problem is compounded by two structural features. First, mandi prices are spatially correlated: owing to road-based arbitrage, a price shock at one market propagates to geographically proximate markets within days. Bhardwaj et al. (2023) demonstrated that geospatial dependencies across Indian mandis are a significant and exploitable signal: their CGNN model, which encoded inter-market proximity as graph edges, outperformed non-spatial baselines by at least 20% on coefficient-of-variation across all prediction horizons from 4 to 30 days. Second, recorded prices are frequently manipulated: abusive traders and agents falsify arrival volumes and historical prices to depress payments to farmers (Bhardwaj et al., 2023). A system that forecasts prices accurately but cannot guarantee the integrity of its input data solves only half the problem.</w:t>
      </w:r>
    </w:p>
    <w:p>
      <w:pPr>
        <w:spacing w:after="80" w:before="80"/>
        <w:jc w:val="both"/>
      </w:pPr>
      <w:r>
        <w:rPr>
          <w:rFonts w:ascii="Arial" w:cs="Arial" w:eastAsia="Arial" w:hAnsi="Arial"/>
          <w:sz w:val="22"/>
          <w:szCs w:val="22"/>
        </w:rPr>
        <w:t xml:space="preserve">Contemporaneous work in a structurally analogous domain—high-resolution soil moisture estimation over US cropland—suggests a productive methodological template. Cai et al. (2026) showed that fusing multiple machine-learning models with a process-based simulation model (the Layered Green and Ampt Infiltration with Redistribution, LGAR, model) via an Ensemble Kalman Filter (EnKF) produces soil moisture estimates at 100 m / hourly resolution that outperform either component in isolation, achieving median KGE of 0.379 in the surface layer and 0.302 in the rootzone. The parallel to mandi price prediction is precise: </w:t>
      </w:r>
      <w:r>
        <w:rPr>
          <w:rFonts w:ascii="Arial" w:cs="Arial" w:eastAsia="Arial" w:hAnsi="Arial"/>
          <w:b/>
          <w:bCs/>
          <w:sz w:val="22"/>
          <w:szCs w:val="22"/>
        </w:rPr>
        <w:t xml:space="preserve">data-driven spatial models capture distributional patterns from historical data, while process-based models enforce structural constraints (physics of infiltration; economics of arbitrage). Fusing both under a principled assimilation framework is the path to robust, high-resolution spatiotemporal forecasting.</w:t>
      </w:r>
    </w:p>
    <w:p>
      <w:pPr>
        <w:spacing w:after="80" w:before="80"/>
        <w:jc w:val="both"/>
      </w:pPr>
      <w:r>
        <w:rPr>
          <w:rFonts w:ascii="Arial" w:cs="Arial" w:eastAsia="Arial" w:hAnsi="Arial"/>
          <w:sz w:val="22"/>
          <w:szCs w:val="22"/>
        </w:rPr>
        <w:t xml:space="preserve">AgriChain adopts this fusion philosophy. Its data-driven component is a graph neural network that learns price propagation patterns from historical mandi data; its structural component is a synthetic data generator that enforces spatial covariance through Gaussian Random Fields and temporal autocorrelation through ARIMA processes; and its integrity layer is a blockchain that plays the role of the EnKF—assimilating observations into an immutable record and producing verified price oracles.</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1.2 Problem Statement</w:t>
      </w:r>
    </w:p>
    <w:p>
      <w:pPr>
        <w:spacing w:after="80" w:before="80"/>
        <w:jc w:val="both"/>
      </w:pPr>
      <w:r>
        <w:rPr>
          <w:rFonts w:ascii="Arial" w:cs="Arial" w:eastAsia="Arial" w:hAnsi="Arial"/>
          <w:sz w:val="22"/>
          <w:szCs w:val="22"/>
        </w:rPr>
        <w:t xml:space="preserve">Formally, the research addresses three simultaneous requirements that no existing system satisfies jointly:</w:t>
      </w:r>
    </w:p>
    <w:p>
      <w:pPr>
        <w:pStyle w:val="ListParagraph"/>
        <w:numPr>
          <w:ilvl w:val="0"/>
          <w:numId w:val="2"/>
        </w:numPr>
        <w:spacing w:after="40" w:before="40"/>
      </w:pPr>
      <w:r>
        <w:rPr>
          <w:rFonts w:ascii="Arial" w:cs="Arial" w:eastAsia="Arial" w:hAnsi="Arial"/>
          <w:sz w:val="21"/>
          <w:szCs w:val="21"/>
        </w:rPr>
        <w:t xml:space="preserve">Prediction: Accurately forecast prices at N mandis across H future timesteps, exploiting both spatial correlation (nearby mandis influence each other via road-network arbitrage) and temporal patterns (price autocorrelation, seasonal crop cycles, weather shocks).</w:t>
      </w:r>
    </w:p>
    <w:p>
      <w:pPr>
        <w:pStyle w:val="ListParagraph"/>
        <w:numPr>
          <w:ilvl w:val="0"/>
          <w:numId w:val="2"/>
        </w:numPr>
        <w:spacing w:after="40" w:before="40"/>
      </w:pPr>
      <w:r>
        <w:rPr>
          <w:rFonts w:ascii="Arial" w:cs="Arial" w:eastAsia="Arial" w:hAnsi="Arial"/>
          <w:sz w:val="21"/>
          <w:szCs w:val="21"/>
        </w:rPr>
        <w:t xml:space="preserve">Immutability: Once a price is observed and recorded, it cannot be altered retroactively. This prevents market manipulation and enables regulatory audit.</w:t>
      </w:r>
    </w:p>
    <w:p>
      <w:pPr>
        <w:pStyle w:val="ListParagraph"/>
        <w:numPr>
          <w:ilvl w:val="0"/>
          <w:numId w:val="2"/>
        </w:numPr>
        <w:spacing w:after="40" w:before="40"/>
      </w:pPr>
      <w:r>
        <w:rPr>
          <w:rFonts w:ascii="Arial" w:cs="Arial" w:eastAsia="Arial" w:hAnsi="Arial"/>
          <w:sz w:val="21"/>
          <w:szCs w:val="21"/>
        </w:rPr>
        <w:t xml:space="preserve">Realism: The synthetic dataset must generate weather fields, arrival volumes, and prices that exhibit the statistical properties of real Indian agricultural markets—including spatial covariance, seasonal patterns, and occasional extreme weather shocks.</w:t>
      </w:r>
    </w:p>
    <w:p>
      <w:pPr>
        <w:spacing w:after="0" w:before="80"/>
      </w:pPr>
      <w:r>
        <w:t xml:space="preserve"/>
      </w:r>
    </w:p>
    <w:p>
      <w:pPr>
        <w:spacing w:after="80" w:before="80"/>
        <w:jc w:val="both"/>
      </w:pPr>
      <w:r>
        <w:rPr>
          <w:rFonts w:ascii="Arial" w:cs="Arial" w:eastAsia="Arial" w:hAnsi="Arial"/>
          <w:sz w:val="22"/>
          <w:szCs w:val="22"/>
        </w:rPr>
        <w:t xml:space="preserve">The central hypothesis is that integrating a spatiotemporal deep learning model with a blockchain-based price registry will produce a system that is simultaneously more accurate and more trustworthy than current practice.</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1.3 Research Contributions</w:t>
      </w:r>
    </w:p>
    <w:p>
      <w:pPr>
        <w:spacing w:after="80" w:before="80"/>
        <w:jc w:val="both"/>
      </w:pPr>
      <w:r>
        <w:rPr>
          <w:rFonts w:ascii="Arial" w:cs="Arial" w:eastAsia="Arial" w:hAnsi="Arial"/>
          <w:sz w:val="22"/>
          <w:szCs w:val="22"/>
        </w:rPr>
        <w:t xml:space="preserve">This work makes the following principal contributions:</w:t>
      </w:r>
    </w:p>
    <w:p>
      <w:pPr>
        <w:pStyle w:val="ListParagraph"/>
        <w:numPr>
          <w:ilvl w:val="0"/>
          <w:numId w:val="2"/>
        </w:numPr>
        <w:spacing w:after="40" w:before="40"/>
      </w:pPr>
      <w:r>
        <w:rPr>
          <w:rFonts w:ascii="Arial" w:cs="Arial" w:eastAsia="Arial" w:hAnsi="Arial"/>
          <w:sz w:val="21"/>
          <w:szCs w:val="21"/>
        </w:rPr>
        <w:t xml:space="preserve">A five-layer end-to-end architecture (AgriChain) that integrates synthetic data generation, graph-based spatial modelling, deep learning price forecasting, blockchain price recording, and interactive visual analytics.</w:t>
      </w:r>
    </w:p>
    <w:p>
      <w:pPr>
        <w:pStyle w:val="ListParagraph"/>
        <w:numPr>
          <w:ilvl w:val="0"/>
          <w:numId w:val="2"/>
        </w:numPr>
        <w:spacing w:after="40" w:before="40"/>
      </w:pPr>
      <w:r>
        <w:rPr>
          <w:rFonts w:ascii="Arial" w:cs="Arial" w:eastAsia="Arial" w:hAnsi="Arial"/>
          <w:sz w:val="21"/>
          <w:szCs w:val="21"/>
        </w:rPr>
        <w:t xml:space="preserve">A Gaussian Random Field weather generator with Matern-3/2 covariance kernel, AR(1) temporal persistence, India-specific Fourier seasonal means, log-normal rainfall transform, and stochastic extreme weather shocks.</w:t>
      </w:r>
    </w:p>
    <w:p>
      <w:pPr>
        <w:pStyle w:val="ListParagraph"/>
        <w:numPr>
          <w:ilvl w:val="0"/>
          <w:numId w:val="2"/>
        </w:numPr>
        <w:spacing w:after="40" w:before="40"/>
      </w:pPr>
      <w:r>
        <w:rPr>
          <w:rFonts w:ascii="Arial" w:cs="Arial" w:eastAsia="Arial" w:hAnsi="Arial"/>
          <w:sz w:val="21"/>
          <w:szCs w:val="21"/>
        </w:rPr>
        <w:t xml:space="preserve">A Convolutional GNN (CGNN) baseline implementation trained on 36,315 observations from 31 simulated mandi nodes, establishing a quantified performance baseline against which the target ST-GCN architecture can be measured.</w:t>
      </w:r>
    </w:p>
    <w:p>
      <w:pPr>
        <w:pStyle w:val="ListParagraph"/>
        <w:numPr>
          <w:ilvl w:val="0"/>
          <w:numId w:val="2"/>
        </w:numPr>
        <w:spacing w:after="40" w:before="40"/>
      </w:pPr>
      <w:r>
        <w:rPr>
          <w:rFonts w:ascii="Arial" w:cs="Arial" w:eastAsia="Arial" w:hAnsi="Arial"/>
          <w:sz w:val="21"/>
          <w:szCs w:val="21"/>
        </w:rPr>
        <w:t xml:space="preserve">A Proof-of-Stake MandiBlockchain with SHA-256 hash chaining, PBFT consensus, volume-weighted price oracle, and a smart contract for Minimum Support Price (MSP) violation detection.</w:t>
      </w:r>
    </w:p>
    <w:p>
      <w:pPr>
        <w:pStyle w:val="ListParagraph"/>
        <w:numPr>
          <w:ilvl w:val="0"/>
          <w:numId w:val="2"/>
        </w:numPr>
        <w:spacing w:after="40" w:before="40"/>
      </w:pPr>
      <w:r>
        <w:rPr>
          <w:rFonts w:ascii="Arial" w:cs="Arial" w:eastAsia="Arial" w:hAnsi="Arial"/>
          <w:sz w:val="21"/>
          <w:szCs w:val="21"/>
        </w:rPr>
        <w:t xml:space="preserve">A methodological bridge to remote-sensing literature (Cai et al., 2026), showing that the ML + process-model fusion paradigm that produces state-of-the-art soil moisture estimates maps directly onto the mandi price prediction problem.</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2. Theoretical Background and Literature Review</w:t>
      </w:r>
    </w:p>
    <w:p>
      <w:pPr>
        <w:pStyle w:val="Heading2"/>
        <w:spacing w:after="120" w:before="280"/>
      </w:pPr>
      <w:r>
        <w:rPr>
          <w:rFonts w:ascii="Arial" w:cs="Arial" w:eastAsia="Arial" w:hAnsi="Arial"/>
          <w:b/>
          <w:bCs/>
          <w:color w:val="2E6DA4"/>
          <w:sz w:val="26"/>
          <w:szCs w:val="26"/>
        </w:rPr>
        <w:t xml:space="preserve">2.1 Agricultural Price Forecasting</w:t>
      </w:r>
    </w:p>
    <w:p>
      <w:pPr>
        <w:spacing w:after="80" w:before="80"/>
        <w:jc w:val="both"/>
      </w:pPr>
      <w:r>
        <w:rPr>
          <w:rFonts w:ascii="Arial" w:cs="Arial" w:eastAsia="Arial" w:hAnsi="Arial"/>
          <w:sz w:val="22"/>
          <w:szCs w:val="22"/>
        </w:rPr>
        <w:t xml:space="preserve">Early approaches to agricultural commodity price forecasting relied on ARIMA and SARIMA models, which capture temporal autocorrelation but ignore spatial dependencies and require stationarity (Madaan et al., 2019, as reviewed in Bhardwaj et al., 2023). Ma et al. (2019) advanced the state of practice by introducing collaborative filtering for missing data imputation and adaptive nearest-neighbour methods for interpretable classification-based forecasts across 1,352 Indian markets. Crucially, however, neither of these approaches explicitly models the geospatial dependence structure of markets.</w:t>
      </w:r>
    </w:p>
    <w:p>
      <w:pPr>
        <w:spacing w:after="80" w:before="80"/>
        <w:jc w:val="both"/>
      </w:pPr>
      <w:r>
        <w:rPr>
          <w:rFonts w:ascii="Arial" w:cs="Arial" w:eastAsia="Arial" w:hAnsi="Arial"/>
          <w:sz w:val="22"/>
          <w:szCs w:val="22"/>
        </w:rPr>
        <w:t xml:space="preserve">The pivotal methodological advance in this domain was the PECAD model (Guo, Woodruff &amp; Yadav, 2020), which used a wide-and-deep Convolutional Neural Network architecture operating on n-day non-overlapping price snippets. PECAD encoded latitude and longitude as input features, achieving 25% lower Coefficient of Variation than prior baselines. Bhardwaj et al. (2023) identified PECAD's fundamental limitation: encoding geographic coordinates as scalar inputs does not capture the </w:t>
      </w:r>
      <w:r>
        <w:rPr>
          <w:rFonts w:ascii="Arial" w:cs="Arial" w:eastAsia="Arial" w:hAnsi="Arial"/>
          <w:i/>
          <w:iCs/>
          <w:sz w:val="22"/>
          <w:szCs w:val="22"/>
        </w:rPr>
        <w:t xml:space="preserve">relational structure</w:t>
      </w:r>
      <w:r>
        <w:rPr>
          <w:rFonts w:ascii="Arial" w:cs="Arial" w:eastAsia="Arial" w:hAnsi="Arial"/>
          <w:sz w:val="22"/>
          <w:szCs w:val="22"/>
        </w:rPr>
        <w:t xml:space="preserve"> between markets. Their CGNN model represented markets as graph nodes and inter-market proximity (within 200 km) as edges, then applied GraphSAGE layers to aggregate neighbourhood information. The CGNN achieved at least 20% better performance than PECAD on coefficient-of-variation across all prediction horizons, and 27% less CoV for potato price prediction.</w:t>
      </w:r>
    </w:p>
    <w:p>
      <w:pPr>
        <w:spacing w:after="80" w:before="80"/>
        <w:jc w:val="both"/>
      </w:pPr>
      <w:r>
        <w:rPr>
          <w:rFonts w:ascii="Arial" w:cs="Arial" w:eastAsia="Arial" w:hAnsi="Arial"/>
          <w:sz w:val="22"/>
          <w:szCs w:val="22"/>
        </w:rPr>
        <w:t xml:space="preserve">AgriChain's current CGNN implementation directly replicates the Bhardwaj et al. (2023) architecture as a validated baseline, and the planned ST-GCN target architecture extends it by adding dilated temporal convolutions, spatial and temporal attention, and a physics-informed data generator.</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2.2 Graph Neural Networks for Spatiotemporal Prediction</w:t>
      </w:r>
    </w:p>
    <w:p>
      <w:pPr>
        <w:spacing w:after="80" w:before="80"/>
        <w:jc w:val="both"/>
      </w:pPr>
      <w:r>
        <w:rPr>
          <w:rFonts w:ascii="Arial" w:cs="Arial" w:eastAsia="Arial" w:hAnsi="Arial"/>
          <w:sz w:val="22"/>
          <w:szCs w:val="22"/>
        </w:rPr>
        <w:t xml:space="preserve">Graph Neural Networks (GNNs) have emerged as the natural framework for modelling data residing on irregular spatial structures (Zhou et al., 2020). In agricultural contexts, markets, fields, and sensor stations are not arranged on a regular grid; their topology is best described by a sparse graph encoding geographic or infrastructural proximity. Fan et al. (2022) demonstrated that combining GNNs with recurrent neural networks for US county-level crop yield prediction outperformed state-of-the-art machine learning by 10%, with the graph structure capturing county-to-county neighbourhood relationships.</w:t>
      </w:r>
    </w:p>
    <w:p>
      <w:pPr>
        <w:spacing w:after="80" w:before="80"/>
        <w:jc w:val="both"/>
      </w:pPr>
      <w:r>
        <w:rPr>
          <w:rFonts w:ascii="Arial" w:cs="Arial" w:eastAsia="Arial" w:hAnsi="Arial"/>
          <w:sz w:val="22"/>
          <w:szCs w:val="22"/>
        </w:rPr>
        <w:t xml:space="preserve">ST-GCN, originally developed for human action recognition on skeletal graphs (Yan et al., 2018), has been adapted for traffic flow forecasting (Yu et al., 2018) and, more recently, agricultural sensor networks. Its key innovation is processing the four-dimensional input tensor </w:t>
      </w:r>
      <w:r>
        <w:rPr>
          <w:rFonts w:ascii="Arial" w:cs="Arial" w:eastAsia="Arial" w:hAnsi="Arial"/>
          <w:i/>
          <w:iCs/>
          <w:sz w:val="22"/>
          <w:szCs w:val="22"/>
        </w:rPr>
        <w:t xml:space="preserve">X ∈ R^(B × T × N × F)</w:t>
      </w:r>
      <w:r>
        <w:rPr>
          <w:rFonts w:ascii="Arial" w:cs="Arial" w:eastAsia="Arial" w:hAnsi="Arial"/>
          <w:sz w:val="22"/>
          <w:szCs w:val="22"/>
        </w:rPr>
        <w:t xml:space="preserve">—batch, time, nodes, features—in a single forward pass by interleaving spectral graph convolutions (spatial) with dilated temporal convolutions (temporal). This architecture directly addresses the main weakness of PECAD-style CNNs (inability to handle irregular topology) and LSTM-style models (no spatial structure).</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2.3 The ML + Process-Model Fusion Paradigm (Cai et al., 2026)</w:t>
      </w:r>
    </w:p>
    <w:p>
      <w:pPr>
        <w:spacing w:after="80" w:before="80"/>
        <w:jc w:val="both"/>
      </w:pPr>
      <w:r>
        <w:rPr>
          <w:rFonts w:ascii="Arial" w:cs="Arial" w:eastAsia="Arial" w:hAnsi="Arial"/>
          <w:sz w:val="22"/>
          <w:szCs w:val="22"/>
        </w:rPr>
        <w:t xml:space="preserve">The most directly relevant methodological precedent for AgriChain's architecture comes from a 2026 paper in </w:t>
      </w:r>
      <w:r>
        <w:rPr>
          <w:rFonts w:ascii="Arial" w:cs="Arial" w:eastAsia="Arial" w:hAnsi="Arial"/>
          <w:i/>
          <w:iCs/>
          <w:sz w:val="22"/>
          <w:szCs w:val="22"/>
        </w:rPr>
        <w:t xml:space="preserve">Remote Sensing of Environment</w:t>
      </w:r>
      <w:r>
        <w:rPr>
          <w:rFonts w:ascii="Arial" w:cs="Arial" w:eastAsia="Arial" w:hAnsi="Arial"/>
          <w:sz w:val="22"/>
          <w:szCs w:val="22"/>
        </w:rPr>
        <w:t xml:space="preserve"> by Cai et al., which presents a high-resolution (100 m, hourly) soil moisture estimation framework for US cropland that fuses six ML models with the LGAR process-based model via the Ensemble Kalman Filter.</w:t>
      </w:r>
    </w:p>
    <w:p>
      <w:pPr>
        <w:spacing w:after="80" w:before="80"/>
        <w:jc w:val="both"/>
      </w:pPr>
      <w:r>
        <w:rPr>
          <w:rFonts w:ascii="Arial" w:cs="Arial" w:eastAsia="Arial" w:hAnsi="Arial"/>
          <w:sz w:val="22"/>
          <w:szCs w:val="22"/>
        </w:rPr>
        <w:t xml:space="preserve">The structural parallels to AgriChain are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Dimension</w:t>
            </w:r>
          </w:p>
        </w:tc>
        <w:tc>
          <w:tcPr>
            <w:tcW w:type="dxa" w:w="328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Cai et al. (2026) — Soil Moisture</w:t>
            </w:r>
          </w:p>
        </w:tc>
        <w:tc>
          <w:tcPr>
            <w:tcW w:type="dxa" w:w="328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AgriChain — Mandi Prices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Data-Driven Component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Six ML models (SVR, RF, LGB) trained on Sentinel-1/2 and Landsat remote sensing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CGNN / ST-GCN trained on historical mandi price, volume, weather, and supply data</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Process-Based Component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LGAR model: physics of infiltration and water redistribution through layered soils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Gaussian Random Field generator: spatial covariance of weather; ARIMA price dynamics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Assimilation / Integrity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Ensemble Kalman Filter (EnKF) updates LGAR state at every ML observation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Blockchain: immutable record of all price transactions; consensus-based price oracle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Key Finding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EnKF fusion consistently outperforms standalone ML or LGAR in KGE across both climate regimes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Hypothesis: Blockchain-verified spatial GNN will outperform non-spatial or unverified baselines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Spatial Resolution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m, hourly (surpasses SMAP L4 at 9 km / 3 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Mandi-level (~5-50 km inter-mandi), daily predictions up to 30 days ahead</w:t>
            </w:r>
          </w:p>
        </w:tc>
      </w:tr>
    </w:tbl>
    <w:p>
      <w:pPr>
        <w:spacing w:after="120" w:before="60"/>
        <w:jc w:val="center"/>
      </w:pPr>
      <w:r>
        <w:rPr>
          <w:rFonts w:ascii="Arial" w:cs="Arial" w:eastAsia="Arial" w:hAnsi="Arial"/>
          <w:i/>
          <w:iCs/>
          <w:color w:val="555555"/>
          <w:sz w:val="18"/>
          <w:szCs w:val="18"/>
        </w:rPr>
        <w:t xml:space="preserve">Table 1. Structural correspondence between the soil moisture estimation framework of Cai et al. (2026) and the AgriChain mandi price prediction system.</w:t>
      </w:r>
    </w:p>
    <w:p>
      <w:pPr>
        <w:spacing w:after="0" w:before="80"/>
      </w:pPr>
      <w:r>
        <w:t xml:space="preserve"/>
      </w:r>
    </w:p>
    <w:p>
      <w:pPr>
        <w:spacing w:after="80" w:before="80"/>
        <w:jc w:val="both"/>
      </w:pPr>
      <w:r>
        <w:rPr>
          <w:rFonts w:ascii="Arial" w:cs="Arial" w:eastAsia="Arial" w:hAnsi="Arial"/>
          <w:sz w:val="22"/>
          <w:szCs w:val="22"/>
        </w:rPr>
        <w:t xml:space="preserve">Cai et al. (2026) specifically highlight the limitations of purely ML-based or purely physics-based approaches. The ML models tend to underestimate high soil moisture and overestimate low soil moisture (analogous to mandi price models that fail during extreme weather shocks). The LGAR model performs poorly in non-humid regions where its parameterisation is uncertain (analogous to price models that fail in markets with sparse historical data). The fusion approach—assimilating ML estimates into the process model at observation timesteps—propagates improvements forward in time and maintains spatiotemporal continuity. This is the methodological template that informs AgriChain's blockchain integration: rather than treating the blockchain as an optional auditing add-on, it is the </w:t>
      </w:r>
      <w:r>
        <w:rPr>
          <w:rFonts w:ascii="Arial" w:cs="Arial" w:eastAsia="Arial" w:hAnsi="Arial"/>
          <w:i/>
          <w:iCs/>
          <w:sz w:val="22"/>
          <w:szCs w:val="22"/>
        </w:rPr>
        <w:t xml:space="preserve">assimilation layer</w:t>
      </w:r>
      <w:r>
        <w:rPr>
          <w:rFonts w:ascii="Arial" w:cs="Arial" w:eastAsia="Arial" w:hAnsi="Arial"/>
          <w:sz w:val="22"/>
          <w:szCs w:val="22"/>
        </w:rPr>
        <w:t xml:space="preserve"> that brings ML predictions and observed prices together into a single, coherent, tamper-resistant state representation.</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2.4 Blockchain in Agricultural Supply Chains</w:t>
      </w:r>
    </w:p>
    <w:p>
      <w:pPr>
        <w:spacing w:after="80" w:before="80"/>
        <w:jc w:val="both"/>
      </w:pPr>
      <w:r>
        <w:rPr>
          <w:rFonts w:ascii="Arial" w:cs="Arial" w:eastAsia="Arial" w:hAnsi="Arial"/>
          <w:sz w:val="22"/>
          <w:szCs w:val="22"/>
        </w:rPr>
        <w:t xml:space="preserve">The application of blockchain technology to agricultural supply chains has been studied primarily in the context of provenance tracking and supply-chain transparency (Aijaz et al., 2025). For price recording specifically, the key properties required are: finality (once a price is recorded, it cannot be altered), consensus (multiple market participants agree on the recorded price), and transparency (all participants can independently verify the chain). These properties map naturally onto the Practical Byzantine Fault Tolerance (PBFT) consensus protocol, which tolerates up to ⌊(n-1)/3⌋ faulty nodes and produces deterministic finality, making it preferable to probabilistic Proof-of-Work for latency-sensitive price recording.</w:t>
      </w:r>
    </w:p>
    <w:p>
      <w:pPr>
        <w:spacing w:after="80" w:before="80"/>
        <w:jc w:val="both"/>
      </w:pPr>
      <w:r>
        <w:rPr>
          <w:rFonts w:ascii="Arial" w:cs="Arial" w:eastAsia="Arial" w:hAnsi="Arial"/>
          <w:sz w:val="22"/>
          <w:szCs w:val="22"/>
        </w:rPr>
        <w:t xml:space="preserve">AgriChain implements a Proof-of-Stake variant where validator selection probability is proportional to mandi trading volume, biasing consensus authority toward market participants with the most at stake in price accuracy.</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3. Methodology</w:t>
      </w:r>
    </w:p>
    <w:p>
      <w:pPr>
        <w:pStyle w:val="Heading2"/>
        <w:spacing w:after="120" w:before="280"/>
      </w:pPr>
      <w:r>
        <w:rPr>
          <w:rFonts w:ascii="Arial" w:cs="Arial" w:eastAsia="Arial" w:hAnsi="Arial"/>
          <w:b/>
          <w:bCs/>
          <w:color w:val="2E6DA4"/>
          <w:sz w:val="26"/>
          <w:szCs w:val="26"/>
        </w:rPr>
        <w:t xml:space="preserve">3.1 Overall System Architecture</w:t>
      </w:r>
    </w:p>
    <w:p>
      <w:pPr>
        <w:spacing w:after="80" w:before="80"/>
        <w:jc w:val="both"/>
      </w:pPr>
      <w:r>
        <w:rPr>
          <w:rFonts w:ascii="Arial" w:cs="Arial" w:eastAsia="Arial" w:hAnsi="Arial"/>
          <w:sz w:val="22"/>
          <w:szCs w:val="22"/>
        </w:rPr>
        <w:t xml:space="preserve">The AgriChain system is structured as a five-layer stack, with each layer having a distinct responsibility and a well-defined interface to adjacent layers. This modularity is deliberate: it allows each component to be developed, validated, and replaced independently—a property that proved critical for the LGAR model in Cai et al. (2026), where the process model could be substituted without retraining the ML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c>
          <w:tcPr>
            <w:tcW w:type="dxa" w:w="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Layer</w:t>
            </w:r>
          </w:p>
        </w:tc>
        <w:tc>
          <w:tcPr>
            <w:tcW w:type="dxa" w:w="1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Name</w:t>
            </w:r>
          </w:p>
        </w:tc>
        <w:tc>
          <w:tcPr>
            <w:tcW w:type="dxa" w:w="24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Technology</w:t>
            </w:r>
          </w:p>
        </w:tc>
        <w:tc>
          <w:tcPr>
            <w:tcW w:type="dxa" w:w="436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Role</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1</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Synthetic Dataset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Gaussian Random Fields, ARIMA, NumPy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Generates spatially-correlated weather, mandi topology, crop calendars, arrival volumes, and prices from parametric statistical models</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2</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Spatial Graph Construction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k-NN, scikit-learn, PyTorch Geometric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Converts mandi coordinates into weighted graphs. Nodes = mandis; Edges = road proximity. Output: normalised adjacency A-hat and edge-weight matrix</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3</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ST-GCN Prediction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PyTorch, PyTorch Geometric, CGNN (current), ST-GCN (target)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Sliding-window tensors over the graph predict price at each mandi for the next H timesteps. Current: CGNN baseline. Target: three ST-Blocks + attention layers</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4</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Blockchain Simulation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SHA-256, PBFT, PoS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Receives predictions and observed prices as transactions. Commits to hash chain via consensus. Smart contract flags MSP violations</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5</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Dashboard &amp; Evaluation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Matplotlib, Dash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Spatial price choropleth, MAPE/RMSE metrics panels, blockchain audit view, weather overlay animation, 3-D weather field visualisation</w:t>
            </w:r>
          </w:p>
        </w:tc>
      </w:tr>
    </w:tbl>
    <w:p>
      <w:pPr>
        <w:spacing w:after="120" w:before="60"/>
        <w:jc w:val="center"/>
      </w:pPr>
      <w:r>
        <w:rPr>
          <w:rFonts w:ascii="Arial" w:cs="Arial" w:eastAsia="Arial" w:hAnsi="Arial"/>
          <w:i/>
          <w:iCs/>
          <w:color w:val="555555"/>
          <w:sz w:val="18"/>
          <w:szCs w:val="18"/>
        </w:rPr>
        <w:t xml:space="preserve">Table 2. AgriChain five-layer architecture summary.</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3.2 Layer 1: Synthetic Dataset Generator</w:t>
      </w:r>
    </w:p>
    <w:p>
      <w:pPr>
        <w:pStyle w:val="Heading3"/>
        <w:spacing w:after="80" w:before="200"/>
      </w:pPr>
      <w:r>
        <w:rPr>
          <w:rFonts w:ascii="Arial" w:cs="Arial" w:eastAsia="Arial" w:hAnsi="Arial"/>
          <w:b/>
          <w:bCs/>
          <w:color w:val="1A3A5C"/>
          <w:sz w:val="22"/>
          <w:szCs w:val="22"/>
        </w:rPr>
        <w:t xml:space="preserve">3.2.1 Mandi Node Topology</w:t>
      </w:r>
    </w:p>
    <w:p>
      <w:pPr>
        <w:spacing w:after="80" w:before="80"/>
        <w:jc w:val="both"/>
      </w:pPr>
      <w:r>
        <w:rPr>
          <w:rFonts w:ascii="Arial" w:cs="Arial" w:eastAsia="Arial" w:hAnsi="Arial"/>
          <w:sz w:val="22"/>
          <w:szCs w:val="22"/>
        </w:rPr>
        <w:t xml:space="preserve">The dataset generator creates a synthetic region represented as a 3-D spatial volume (100 × 100 × 100 arbitrary units approximating a geographic bounding box). Mandi nodes are sampled uniformly within this volume. The current experimental configuration employs 31 nodes observed across 100 timesteps, yielding a dataset of 36,315 rows (with minor variation due to node activation scheduling). Spatial coordinates are stored as (x, y, z) triples, with z encoding elevation—a factor that influences both weather patterns and road connectivity.</w:t>
      </w:r>
    </w:p>
    <w:p>
      <w:pPr>
        <w:spacing w:after="80" w:before="80"/>
        <w:jc w:val="both"/>
      </w:pPr>
      <w:r>
        <w:rPr>
          <w:rFonts w:ascii="Arial" w:cs="Arial" w:eastAsia="Arial" w:hAnsi="Arial"/>
          <w:sz w:val="22"/>
          <w:szCs w:val="22"/>
        </w:rPr>
        <w:t xml:space="preserve">Each node is characterised by a feature vector including: actual price (₹/quintal), weather effect, supply level, demand level, storage, neighbour mean price, node degree, price volatility, price trend, blockchain-recorded price, price consensus flag, and on-chain status. The dataset reports zero missing values on structural fields and less than 0.003% missing values on derived fields—a completeness level that reflects the synthetic generation process rather than real-world data collection.</w:t>
      </w:r>
    </w:p>
    <w:p>
      <w:pPr>
        <w:spacing w:after="0" w:before="80"/>
      </w:pPr>
      <w:r>
        <w:t xml:space="preserve"/>
      </w:r>
    </w:p>
    <w:p>
      <w:pPr>
        <w:pStyle w:val="Heading3"/>
        <w:spacing w:after="80" w:before="200"/>
      </w:pPr>
      <w:r>
        <w:rPr>
          <w:rFonts w:ascii="Arial" w:cs="Arial" w:eastAsia="Arial" w:hAnsi="Arial"/>
          <w:b/>
          <w:bCs/>
          <w:color w:val="1A3A5C"/>
          <w:sz w:val="22"/>
          <w:szCs w:val="22"/>
        </w:rPr>
        <w:t xml:space="preserve">3.2.2 Weather Generator — Gaussian Random Fields</w:t>
      </w:r>
    </w:p>
    <w:p>
      <w:pPr>
        <w:spacing w:after="80" w:before="80"/>
        <w:jc w:val="both"/>
      </w:pPr>
      <w:r>
        <w:rPr>
          <w:rFonts w:ascii="Arial" w:cs="Arial" w:eastAsia="Arial" w:hAnsi="Arial"/>
          <w:sz w:val="22"/>
          <w:szCs w:val="22"/>
        </w:rPr>
        <w:t xml:space="preserve">The weather generator is the most technically sophisticated component of Layer 1 and the one most directly analogous to the multi-source remote sensing pipeline of Cai et al. (2026). A Gaussian Random Field (GRF) is a stochastic process </w:t>
      </w:r>
      <w:r>
        <w:rPr>
          <w:rFonts w:ascii="Arial" w:cs="Arial" w:eastAsia="Arial" w:hAnsi="Arial"/>
          <w:i/>
          <w:iCs/>
          <w:sz w:val="22"/>
          <w:szCs w:val="22"/>
        </w:rPr>
        <w:t xml:space="preserve">W(s)</w:t>
      </w:r>
      <w:r>
        <w:rPr>
          <w:rFonts w:ascii="Arial" w:cs="Arial" w:eastAsia="Arial" w:hAnsi="Arial"/>
          <w:sz w:val="22"/>
          <w:szCs w:val="22"/>
        </w:rPr>
        <w:t xml:space="preserve"> indexed by spatial location </w:t>
      </w:r>
      <w:r>
        <w:rPr>
          <w:rFonts w:ascii="Arial" w:cs="Arial" w:eastAsia="Arial" w:hAnsi="Arial"/>
          <w:i/>
          <w:iCs/>
          <w:sz w:val="22"/>
          <w:szCs w:val="22"/>
        </w:rPr>
        <w:t xml:space="preserve">s</w:t>
      </w:r>
      <w:r>
        <w:rPr>
          <w:rFonts w:ascii="Arial" w:cs="Arial" w:eastAsia="Arial" w:hAnsi="Arial"/>
          <w:sz w:val="22"/>
          <w:szCs w:val="22"/>
        </w:rPr>
        <w:t xml:space="preserve"> such that any finite collection of values {W(s₁), ..., W(s_n)} follows a multivariate normal distribution. The GRF is parameterised by a covariance function that specifies how correlation decays with distance.</w:t>
      </w:r>
    </w:p>
    <w:p>
      <w:pPr>
        <w:spacing w:after="80" w:before="80"/>
        <w:jc w:val="both"/>
      </w:pPr>
      <w:r>
        <w:rPr>
          <w:rFonts w:ascii="Arial" w:cs="Arial" w:eastAsia="Arial" w:hAnsi="Arial"/>
          <w:sz w:val="22"/>
          <w:szCs w:val="22"/>
        </w:rPr>
        <w:t xml:space="preserve">AgriChain implements the </w:t>
      </w:r>
      <w:r>
        <w:rPr>
          <w:rFonts w:ascii="Arial" w:cs="Arial" w:eastAsia="Arial" w:hAnsi="Arial"/>
          <w:b/>
          <w:bCs/>
          <w:sz w:val="22"/>
          <w:szCs w:val="22"/>
        </w:rPr>
        <w:t xml:space="preserve">Matérn-3/2 covariance kernel</w:t>
      </w:r>
      <w:r>
        <w:rPr>
          <w:rFonts w:ascii="Arial" w:cs="Arial" w:eastAsia="Arial" w:hAnsi="Arial"/>
          <w:sz w:val="22"/>
          <w:szCs w:val="22"/>
        </w:rPr>
        <w:t xml:space="preserve">:</w:t>
      </w:r>
    </w:p>
    <w:p>
      <w:pPr>
        <w:spacing w:after="100" w:before="100"/>
        <w:jc w:val="center"/>
      </w:pPr>
      <w:r>
        <w:rPr>
          <w:rFonts w:ascii="Courier New" w:cs="Courier New" w:eastAsia="Courier New" w:hAnsi="Courier New"/>
          <w:b/>
          <w:bCs/>
          <w:sz w:val="22"/>
          <w:szCs w:val="22"/>
        </w:rPr>
        <w:t xml:space="preserve">k(r) = σ² (1 + √3 · r/ℓ) · exp(-√3 · r/ℓ)</w:t>
      </w:r>
    </w:p>
    <w:p>
      <w:pPr>
        <w:spacing w:after="80" w:before="80"/>
        <w:jc w:val="both"/>
      </w:pPr>
      <w:r>
        <w:rPr>
          <w:rFonts w:ascii="Arial" w:cs="Arial" w:eastAsia="Arial" w:hAnsi="Arial"/>
          <w:sz w:val="22"/>
          <w:szCs w:val="22"/>
        </w:rPr>
        <w:t xml:space="preserve">where </w:t>
      </w:r>
      <w:r>
        <w:rPr>
          <w:rFonts w:ascii="Arial" w:cs="Arial" w:eastAsia="Arial" w:hAnsi="Arial"/>
          <w:i/>
          <w:iCs/>
          <w:sz w:val="22"/>
          <w:szCs w:val="22"/>
        </w:rPr>
        <w:t xml:space="preserve">r</w:t>
      </w:r>
      <w:r>
        <w:rPr>
          <w:rFonts w:ascii="Arial" w:cs="Arial" w:eastAsia="Arial" w:hAnsi="Arial"/>
          <w:sz w:val="22"/>
          <w:szCs w:val="22"/>
        </w:rPr>
        <w:t xml:space="preserve"> is Euclidean distance, </w:t>
      </w:r>
      <w:r>
        <w:rPr>
          <w:rFonts w:ascii="Arial" w:cs="Arial" w:eastAsia="Arial" w:hAnsi="Arial"/>
          <w:i/>
          <w:iCs/>
          <w:sz w:val="22"/>
          <w:szCs w:val="22"/>
        </w:rPr>
        <w:t xml:space="preserve">σ²</w:t>
      </w:r>
      <w:r>
        <w:rPr>
          <w:rFonts w:ascii="Arial" w:cs="Arial" w:eastAsia="Arial" w:hAnsi="Arial"/>
          <w:sz w:val="22"/>
          <w:szCs w:val="22"/>
        </w:rPr>
        <w:t xml:space="preserve"> is variance, and </w:t>
      </w:r>
      <w:r>
        <w:rPr>
          <w:rFonts w:ascii="Arial" w:cs="Arial" w:eastAsia="Arial" w:hAnsi="Arial"/>
          <w:i/>
          <w:iCs/>
          <w:sz w:val="22"/>
          <w:szCs w:val="22"/>
        </w:rPr>
        <w:t xml:space="preserve">ℓ</w:t>
      </w:r>
      <w:r>
        <w:rPr>
          <w:rFonts w:ascii="Arial" w:cs="Arial" w:eastAsia="Arial" w:hAnsi="Arial"/>
          <w:sz w:val="22"/>
          <w:szCs w:val="22"/>
        </w:rPr>
        <w:t xml:space="preserve"> is the characteristic length scale controlling spatial smoothness. The Matérn-3/2 kernel is favoured over the squared exponential (RBF) kernel in physical sciences because it produces once-differentiable sample paths, matching the observed spatial regularity of meteorological fields (Cai et al., 2026 use analogous spatial regularisation in their ML feature extraction pipeline).</w:t>
      </w:r>
    </w:p>
    <w:p>
      <w:pPr>
        <w:spacing w:after="80" w:before="80"/>
        <w:jc w:val="both"/>
      </w:pPr>
      <w:r>
        <w:rPr>
          <w:rFonts w:ascii="Arial" w:cs="Arial" w:eastAsia="Arial" w:hAnsi="Arial"/>
          <w:sz w:val="22"/>
          <w:szCs w:val="22"/>
        </w:rPr>
        <w:t xml:space="preserve">The generation pipeline proceeds through: (1) Cholesky decomposition of the covariance matrix for spatially correlated sampling; (2) AR(1) temporal persistence to model day-to-day weather autocorrelation; (3) Fourier seasonal means encoding India-specific climate patterns (monsoon onset, post-monsoon, dry season); (4) log-normal rainfall transform to ensure non-negative, right-skewed precipitation distributions; (5) grid-to-mandi interpolation using inverse-distance weighting; and (6) stochastic extreme weather shocks affecting 3.4% of observations.</w:t>
      </w:r>
    </w:p>
    <w:p>
      <w:pPr>
        <w:spacing w:after="0" w:before="80"/>
      </w:pPr>
      <w:r>
        <w:t xml:space="preserve"/>
      </w:r>
    </w:p>
    <w:p>
      <w:pPr>
        <w:pStyle w:val="Heading3"/>
        <w:spacing w:after="80" w:before="200"/>
      </w:pPr>
      <w:r>
        <w:rPr>
          <w:rFonts w:ascii="Arial" w:cs="Arial" w:eastAsia="Arial" w:hAnsi="Arial"/>
          <w:b/>
          <w:bCs/>
          <w:color w:val="1A3A5C"/>
          <w:sz w:val="22"/>
          <w:szCs w:val="22"/>
        </w:rPr>
        <w:t xml:space="preserve">3.2.3 Price Synthesis</w:t>
      </w:r>
    </w:p>
    <w:p>
      <w:pPr>
        <w:spacing w:after="80" w:before="80"/>
        <w:jc w:val="both"/>
      </w:pPr>
      <w:r>
        <w:rPr>
          <w:rFonts w:ascii="Arial" w:cs="Arial" w:eastAsia="Arial" w:hAnsi="Arial"/>
          <w:sz w:val="22"/>
          <w:szCs w:val="22"/>
        </w:rPr>
        <w:t xml:space="preserve">Commodity prices are synthesised using a spatial ARIMA model. Each mandi's price time-series is generated as an ARIMA(p, d, q) process with parameters calibrated to reproduce the statistical properties of real Indian market data (mean: ₹95.52/quintal; standard deviation: ₹22.54; range: ₹22.38–₹156.44). Spatial noise drawn from a GRF is added to the ARIMA residuals to induce cross-mandi price correlation reflecting the arbitrage-based price convergence observed in real markets. The blockchain-recorded price field achieves a 100% consensus rate, with an average deviation from oracle price of ₹17.60, consistent with real-world bid-ask spreads in Indian wholesale markets.</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3.3 Layer 2: Spatial Graph Construction</w:t>
      </w:r>
    </w:p>
    <w:p>
      <w:pPr>
        <w:spacing w:after="80" w:before="80"/>
        <w:jc w:val="both"/>
      </w:pPr>
      <w:r>
        <w:rPr>
          <w:rFonts w:ascii="Arial" w:cs="Arial" w:eastAsia="Arial" w:hAnsi="Arial"/>
          <w:sz w:val="22"/>
          <w:szCs w:val="22"/>
        </w:rPr>
        <w:t xml:space="preserve">Market network topology is encoded as a k-nearest-neighbour graph where each mandi </w:t>
      </w:r>
      <w:r>
        <w:rPr>
          <w:rFonts w:ascii="Arial" w:cs="Arial" w:eastAsia="Arial" w:hAnsi="Arial"/>
          <w:i/>
          <w:iCs/>
          <w:sz w:val="22"/>
          <w:szCs w:val="22"/>
        </w:rPr>
        <w:t xml:space="preserve">i</w:t>
      </w:r>
      <w:r>
        <w:rPr>
          <w:rFonts w:ascii="Arial" w:cs="Arial" w:eastAsia="Arial" w:hAnsi="Arial"/>
          <w:sz w:val="22"/>
          <w:szCs w:val="22"/>
        </w:rPr>
        <w:t xml:space="preserve"> is connected to its </w:t>
      </w:r>
      <w:r>
        <w:rPr>
          <w:rFonts w:ascii="Arial" w:cs="Arial" w:eastAsia="Arial" w:hAnsi="Arial"/>
          <w:i/>
          <w:iCs/>
          <w:sz w:val="22"/>
          <w:szCs w:val="22"/>
        </w:rPr>
        <w:t xml:space="preserve">k</w:t>
      </w:r>
      <w:r>
        <w:rPr>
          <w:rFonts w:ascii="Arial" w:cs="Arial" w:eastAsia="Arial" w:hAnsi="Arial"/>
          <w:sz w:val="22"/>
          <w:szCs w:val="22"/>
        </w:rPr>
        <w:t xml:space="preserve"> closest mandis by Euclidean distance in the spatial coordinate system. The current configuration uses </w:t>
      </w:r>
      <w:r>
        <w:rPr>
          <w:rFonts w:ascii="Arial" w:cs="Arial" w:eastAsia="Arial" w:hAnsi="Arial"/>
          <w:i/>
          <w:iCs/>
          <w:sz w:val="22"/>
          <w:szCs w:val="22"/>
        </w:rPr>
        <w:t xml:space="preserve">k</w:t>
      </w:r>
      <w:r>
        <w:rPr>
          <w:rFonts w:ascii="Arial" w:cs="Arial" w:eastAsia="Arial" w:hAnsi="Arial"/>
          <w:sz w:val="22"/>
          <w:szCs w:val="22"/>
        </w:rPr>
        <w:t xml:space="preserve"> = 3, yielding a uniform-degree graph with average degree 3.0 and density consistent with road network connectivity in semi-rural India.</w:t>
      </w:r>
    </w:p>
    <w:p>
      <w:pPr>
        <w:spacing w:after="80" w:before="80"/>
        <w:jc w:val="both"/>
      </w:pPr>
      <w:r>
        <w:rPr>
          <w:rFonts w:ascii="Arial" w:cs="Arial" w:eastAsia="Arial" w:hAnsi="Arial"/>
          <w:sz w:val="22"/>
          <w:szCs w:val="22"/>
        </w:rPr>
        <w:t xml:space="preserve">Three graph construction strategies are implemented in the codebase: (1) basic k-NN with optional distance weighting; (2) hierarchical hub-spoke, where a fraction of nodes designated as major mandis receive double connectivity; and (3) transport-network simulation, where road quality modulates effective inter-mandi distance. The codebase further supports addition of long-distance trading links to simulate established trade routes between geographically distant but economically coupled markets—a feature analogous to the cross-polarisation ratio and radar vegetation indices used in Cai et al. (2026) to capture non-local agricultural signals.</w:t>
      </w:r>
    </w:p>
    <w:p>
      <w:pPr>
        <w:spacing w:after="80" w:before="80"/>
        <w:jc w:val="both"/>
      </w:pPr>
      <w:r>
        <w:rPr>
          <w:rFonts w:ascii="Arial" w:cs="Arial" w:eastAsia="Arial" w:hAnsi="Arial"/>
          <w:sz w:val="22"/>
          <w:szCs w:val="22"/>
        </w:rPr>
        <w:t xml:space="preserve">The adjacency matrix is symmetrically normalised as </w:t>
      </w:r>
      <w:r>
        <w:rPr>
          <w:rFonts w:ascii="Arial" w:cs="Arial" w:eastAsia="Arial" w:hAnsi="Arial"/>
          <w:i/>
          <w:iCs/>
          <w:sz w:val="22"/>
          <w:szCs w:val="22"/>
        </w:rPr>
        <w:t xml:space="preserve">Â = D^(-1/2) A D^(-1/2)</w:t>
      </w:r>
      <w:r>
        <w:rPr>
          <w:rFonts w:ascii="Arial" w:cs="Arial" w:eastAsia="Arial" w:hAnsi="Arial"/>
          <w:sz w:val="22"/>
          <w:szCs w:val="22"/>
        </w:rPr>
        <w:t xml:space="preserve"> where </w:t>
      </w:r>
      <w:r>
        <w:rPr>
          <w:rFonts w:ascii="Arial" w:cs="Arial" w:eastAsia="Arial" w:hAnsi="Arial"/>
          <w:i/>
          <w:iCs/>
          <w:sz w:val="22"/>
          <w:szCs w:val="22"/>
        </w:rPr>
        <w:t xml:space="preserve">A</w:t>
      </w:r>
      <w:r>
        <w:rPr>
          <w:rFonts w:ascii="Arial" w:cs="Arial" w:eastAsia="Arial" w:hAnsi="Arial"/>
          <w:sz w:val="22"/>
          <w:szCs w:val="22"/>
        </w:rPr>
        <w:t xml:space="preserve"> is the adjacency matrix (with self-loops) and </w:t>
      </w:r>
      <w:r>
        <w:rPr>
          <w:rFonts w:ascii="Arial" w:cs="Arial" w:eastAsia="Arial" w:hAnsi="Arial"/>
          <w:i/>
          <w:iCs/>
          <w:sz w:val="22"/>
          <w:szCs w:val="22"/>
        </w:rPr>
        <w:t xml:space="preserve">D</w:t>
      </w:r>
      <w:r>
        <w:rPr>
          <w:rFonts w:ascii="Arial" w:cs="Arial" w:eastAsia="Arial" w:hAnsi="Arial"/>
          <w:sz w:val="22"/>
          <w:szCs w:val="22"/>
        </w:rPr>
        <w:t xml:space="preserve"> is the degree matrix. Edge weights are assigned as Gaussian distance decay: </w:t>
      </w:r>
      <w:r>
        <w:rPr>
          <w:rFonts w:ascii="Arial" w:cs="Arial" w:eastAsia="Arial" w:hAnsi="Arial"/>
          <w:i/>
          <w:iCs/>
          <w:sz w:val="22"/>
          <w:szCs w:val="22"/>
        </w:rPr>
        <w:t xml:space="preserve">w_{ij} = exp(-d_{ij}^2 / 2θ^2)</w:t>
      </w:r>
      <w:r>
        <w:rPr>
          <w:rFonts w:ascii="Arial" w:cs="Arial" w:eastAsia="Arial" w:hAnsi="Arial"/>
          <w:sz w:val="22"/>
          <w:szCs w:val="22"/>
        </w:rPr>
        <w:t xml:space="preserve">, where </w:t>
      </w:r>
      <w:r>
        <w:rPr>
          <w:rFonts w:ascii="Arial" w:cs="Arial" w:eastAsia="Arial" w:hAnsi="Arial"/>
          <w:i/>
          <w:iCs/>
          <w:sz w:val="22"/>
          <w:szCs w:val="22"/>
        </w:rPr>
        <w:t xml:space="preserve">θ</w:t>
      </w:r>
      <w:r>
        <w:rPr>
          <w:rFonts w:ascii="Arial" w:cs="Arial" w:eastAsia="Arial" w:hAnsi="Arial"/>
          <w:sz w:val="22"/>
          <w:szCs w:val="22"/>
        </w:rPr>
        <w:t xml:space="preserve"> is a bandwidth parameter set to the median inter-mandi distance.</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3.4 Layer 3: Prediction Models</w:t>
      </w:r>
    </w:p>
    <w:p>
      <w:pPr>
        <w:pStyle w:val="Heading3"/>
        <w:spacing w:after="80" w:before="200"/>
      </w:pPr>
      <w:r>
        <w:rPr>
          <w:rFonts w:ascii="Arial" w:cs="Arial" w:eastAsia="Arial" w:hAnsi="Arial"/>
          <w:b/>
          <w:bCs/>
          <w:color w:val="1A3A5C"/>
          <w:sz w:val="22"/>
          <w:szCs w:val="22"/>
        </w:rPr>
        <w:t xml:space="preserve">3.4.1 CGNN Baseline (Current Implementation)</w:t>
      </w:r>
    </w:p>
    <w:p>
      <w:pPr>
        <w:spacing w:after="80" w:before="80"/>
        <w:jc w:val="both"/>
      </w:pPr>
      <w:r>
        <w:rPr>
          <w:rFonts w:ascii="Arial" w:cs="Arial" w:eastAsia="Arial" w:hAnsi="Arial"/>
          <w:sz w:val="22"/>
          <w:szCs w:val="22"/>
        </w:rPr>
        <w:t xml:space="preserve">The current production model is a Convolutional Graph Neural Network (CGNN) implemented in PyTorch and PyTorch Geometric, following the architecture of Bhardwaj et al. (2023). The model processes n-day price snippets for all mandis simultaneously, aggregating neighbourhood information through graph convolution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Hyperparameter</w:t>
            </w:r>
          </w:p>
        </w:tc>
        <w:tc>
          <w:tcPr>
            <w:tcW w:type="dxa" w:w="656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GNN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GCNConv (Graph Convolutional Network)</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Hidden Dimension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64</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Number of Layers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Dropout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Input Features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 features × 10 lookback timesteps = 70-dimensional node feature vector</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Prediction Horizon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timestep</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Epochs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32</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Learning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0.001 (Adam optimiser)</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Training / Val / Test Split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2014–2016 / 2017 / 2018 (following Bhardwaj et al., 2023)</w:t>
            </w:r>
          </w:p>
        </w:tc>
      </w:tr>
    </w:tbl>
    <w:p>
      <w:pPr>
        <w:spacing w:after="120" w:before="60"/>
        <w:jc w:val="center"/>
      </w:pPr>
      <w:r>
        <w:rPr>
          <w:rFonts w:ascii="Arial" w:cs="Arial" w:eastAsia="Arial" w:hAnsi="Arial"/>
          <w:i/>
          <w:iCs/>
          <w:color w:val="555555"/>
          <w:sz w:val="18"/>
          <w:szCs w:val="18"/>
        </w:rPr>
        <w:t xml:space="preserve">Table 3. CGNN baseline hyperparameter configuration.</w:t>
      </w:r>
    </w:p>
    <w:p>
      <w:pPr>
        <w:spacing w:after="0" w:before="80"/>
      </w:pPr>
      <w:r>
        <w:t xml:space="preserve"/>
      </w:r>
    </w:p>
    <w:p>
      <w:pPr>
        <w:spacing w:after="80" w:before="80"/>
        <w:jc w:val="both"/>
      </w:pPr>
      <w:r>
        <w:rPr>
          <w:rFonts w:ascii="Arial" w:cs="Arial" w:eastAsia="Arial" w:hAnsi="Arial"/>
          <w:sz w:val="22"/>
          <w:szCs w:val="22"/>
        </w:rPr>
        <w:t xml:space="preserve">The model architecture consists of: (1) a 1-D CNN processing temporal weather features to generate per-mandi compact embeddings; (2) two fully-connected layers producing a 5-dimensional node embedding; and (3) two GraphSAGE layers with ReLU activations propagating spatial information across the market graph. The forward pass processes the full market graph simultaneously, enabling all mandis' prices to influence one another within a single inference step.</w:t>
      </w:r>
    </w:p>
    <w:p>
      <w:pPr>
        <w:spacing w:after="0" w:before="80"/>
      </w:pPr>
      <w:r>
        <w:t xml:space="preserve"/>
      </w:r>
    </w:p>
    <w:p>
      <w:pPr>
        <w:pStyle w:val="Heading3"/>
        <w:spacing w:after="80" w:before="200"/>
      </w:pPr>
      <w:r>
        <w:rPr>
          <w:rFonts w:ascii="Arial" w:cs="Arial" w:eastAsia="Arial" w:hAnsi="Arial"/>
          <w:b/>
          <w:bCs/>
          <w:color w:val="1A3A5C"/>
          <w:sz w:val="22"/>
          <w:szCs w:val="22"/>
        </w:rPr>
        <w:t xml:space="preserve">3.4.2 Target Architecture: ST-GCN</w:t>
      </w:r>
    </w:p>
    <w:p>
      <w:pPr>
        <w:spacing w:after="80" w:before="80"/>
        <w:jc w:val="both"/>
      </w:pPr>
      <w:r>
        <w:rPr>
          <w:rFonts w:ascii="Arial" w:cs="Arial" w:eastAsia="Arial" w:hAnsi="Arial"/>
          <w:sz w:val="22"/>
          <w:szCs w:val="22"/>
        </w:rPr>
        <w:t xml:space="preserve">The target architecture, described in the AgriChain design specification and partially implemented, extends the CGNN baseline with spatial attention, temporal attention, and dilated temporal convolutions. The full ST-GCN processes the tensor </w:t>
      </w:r>
      <w:r>
        <w:rPr>
          <w:rFonts w:ascii="Arial" w:cs="Arial" w:eastAsia="Arial" w:hAnsi="Arial"/>
          <w:i/>
          <w:iCs/>
          <w:sz w:val="22"/>
          <w:szCs w:val="22"/>
        </w:rPr>
        <w:t xml:space="preserve">X ∈ R^(B × T × N × F)</w:t>
      </w:r>
      <w:r>
        <w:rPr>
          <w:rFonts w:ascii="Arial" w:cs="Arial" w:eastAsia="Arial" w:hAnsi="Arial"/>
          <w:sz w:val="22"/>
          <w:szCs w:val="22"/>
        </w:rPr>
        <w:t xml:space="preserve"> through three ST-Blocks, each consisting of: (1) a Spectral Graph Convolution layer using the normalised Laplacian; (2) a Spatial Attention Module that assigns learnable weights to edges based on dynamic node features; (3) a Dilated Temporal Convolution (TCN) with dilation rates 1, 2, 4 to capture daily, weekly, and monthly cycles; and (4) a Temporal Attention Module aggregating multi-scale temporal features.</w:t>
      </w:r>
    </w:p>
    <w:p>
      <w:pPr>
        <w:spacing w:after="80" w:before="80"/>
        <w:jc w:val="both"/>
      </w:pPr>
      <w:r>
        <w:rPr>
          <w:rFonts w:ascii="Arial" w:cs="Arial" w:eastAsia="Arial" w:hAnsi="Arial"/>
          <w:sz w:val="22"/>
          <w:szCs w:val="22"/>
        </w:rPr>
        <w:t xml:space="preserve">The loss function combines the Huber loss (robust to outliers in price distributions) with a graph Laplacian regulariser: </w:t>
      </w:r>
      <w:r>
        <w:rPr>
          <w:rFonts w:ascii="Arial" w:cs="Arial" w:eastAsia="Arial" w:hAnsi="Arial"/>
          <w:i/>
          <w:iCs/>
          <w:sz w:val="22"/>
          <w:szCs w:val="22"/>
        </w:rPr>
        <w:t xml:space="preserve">L = L_Huber(ŷ, y) + λ · ŷᵀ L ŷ</w:t>
      </w:r>
      <w:r>
        <w:rPr>
          <w:rFonts w:ascii="Arial" w:cs="Arial" w:eastAsia="Arial" w:hAnsi="Arial"/>
          <w:sz w:val="22"/>
          <w:szCs w:val="22"/>
        </w:rPr>
        <w:t xml:space="preserve">, where </w:t>
      </w:r>
      <w:r>
        <w:rPr>
          <w:rFonts w:ascii="Arial" w:cs="Arial" w:eastAsia="Arial" w:hAnsi="Arial"/>
          <w:i/>
          <w:iCs/>
          <w:sz w:val="22"/>
          <w:szCs w:val="22"/>
        </w:rPr>
        <w:t xml:space="preserve">L = D - A</w:t>
      </w:r>
      <w:r>
        <w:rPr>
          <w:rFonts w:ascii="Arial" w:cs="Arial" w:eastAsia="Arial" w:hAnsi="Arial"/>
          <w:sz w:val="22"/>
          <w:szCs w:val="22"/>
        </w:rPr>
        <w:t xml:space="preserve"> is the graph Laplacian and </w:t>
      </w:r>
      <w:r>
        <w:rPr>
          <w:rFonts w:ascii="Arial" w:cs="Arial" w:eastAsia="Arial" w:hAnsi="Arial"/>
          <w:i/>
          <w:iCs/>
          <w:sz w:val="22"/>
          <w:szCs w:val="22"/>
        </w:rPr>
        <w:t xml:space="preserve">λ</w:t>
      </w:r>
      <w:r>
        <w:rPr>
          <w:rFonts w:ascii="Arial" w:cs="Arial" w:eastAsia="Arial" w:hAnsi="Arial"/>
          <w:sz w:val="22"/>
          <w:szCs w:val="22"/>
        </w:rPr>
        <w:t xml:space="preserve"> is a smoothness penalty. The regulariser encourages spatially adjacent mandis to have similar predicted prices, encoding the economic prior that arbitrage reduces cross-market price differentials.</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3.5 Layer 4: Blockchain Simulation</w:t>
      </w:r>
    </w:p>
    <w:p>
      <w:pPr>
        <w:pStyle w:val="Heading3"/>
        <w:spacing w:after="80" w:before="200"/>
      </w:pPr>
      <w:r>
        <w:rPr>
          <w:rFonts w:ascii="Arial" w:cs="Arial" w:eastAsia="Arial" w:hAnsi="Arial"/>
          <w:b/>
          <w:bCs/>
          <w:color w:val="1A3A5C"/>
          <w:sz w:val="22"/>
          <w:szCs w:val="22"/>
        </w:rPr>
        <w:t xml:space="preserve">3.5.1 Transaction and Block Structure</w:t>
      </w:r>
    </w:p>
    <w:p>
      <w:pPr>
        <w:spacing w:after="80" w:before="80"/>
        <w:jc w:val="both"/>
      </w:pPr>
      <w:r>
        <w:rPr>
          <w:rFonts w:ascii="Arial" w:cs="Arial" w:eastAsia="Arial" w:hAnsi="Arial"/>
          <w:sz w:val="22"/>
          <w:szCs w:val="22"/>
        </w:rPr>
        <w:t xml:space="preserve">Each mandi price observation is encapsulated as a PriceTransaction containing: mandi ID, Unix timestamp, commodity type, price (₹/quintal), trading volume, supply level, demand level, weather condition, and a SHA-256 truncated signature for transaction authentication. Transactions are batched into Blocks (maximum 50 transactions per block) at configurable block intervals (default 10 seconds in simulation time).</w:t>
      </w:r>
    </w:p>
    <w:p>
      <w:pPr>
        <w:spacing w:after="80" w:before="80"/>
        <w:jc w:val="both"/>
      </w:pPr>
      <w:r>
        <w:rPr>
          <w:rFonts w:ascii="Arial" w:cs="Arial" w:eastAsia="Arial" w:hAnsi="Arial"/>
          <w:sz w:val="22"/>
          <w:szCs w:val="22"/>
        </w:rPr>
        <w:t xml:space="preserve">Blocks are linked through a SHA-256 hash chain where each block's header includes the hash of its predecessor, making retroactive alteration of any historical price computationally infeasible. The chain integrity function validates every block from genesis to tip, verifying both hash consistency and transaction signature authenticity.</w:t>
      </w:r>
    </w:p>
    <w:p>
      <w:pPr>
        <w:spacing w:after="0" w:before="80"/>
      </w:pPr>
      <w:r>
        <w:t xml:space="preserve"/>
      </w:r>
    </w:p>
    <w:p>
      <w:pPr>
        <w:pStyle w:val="Heading3"/>
        <w:spacing w:after="80" w:before="200"/>
      </w:pPr>
      <w:r>
        <w:rPr>
          <w:rFonts w:ascii="Arial" w:cs="Arial" w:eastAsia="Arial" w:hAnsi="Arial"/>
          <w:b/>
          <w:bCs/>
          <w:color w:val="1A3A5C"/>
          <w:sz w:val="22"/>
          <w:szCs w:val="22"/>
        </w:rPr>
        <w:t xml:space="preserve">3.5.2 Proof-of-Stake Consensus</w:t>
      </w:r>
    </w:p>
    <w:p>
      <w:pPr>
        <w:spacing w:after="80" w:before="80"/>
        <w:jc w:val="both"/>
      </w:pPr>
      <w:r>
        <w:rPr>
          <w:rFonts w:ascii="Arial" w:cs="Arial" w:eastAsia="Arial" w:hAnsi="Arial"/>
          <w:sz w:val="22"/>
          <w:szCs w:val="22"/>
        </w:rPr>
        <w:t xml:space="preserve">Validator selection uses a </w:t>
      </w:r>
      <w:r>
        <w:rPr>
          <w:rFonts w:ascii="Arial" w:cs="Arial" w:eastAsia="Arial" w:hAnsi="Arial"/>
          <w:b/>
          <w:bCs/>
          <w:sz w:val="22"/>
          <w:szCs w:val="22"/>
        </w:rPr>
        <w:t xml:space="preserve">Proof-of-Stake</w:t>
      </w:r>
      <w:r>
        <w:rPr>
          <w:rFonts w:ascii="Arial" w:cs="Arial" w:eastAsia="Arial" w:hAnsi="Arial"/>
          <w:sz w:val="22"/>
          <w:szCs w:val="22"/>
        </w:rPr>
        <w:t xml:space="preserve"> mechanism where selection probability is proportional to mandi trading volume (</w:t>
      </w:r>
      <w:r>
        <w:rPr>
          <w:rFonts w:ascii="Arial" w:cs="Arial" w:eastAsia="Arial" w:hAnsi="Arial"/>
          <w:i/>
          <w:iCs/>
          <w:sz w:val="22"/>
          <w:szCs w:val="22"/>
        </w:rPr>
        <w:t xml:space="preserve">P(mandi_i) = volume_i / Σ volume_j</w:t>
      </w:r>
      <w:r>
        <w:rPr>
          <w:rFonts w:ascii="Arial" w:cs="Arial" w:eastAsia="Arial" w:hAnsi="Arial"/>
          <w:sz w:val="22"/>
          <w:szCs w:val="22"/>
        </w:rPr>
        <w:t xml:space="preserve">). This design is motivated by the observation that high-volume mandis have the strongest economic incentive to maintain price integrity and the greatest reputational risk from validation failures. The production-target architecture specifies PBFT consensus, which provides Byzantine fault tolerance up to </w:t>
      </w:r>
      <w:r>
        <w:rPr>
          <w:rFonts w:ascii="Arial" w:cs="Arial" w:eastAsia="Arial" w:hAnsi="Arial"/>
          <w:i/>
          <w:iCs/>
          <w:sz w:val="22"/>
          <w:szCs w:val="22"/>
        </w:rPr>
        <w:t xml:space="preserve">f = ⌊(n-1)/3⌋</w:t>
      </w:r>
      <w:r>
        <w:rPr>
          <w:rFonts w:ascii="Arial" w:cs="Arial" w:eastAsia="Arial" w:hAnsi="Arial"/>
          <w:sz w:val="22"/>
          <w:szCs w:val="22"/>
        </w:rPr>
        <w:t xml:space="preserve"> faulty validators—important for adversarial market conditions where colluding traders might attempt to submit false price transactions.</w:t>
      </w:r>
    </w:p>
    <w:p>
      <w:pPr>
        <w:spacing w:after="0" w:before="80"/>
      </w:pPr>
      <w:r>
        <w:t xml:space="preserve"/>
      </w:r>
    </w:p>
    <w:p>
      <w:pPr>
        <w:pStyle w:val="Heading3"/>
        <w:spacing w:after="80" w:before="200"/>
      </w:pPr>
      <w:r>
        <w:rPr>
          <w:rFonts w:ascii="Arial" w:cs="Arial" w:eastAsia="Arial" w:hAnsi="Arial"/>
          <w:b/>
          <w:bCs/>
          <w:color w:val="1A3A5C"/>
          <w:sz w:val="22"/>
          <w:szCs w:val="22"/>
        </w:rPr>
        <w:t xml:space="preserve">3.5.3 Price Oracle and Smart Contracts</w:t>
      </w:r>
    </w:p>
    <w:p>
      <w:pPr>
        <w:spacing w:after="80" w:before="80"/>
        <w:jc w:val="both"/>
      </w:pPr>
      <w:r>
        <w:rPr>
          <w:rFonts w:ascii="Arial" w:cs="Arial" w:eastAsia="Arial" w:hAnsi="Arial"/>
          <w:sz w:val="22"/>
          <w:szCs w:val="22"/>
        </w:rPr>
        <w:t xml:space="preserve">The price oracle function computes a volume-weighted average price from transactions in the most recent lookback_blocks blocks, requiring a minimum of three independent mandi reports for a valid oracle reading. This volume weighting mirrors the methodology of Bhardwaj et al. (2023), who showed that high-volume mandis provide more reliable price signals. The oracle is the system's primary output for downstream consumers (farmers, government agencies, insurers).</w:t>
      </w:r>
    </w:p>
    <w:p>
      <w:pPr>
        <w:spacing w:after="80" w:before="80"/>
        <w:jc w:val="both"/>
      </w:pPr>
      <w:r>
        <w:rPr>
          <w:rFonts w:ascii="Arial" w:cs="Arial" w:eastAsia="Arial" w:hAnsi="Arial"/>
          <w:sz w:val="22"/>
          <w:szCs w:val="22"/>
        </w:rPr>
        <w:t xml:space="preserve">A PriceSmartContract class implements conditional logic triggered by oracle price thresholds—specifically, an MSP (Minimum Support Price) violation detector that auto-flags when the oracle price falls below the government-mandated floor, triggering an alert for regulatory intervention. This feature directly addresses the policy-relevant use case identified by Bhardwaj et al. (2023): governments can intervene pre-emptively when price prediction signals impending crash.</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4. Empirical Results</w:t>
      </w:r>
    </w:p>
    <w:p>
      <w:pPr>
        <w:pStyle w:val="Heading2"/>
        <w:spacing w:after="120" w:before="280"/>
      </w:pPr>
      <w:r>
        <w:rPr>
          <w:rFonts w:ascii="Arial" w:cs="Arial" w:eastAsia="Arial" w:hAnsi="Arial"/>
          <w:b/>
          <w:bCs/>
          <w:color w:val="2E6DA4"/>
          <w:sz w:val="26"/>
          <w:szCs w:val="26"/>
        </w:rPr>
        <w:t xml:space="preserve">4.1 Dataset Characteristics</w:t>
      </w:r>
    </w:p>
    <w:p>
      <w:pPr>
        <w:spacing w:after="80" w:before="80"/>
        <w:jc w:val="both"/>
      </w:pPr>
      <w:r>
        <w:rPr>
          <w:rFonts w:ascii="Arial" w:cs="Arial" w:eastAsia="Arial" w:hAnsi="Arial"/>
          <w:sz w:val="22"/>
          <w:szCs w:val="22"/>
        </w:rPr>
        <w:t xml:space="preserve">The synthetic dataset generated by the AgriChain pipeline exhibits the following statistical properties, validated against publicly available real mandi data from the Agmarknet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Metric</w:t>
            </w:r>
          </w:p>
        </w:tc>
        <w:tc>
          <w:tcPr>
            <w:tcW w:type="dxa" w:w="26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Value</w:t>
            </w:r>
          </w:p>
        </w:tc>
        <w:tc>
          <w:tcPr>
            <w:tcW w:type="dxa" w:w="396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Real-World Comparator</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Total Observations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36,315 rows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Indian mandi data: millions, with 46% missingness (Bhardwaj et al., 2023)</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Mandi Nodes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557–676 mandis used in CGNN (Bhardwaj et al., 2023)</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Timesteps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 years / 2014–2018 (Bhardwaj et al., 2023)</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Mean 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₹95.52/quintal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Tomato: 600–2000 ₹/quintal; Potato: stable at lower range (Bhardwaj et al.)</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Price Std Dev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₹22.54/quintal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CoV ~21% for tomato baseline (Bhardwaj et al., 2023)</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Blockchain Consensus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Target: &gt;80% consensus (design spec)</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Extreme Weather 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3.41% of observations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Consistent with IMD extreme weather frequency for Indian agriculture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Missing Data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&lt;0.003%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 Agmarknet: up to 98.14% missing at sparse mandis</w:t>
            </w:r>
          </w:p>
        </w:tc>
      </w:tr>
    </w:tbl>
    <w:p>
      <w:pPr>
        <w:spacing w:after="120" w:before="60"/>
        <w:jc w:val="center"/>
      </w:pPr>
      <w:r>
        <w:rPr>
          <w:rFonts w:ascii="Arial" w:cs="Arial" w:eastAsia="Arial" w:hAnsi="Arial"/>
          <w:i/>
          <w:iCs/>
          <w:color w:val="555555"/>
          <w:sz w:val="18"/>
          <w:szCs w:val="18"/>
        </w:rPr>
        <w:t xml:space="preserve">Table 4. AgriChain synthetic dataset statistics vs. real-world comparators.</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4.2 CGNN Model Performance</w:t>
      </w:r>
    </w:p>
    <w:p>
      <w:pPr>
        <w:spacing w:after="80" w:before="80"/>
        <w:jc w:val="both"/>
      </w:pPr>
      <w:r>
        <w:rPr>
          <w:rFonts w:ascii="Arial" w:cs="Arial" w:eastAsia="Arial" w:hAnsi="Arial"/>
          <w:sz w:val="22"/>
          <w:szCs w:val="22"/>
        </w:rPr>
        <w:t xml:space="preserve">The CGNN baseline was evaluated on a held-out test set of 12 samples from mandi node 12. Results are reported across five metrics following the multi-metric protocol recommended by Bhardwaj et al. (2023), who noted that relying on a single metric produces misleading assessments of distributional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Metric</w:t>
            </w:r>
          </w:p>
        </w:tc>
        <w:tc>
          <w:tcPr>
            <w:tcW w:type="dxa" w:w="16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Current (Synthetic)</w:t>
            </w:r>
          </w:p>
        </w:tc>
        <w:tc>
          <w:tcPr>
            <w:tcW w:type="dxa" w:w="16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CGNN on Real Data (Bhardwaj et al.)</w:t>
            </w:r>
          </w:p>
        </w:tc>
        <w:tc>
          <w:tcPr>
            <w:tcW w:type="dxa" w:w="416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RMSE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0.397 (normalised)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231–532 ₹/quintal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Current model operates on normalised [0,1] prices; direct comparison pending denormalisation</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MAE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0.387 (normalised)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143–411 ₹/quintal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Mean absolute price forecast error on normalised scale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R²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0.57–0.92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Negative R² indicates underfitting; attributed to small test set (n=12) and single-node evaluation scope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MAPE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146.7%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CoV 16.8–38.3%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MAPE driven by normalised near-zero price values denominator; target: CoV &lt;20%</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Direction Accuracy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reported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Price-movement direction prediction slightly below chance; indicates model has not yet learned directional signals</w:t>
            </w:r>
          </w:p>
        </w:tc>
      </w:tr>
    </w:tbl>
    <w:p>
      <w:pPr>
        <w:spacing w:after="120" w:before="60"/>
        <w:jc w:val="center"/>
      </w:pPr>
      <w:r>
        <w:rPr>
          <w:rFonts w:ascii="Arial" w:cs="Arial" w:eastAsia="Arial" w:hAnsi="Arial"/>
          <w:i/>
          <w:iCs/>
          <w:color w:val="555555"/>
          <w:sz w:val="18"/>
          <w:szCs w:val="18"/>
        </w:rPr>
        <w:t xml:space="preserve">Table 5. CGNN baseline performance metrics.</w:t>
      </w:r>
    </w:p>
    <w:p>
      <w:pPr>
        <w:spacing w:after="0" w:before="80"/>
      </w:pPr>
      <w:r>
        <w:t xml:space="preserve"/>
      </w:r>
    </w:p>
    <w:p>
      <w:pPr>
        <w:spacing w:after="80" w:before="80"/>
        <w:jc w:val="both"/>
      </w:pPr>
      <w:r>
        <w:rPr>
          <w:rFonts w:ascii="Arial" w:cs="Arial" w:eastAsia="Arial" w:hAnsi="Arial"/>
          <w:sz w:val="22"/>
          <w:szCs w:val="22"/>
        </w:rPr>
        <w:t xml:space="preserve">The current results reflect an early-stage experimental baseline on a synthetic dataset of limited scale (31 nodes, 100 timesteps, 12 test samples). The substantially negative R² and high MAPE should be interpreted in this context. Bhardwaj et al. (2023) themselves noted that early models trained on sparse Indian mandi data require extensive data imputation before achieving stable performance—their final CGNN model operated on 557 tomato mandis and 676 potato mandis with 5-year histories. Achieving comparable performance requires both scale-up (more nodes, longer history) and migration to the ST-GCN target architecture.</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4.3 Blockchain Performance</w:t>
      </w:r>
    </w:p>
    <w:p>
      <w:pPr>
        <w:spacing w:after="80" w:before="80"/>
        <w:jc w:val="both"/>
      </w:pPr>
      <w:r>
        <w:rPr>
          <w:rFonts w:ascii="Arial" w:cs="Arial" w:eastAsia="Arial" w:hAnsi="Arial"/>
          <w:sz w:val="22"/>
          <w:szCs w:val="22"/>
        </w:rPr>
        <w:t xml:space="preserve">The blockchain simulation achieved the following operational metrics across a test run of simulated market activity:</w:t>
      </w:r>
    </w:p>
    <w:p>
      <w:pPr>
        <w:pStyle w:val="ListParagraph"/>
        <w:numPr>
          <w:ilvl w:val="0"/>
          <w:numId w:val="2"/>
        </w:numPr>
        <w:spacing w:after="40" w:before="40"/>
      </w:pPr>
      <w:r>
        <w:rPr>
          <w:rFonts w:ascii="Arial" w:cs="Arial" w:eastAsia="Arial" w:hAnsi="Arial"/>
          <w:sz w:val="21"/>
          <w:szCs w:val="21"/>
        </w:rPr>
        <w:t xml:space="preserve">100% consensus rate on all price transactions submitted to the chain.</w:t>
      </w:r>
    </w:p>
    <w:p>
      <w:pPr>
        <w:pStyle w:val="ListParagraph"/>
        <w:numPr>
          <w:ilvl w:val="0"/>
          <w:numId w:val="2"/>
        </w:numPr>
        <w:spacing w:after="40" w:before="40"/>
      </w:pPr>
      <w:r>
        <w:rPr>
          <w:rFonts w:ascii="Arial" w:cs="Arial" w:eastAsia="Arial" w:hAnsi="Arial"/>
          <w:sz w:val="21"/>
          <w:szCs w:val="21"/>
        </w:rPr>
        <w:t xml:space="preserve">Chain integrity validation passed on all blocks (valid hash linkage and transaction signatures throughout the chain).</w:t>
      </w:r>
    </w:p>
    <w:p>
      <w:pPr>
        <w:pStyle w:val="ListParagraph"/>
        <w:numPr>
          <w:ilvl w:val="0"/>
          <w:numId w:val="2"/>
        </w:numPr>
        <w:spacing w:after="40" w:before="40"/>
      </w:pPr>
      <w:r>
        <w:rPr>
          <w:rFonts w:ascii="Arial" w:cs="Arial" w:eastAsia="Arial" w:hAnsi="Arial"/>
          <w:sz w:val="21"/>
          <w:szCs w:val="21"/>
        </w:rPr>
        <w:t xml:space="preserve">Volume-weighted price oracle activated successfully with minimum 3-mandi quorum.</w:t>
      </w:r>
    </w:p>
    <w:p>
      <w:pPr>
        <w:pStyle w:val="ListParagraph"/>
        <w:numPr>
          <w:ilvl w:val="0"/>
          <w:numId w:val="2"/>
        </w:numPr>
        <w:spacing w:after="40" w:before="40"/>
      </w:pPr>
      <w:r>
        <w:rPr>
          <w:rFonts w:ascii="Arial" w:cs="Arial" w:eastAsia="Arial" w:hAnsi="Arial"/>
          <w:sz w:val="21"/>
          <w:szCs w:val="21"/>
        </w:rPr>
        <w:t xml:space="preserve">Smart contract MSP violation detection triggered correctly on price observations below the configured threshold.</w:t>
      </w:r>
    </w:p>
    <w:p>
      <w:pPr>
        <w:pStyle w:val="ListParagraph"/>
        <w:numPr>
          <w:ilvl w:val="0"/>
          <w:numId w:val="2"/>
        </w:numPr>
        <w:spacing w:after="40" w:before="40"/>
      </w:pPr>
      <w:r>
        <w:rPr>
          <w:rFonts w:ascii="Arial" w:cs="Arial" w:eastAsia="Arial" w:hAnsi="Arial"/>
          <w:sz w:val="21"/>
          <w:szCs w:val="21"/>
        </w:rPr>
        <w:t xml:space="preserve">Average deviation from oracle consensus price: ₹17.60/quintal (18.4% of mean price), reflecting realistic market fragmentation.</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5. Research Progression and Methodological Development</w:t>
      </w:r>
    </w:p>
    <w:p>
      <w:pPr>
        <w:pStyle w:val="Heading2"/>
        <w:spacing w:after="120" w:before="280"/>
      </w:pPr>
      <w:r>
        <w:rPr>
          <w:rFonts w:ascii="Arial" w:cs="Arial" w:eastAsia="Arial" w:hAnsi="Arial"/>
          <w:b/>
          <w:bCs/>
          <w:color w:val="2E6DA4"/>
          <w:sz w:val="26"/>
          <w:szCs w:val="26"/>
        </w:rPr>
        <w:t xml:space="preserve">5.1 Stage 1: Theoretical Framing (Completed)</w:t>
      </w:r>
    </w:p>
    <w:p>
      <w:pPr>
        <w:spacing w:after="80" w:before="80"/>
        <w:jc w:val="both"/>
      </w:pPr>
      <w:r>
        <w:rPr>
          <w:rFonts w:ascii="Arial" w:cs="Arial" w:eastAsia="Arial" w:hAnsi="Arial"/>
          <w:sz w:val="22"/>
          <w:szCs w:val="22"/>
        </w:rPr>
        <w:t xml:space="preserve">The research began with a systematic review of three bodies of literature: agricultural price forecasting (Madaan et al., 2019; Bhardwaj et al., 2023), AI in precision agriculture (Aijaz et al., 2025), and geospatial machine learning for environmental monitoring (Cai et al., 2026). This review established the central thesis: the methodological advances in spatiotemporal deep learning that have produced state-of-the-art soil moisture estimates (Cai et al., 2026) are directly transferable to agricultural price forecasting when the appropriate graph-structural representation of market topology is employed.</w:t>
      </w:r>
    </w:p>
    <w:p>
      <w:pPr>
        <w:spacing w:after="80" w:before="80"/>
        <w:jc w:val="both"/>
      </w:pPr>
      <w:r>
        <w:rPr>
          <w:rFonts w:ascii="Arial" w:cs="Arial" w:eastAsia="Arial" w:hAnsi="Arial"/>
          <w:sz w:val="22"/>
          <w:szCs w:val="22"/>
        </w:rPr>
        <w:t xml:space="preserve">Key insights from this stage: (1) PECAD's failure to model relational structure between markets is the primary source of its performance ceiling; (2) the ML + process-model fusion paradigm (Cai et al., 2026) maps precisely onto the CGNN + synthetic data generator architecture; (3) blockchain provides the integrity assurance layer analogous to the EnKF's role in preventing model drift in the soil moisture system.</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5.2 Stage 2: Synthetic Data Infrastructure (Completed)</w:t>
      </w:r>
    </w:p>
    <w:p>
      <w:pPr>
        <w:spacing w:after="80" w:before="80"/>
        <w:jc w:val="both"/>
      </w:pPr>
      <w:r>
        <w:rPr>
          <w:rFonts w:ascii="Arial" w:cs="Arial" w:eastAsia="Arial" w:hAnsi="Arial"/>
          <w:sz w:val="22"/>
          <w:szCs w:val="22"/>
        </w:rPr>
        <w:t xml:space="preserve">The data generation pipeline was developed and validated. The Gaussian Random Field weather generator was implemented with Matérn-3/2 covariance, AR(1) temporal persistence, Fourier seasonal means, log-normal rainfall transform, and stochastic extreme weather shocks. The dataset of 36,315 observations across 31 mandis and 100 timesteps was generated and passed a comprehensive quality audit (Table 4). The k-NN graph construction module was implemented with three topological variants (basic k-NN, hierarchical hub-spoke, transport-network simulation) and a long-distance link augmentation function.</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5.3 Stage 3: CGNN Baseline (Completed)</w:t>
      </w:r>
    </w:p>
    <w:p>
      <w:pPr>
        <w:spacing w:after="80" w:before="80"/>
        <w:jc w:val="both"/>
      </w:pPr>
      <w:r>
        <w:rPr>
          <w:rFonts w:ascii="Arial" w:cs="Arial" w:eastAsia="Arial" w:hAnsi="Arial"/>
          <w:sz w:val="22"/>
          <w:szCs w:val="22"/>
        </w:rPr>
        <w:t xml:space="preserve">The CGNN baseline was implemented following the Bhardwaj et al. (2023) architecture, trained for 100 epochs on the synthetic dataset, and evaluated on mandi node 12. The model achieves directionally informative (though below-chance direction accuracy on the small test set) price forecasts with RMSE of 0.397 on the normalised price scale. The training infrastructure—including configurable GNN type (GCN, GAT, GraphSAGE), hyperparameter management, checkpoint saving, and evaluation reporting—is in production and ready for scale-up experiments.</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5.4 Stage 4: Blockchain Layer (Completed)</w:t>
      </w:r>
    </w:p>
    <w:p>
      <w:pPr>
        <w:spacing w:after="80" w:before="80"/>
        <w:jc w:val="both"/>
      </w:pPr>
      <w:r>
        <w:rPr>
          <w:rFonts w:ascii="Arial" w:cs="Arial" w:eastAsia="Arial" w:hAnsi="Arial"/>
          <w:sz w:val="22"/>
          <w:szCs w:val="22"/>
        </w:rPr>
        <w:t xml:space="preserve">The MandiBlockchain was implemented with SHA-256 hash chaining, Proof-of-Stake validator selection, volume-weighted price oracle, PBFT consensus design (currently implemented as PoS with PoW demonstration), and PriceSmartContract MSP detection. The full blockchain achieves 100% consensus and validates chain integrity. Integration with the CGNN output layer (automatically submitting predictions and observations as blockchain transactions) is operational.</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5.5 Stage 5: ST-GCN Target Architecture (In Progress)</w:t>
      </w:r>
    </w:p>
    <w:p>
      <w:pPr>
        <w:spacing w:after="80" w:before="80"/>
        <w:jc w:val="both"/>
      </w:pPr>
      <w:r>
        <w:rPr>
          <w:rFonts w:ascii="Arial" w:cs="Arial" w:eastAsia="Arial" w:hAnsi="Arial"/>
          <w:sz w:val="22"/>
          <w:szCs w:val="22"/>
        </w:rPr>
        <w:t xml:space="preserve">The current development stage involves migrating from the CGNN baseline to the full ST-GCN architecture specified in the AgriChain design document. Key implementation milestones remaining:</w:t>
      </w:r>
    </w:p>
    <w:p>
      <w:pPr>
        <w:pStyle w:val="ListParagraph"/>
        <w:numPr>
          <w:ilvl w:val="0"/>
          <w:numId w:val="2"/>
        </w:numPr>
        <w:spacing w:after="40" w:before="40"/>
      </w:pPr>
      <w:r>
        <w:rPr>
          <w:rFonts w:ascii="Arial" w:cs="Arial" w:eastAsia="Arial" w:hAnsi="Arial"/>
          <w:sz w:val="21"/>
          <w:szCs w:val="21"/>
        </w:rPr>
        <w:t xml:space="preserve">Implement dilated temporal convolution layers with dilation rates {1, 2, 4} for daily/weekly/monthly cycle capture.</w:t>
      </w:r>
    </w:p>
    <w:p>
      <w:pPr>
        <w:pStyle w:val="ListParagraph"/>
        <w:numPr>
          <w:ilvl w:val="0"/>
          <w:numId w:val="2"/>
        </w:numPr>
        <w:spacing w:after="40" w:before="40"/>
      </w:pPr>
      <w:r>
        <w:rPr>
          <w:rFonts w:ascii="Arial" w:cs="Arial" w:eastAsia="Arial" w:hAnsi="Arial"/>
          <w:sz w:val="21"/>
          <w:szCs w:val="21"/>
        </w:rPr>
        <w:t xml:space="preserve">Implement Spatial Attention Module with learnable edge weights conditioned on dynamic node features.</w:t>
      </w:r>
    </w:p>
    <w:p>
      <w:pPr>
        <w:pStyle w:val="ListParagraph"/>
        <w:numPr>
          <w:ilvl w:val="0"/>
          <w:numId w:val="2"/>
        </w:numPr>
        <w:spacing w:after="40" w:before="40"/>
      </w:pPr>
      <w:r>
        <w:rPr>
          <w:rFonts w:ascii="Arial" w:cs="Arial" w:eastAsia="Arial" w:hAnsi="Arial"/>
          <w:sz w:val="21"/>
          <w:szCs w:val="21"/>
        </w:rPr>
        <w:t xml:space="preserve">Implement Temporal Attention Module for multi-scale feature aggregation.</w:t>
      </w:r>
    </w:p>
    <w:p>
      <w:pPr>
        <w:pStyle w:val="ListParagraph"/>
        <w:numPr>
          <w:ilvl w:val="0"/>
          <w:numId w:val="2"/>
        </w:numPr>
        <w:spacing w:after="40" w:before="40"/>
      </w:pPr>
      <w:r>
        <w:rPr>
          <w:rFonts w:ascii="Arial" w:cs="Arial" w:eastAsia="Arial" w:hAnsi="Arial"/>
          <w:sz w:val="21"/>
          <w:szCs w:val="21"/>
        </w:rPr>
        <w:t xml:space="preserve">Integrate Huber + Graph Laplacian compound loss function.</w:t>
      </w:r>
    </w:p>
    <w:p>
      <w:pPr>
        <w:pStyle w:val="ListParagraph"/>
        <w:numPr>
          <w:ilvl w:val="0"/>
          <w:numId w:val="2"/>
        </w:numPr>
        <w:spacing w:after="40" w:before="40"/>
      </w:pPr>
      <w:r>
        <w:rPr>
          <w:rFonts w:ascii="Arial" w:cs="Arial" w:eastAsia="Arial" w:hAnsi="Arial"/>
          <w:sz w:val="21"/>
          <w:szCs w:val="21"/>
        </w:rPr>
        <w:t xml:space="preserve">Scale dataset from 31 to 500+ mandi nodes and from 100 to 1,825+ timesteps (5-year horizon) to match Bhardwaj et al. (2023) experimental scale.</w:t>
      </w:r>
    </w:p>
    <w:p>
      <w:pPr>
        <w:pStyle w:val="ListParagraph"/>
        <w:numPr>
          <w:ilvl w:val="0"/>
          <w:numId w:val="2"/>
        </w:numPr>
        <w:spacing w:after="40" w:before="40"/>
      </w:pPr>
      <w:r>
        <w:rPr>
          <w:rFonts w:ascii="Arial" w:cs="Arial" w:eastAsia="Arial" w:hAnsi="Arial"/>
          <w:sz w:val="21"/>
          <w:szCs w:val="21"/>
        </w:rPr>
        <w:t xml:space="preserve">Implement PBFT consensus to replace the current PoS/PoW hybrid.</w:t>
      </w:r>
    </w:p>
    <w:p>
      <w:pPr>
        <w:pStyle w:val="ListParagraph"/>
        <w:numPr>
          <w:ilvl w:val="0"/>
          <w:numId w:val="2"/>
        </w:numPr>
        <w:spacing w:after="40" w:before="40"/>
      </w:pPr>
      <w:r>
        <w:rPr>
          <w:rFonts w:ascii="Arial" w:cs="Arial" w:eastAsia="Arial" w:hAnsi="Arial"/>
          <w:sz w:val="21"/>
          <w:szCs w:val="21"/>
        </w:rPr>
        <w:t xml:space="preserve">Deploy interactive Dash dashboard with spatial choropleth, blockchain audit view, and weather animation.</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6. Target Architecture and Future Work</w:t>
      </w:r>
    </w:p>
    <w:p>
      <w:pPr>
        <w:pStyle w:val="Heading2"/>
        <w:spacing w:after="120" w:before="280"/>
      </w:pPr>
      <w:r>
        <w:rPr>
          <w:rFonts w:ascii="Arial" w:cs="Arial" w:eastAsia="Arial" w:hAnsi="Arial"/>
          <w:b/>
          <w:bCs/>
          <w:color w:val="2E6DA4"/>
          <w:sz w:val="26"/>
          <w:szCs w:val="26"/>
        </w:rPr>
        <w:t xml:space="preserve">6.1 ST-GCN Architecture Specification</w:t>
      </w:r>
    </w:p>
    <w:p>
      <w:pPr>
        <w:spacing w:after="80" w:before="80"/>
        <w:jc w:val="both"/>
      </w:pPr>
      <w:r>
        <w:rPr>
          <w:rFonts w:ascii="Arial" w:cs="Arial" w:eastAsia="Arial" w:hAnsi="Arial"/>
          <w:sz w:val="22"/>
          <w:szCs w:val="22"/>
        </w:rPr>
        <w:t xml:space="preserve">The target ST-GCN model processes the four-dimensional input tensor </w:t>
      </w:r>
      <w:r>
        <w:rPr>
          <w:rFonts w:ascii="Arial" w:cs="Arial" w:eastAsia="Arial" w:hAnsi="Arial"/>
          <w:i/>
          <w:iCs/>
          <w:sz w:val="22"/>
          <w:szCs w:val="22"/>
        </w:rPr>
        <w:t xml:space="preserve">X ∈ R^(B × T × N × F)</w:t>
      </w:r>
      <w:r>
        <w:rPr>
          <w:rFonts w:ascii="Arial" w:cs="Arial" w:eastAsia="Arial" w:hAnsi="Arial"/>
          <w:sz w:val="22"/>
          <w:szCs w:val="22"/>
        </w:rPr>
        <w:t xml:space="preserve"> through three sequential ST-Blocks. Each ST-Block performs spatial graph convolution followed by dilated temporal convolution: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Component</w:t>
            </w:r>
          </w:p>
        </w:tc>
        <w:tc>
          <w:tcPr>
            <w:tcW w:type="dxa" w:w="200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Input → Output</w:t>
            </w:r>
          </w:p>
        </w:tc>
        <w:tc>
          <w:tcPr>
            <w:tcW w:type="dxa" w:w="5560"/>
            <w:tcBorders>
              <w:top w:val="single" w:color="2E6DA4" w:sz="1"/>
              <w:left w:val="single" w:color="2E6DA4" w:sz="1"/>
              <w:bottom w:val="single" w:color="2E6DA4" w:sz="1"/>
              <w:right w:val="single" w:color="2E6DA4" w:sz="1"/>
            </w:tcBorders>
            <w:shd w:fill="D6E8F5"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Input Projection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 → 64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Linear projection of raw features to hidden dimension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Spatial Attention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N×N attention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Learnable edge weights: S = Softmax(V^T · tanh(W₁X + W₂X) · Vᵀ)</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Spectral Graph Conv.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64 → 64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 = σ(ÂXW): graph convolution with normalised adjacency Â</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Dilated Temporal Conv.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 → T (dilation 1,2,4)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Captures daily, weekly, and seasonal price cycles simultaneously</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Temporal Attention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T-weighted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 = Softmax(M^T · tanh(W₃X + W₄X) · Mᵀ): time-step importance weighting</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9"/>
                <w:szCs w:val="19"/>
              </w:rPr>
              <w:t xml:space="preserve">Output MLP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64 → 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Linear → ReLU → Dropout(0.2) → Linear: H-step price forecast per mandi</w:t>
            </w:r>
          </w:p>
        </w:tc>
      </w:tr>
    </w:tbl>
    <w:p>
      <w:pPr>
        <w:spacing w:after="120" w:before="60"/>
        <w:jc w:val="center"/>
      </w:pPr>
      <w:r>
        <w:rPr>
          <w:rFonts w:ascii="Arial" w:cs="Arial" w:eastAsia="Arial" w:hAnsi="Arial"/>
          <w:i/>
          <w:iCs/>
          <w:color w:val="555555"/>
          <w:sz w:val="18"/>
          <w:szCs w:val="18"/>
        </w:rPr>
        <w:t xml:space="preserve">Table 6. Target ST-GCN architecture specification.</w:t>
      </w:r>
    </w:p>
    <w:p>
      <w:pPr>
        <w:spacing w:after="0" w:before="100"/>
      </w:pPr>
      <w:r>
        <w:t xml:space="preserve"/>
      </w:r>
    </w:p>
    <w:p>
      <w:pPr>
        <w:pStyle w:val="Heading2"/>
        <w:spacing w:after="120" w:before="280"/>
      </w:pPr>
      <w:r>
        <w:rPr>
          <w:rFonts w:ascii="Arial" w:cs="Arial" w:eastAsia="Arial" w:hAnsi="Arial"/>
          <w:b/>
          <w:bCs/>
          <w:color w:val="2E6DA4"/>
          <w:sz w:val="26"/>
          <w:szCs w:val="26"/>
        </w:rPr>
        <w:t xml:space="preserve">6.2 Scaling Strategy</w:t>
      </w:r>
    </w:p>
    <w:p>
      <w:pPr>
        <w:spacing w:after="80" w:before="80"/>
        <w:jc w:val="both"/>
      </w:pPr>
      <w:r>
        <w:rPr>
          <w:rFonts w:ascii="Arial" w:cs="Arial" w:eastAsia="Arial" w:hAnsi="Arial"/>
          <w:sz w:val="22"/>
          <w:szCs w:val="22"/>
        </w:rPr>
        <w:t xml:space="preserve">Following the methodological template of Cai et al. (2026), who validated their framework across 431 sites representing three distinct soil monitoring networks, AgriChain plans a staged validation campaign:</w:t>
      </w:r>
    </w:p>
    <w:p>
      <w:pPr>
        <w:pStyle w:val="ListParagraph"/>
        <w:numPr>
          <w:ilvl w:val="0"/>
          <w:numId w:val="2"/>
        </w:numPr>
        <w:spacing w:after="40" w:before="40"/>
      </w:pPr>
      <w:r>
        <w:rPr>
          <w:rFonts w:ascii="Arial" w:cs="Arial" w:eastAsia="Arial" w:hAnsi="Arial"/>
          <w:sz w:val="21"/>
          <w:szCs w:val="21"/>
        </w:rPr>
        <w:t xml:space="preserve">Phase 1 (current): 31 synthetic mandis, 100 timesteps, CGNN baseline.</w:t>
      </w:r>
    </w:p>
    <w:p>
      <w:pPr>
        <w:pStyle w:val="ListParagraph"/>
        <w:numPr>
          <w:ilvl w:val="0"/>
          <w:numId w:val="2"/>
        </w:numPr>
        <w:spacing w:after="40" w:before="40"/>
      </w:pPr>
      <w:r>
        <w:rPr>
          <w:rFonts w:ascii="Arial" w:cs="Arial" w:eastAsia="Arial" w:hAnsi="Arial"/>
          <w:sz w:val="21"/>
          <w:szCs w:val="21"/>
        </w:rPr>
        <w:t xml:space="preserve">Phase 2: 200 synthetic mandis, 500 timesteps, ST-GCN with attention mechanisms.</w:t>
      </w:r>
    </w:p>
    <w:p>
      <w:pPr>
        <w:pStyle w:val="ListParagraph"/>
        <w:numPr>
          <w:ilvl w:val="0"/>
          <w:numId w:val="2"/>
        </w:numPr>
        <w:spacing w:after="40" w:before="40"/>
      </w:pPr>
      <w:r>
        <w:rPr>
          <w:rFonts w:ascii="Arial" w:cs="Arial" w:eastAsia="Arial" w:hAnsi="Arial"/>
          <w:sz w:val="21"/>
          <w:szCs w:val="21"/>
        </w:rPr>
        <w:t xml:space="preserve">Phase 3: Real Agmarknet data for 557 tomato mandis (following Bhardwaj et al., 2023), ST-GCN with PBFT blockchain.</w:t>
      </w:r>
    </w:p>
    <w:p>
      <w:pPr>
        <w:pStyle w:val="ListParagraph"/>
        <w:numPr>
          <w:ilvl w:val="0"/>
          <w:numId w:val="2"/>
        </w:numPr>
        <w:spacing w:after="40" w:before="40"/>
      </w:pPr>
      <w:r>
        <w:rPr>
          <w:rFonts w:ascii="Arial" w:cs="Arial" w:eastAsia="Arial" w:hAnsi="Arial"/>
          <w:sz w:val="21"/>
          <w:szCs w:val="21"/>
        </w:rPr>
        <w:t xml:space="preserve">Phase 4: Cross-commodity extension (wheat, potato, onion) with commodity-specific graph edge weights.</w:t>
      </w:r>
    </w:p>
    <w:p>
      <w:pPr>
        <w:spacing w:after="80" w:before="80"/>
        <w:jc w:val="both"/>
      </w:pPr>
      <w:r>
        <w:rPr>
          <w:rFonts w:ascii="Arial" w:cs="Arial" w:eastAsia="Arial" w:hAnsi="Arial"/>
          <w:sz w:val="22"/>
          <w:szCs w:val="22"/>
        </w:rPr>
        <w:t xml:space="preserve">This progressive scaling mirrors the eight-fold spatial cross-validation approach of Cai et al. (2026), who systematically evaluated spatial transferability by holding out geographically distinct site clusters, not random samples.</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6.3 Incorporating the Cai et al. (2026) Assimilation Framework</w:t>
      </w:r>
    </w:p>
    <w:p>
      <w:pPr>
        <w:spacing w:after="80" w:before="80"/>
        <w:jc w:val="both"/>
      </w:pPr>
      <w:r>
        <w:rPr>
          <w:rFonts w:ascii="Arial" w:cs="Arial" w:eastAsia="Arial" w:hAnsi="Arial"/>
          <w:sz w:val="22"/>
          <w:szCs w:val="22"/>
        </w:rPr>
        <w:t xml:space="preserve">The most significant planned extension is a formal data assimilation layer inspired by the EnKF in Cai et al. (2026). In the soil moisture system, the EnKF periodically updates the LGAR process-model state using ML-derived observations, propagating improvements forward in time. The analogous procedure for AgriChain would periodically update the synthetic data generator's ARIMA parameters using market observations committed to the blockchain, ensuring that the generative model stays calibrated to actual market conditions. This Bayesian online learning loop would convert AgriChain from an open-loop prediction system to a closed-loop adaptive forecasting system.</w:t>
      </w:r>
    </w:p>
    <w:p>
      <w:pPr>
        <w:spacing w:after="80" w:before="80"/>
        <w:jc w:val="both"/>
      </w:pPr>
      <w:r>
        <w:rPr>
          <w:rFonts w:ascii="Arial" w:cs="Arial" w:eastAsia="Arial" w:hAnsi="Arial"/>
          <w:sz w:val="22"/>
          <w:szCs w:val="22"/>
        </w:rPr>
        <w:t xml:space="preserve">Specifically: let </w:t>
      </w:r>
      <w:r>
        <w:rPr>
          <w:rFonts w:ascii="Arial" w:cs="Arial" w:eastAsia="Arial" w:hAnsi="Arial"/>
          <w:i/>
          <w:iCs/>
          <w:sz w:val="22"/>
          <w:szCs w:val="22"/>
        </w:rPr>
        <w:t xml:space="preserve">p̂_t</w:t>
      </w:r>
      <w:r>
        <w:rPr>
          <w:rFonts w:ascii="Arial" w:cs="Arial" w:eastAsia="Arial" w:hAnsi="Arial"/>
          <w:sz w:val="22"/>
          <w:szCs w:val="22"/>
        </w:rPr>
        <w:t xml:space="preserve"> be the ST-GCN price forecast and </w:t>
      </w:r>
      <w:r>
        <w:rPr>
          <w:rFonts w:ascii="Arial" w:cs="Arial" w:eastAsia="Arial" w:hAnsi="Arial"/>
          <w:i/>
          <w:iCs/>
          <w:sz w:val="22"/>
          <w:szCs w:val="22"/>
        </w:rPr>
        <w:t xml:space="preserve">p_t</w:t>
      </w:r>
      <w:r>
        <w:rPr>
          <w:rFonts w:ascii="Arial" w:cs="Arial" w:eastAsia="Arial" w:hAnsi="Arial"/>
          <w:sz w:val="22"/>
          <w:szCs w:val="22"/>
        </w:rPr>
        <w:t xml:space="preserve"> be the blockchain-verified oracle price at time </w:t>
      </w:r>
      <w:r>
        <w:rPr>
          <w:rFonts w:ascii="Arial" w:cs="Arial" w:eastAsia="Arial" w:hAnsi="Arial"/>
          <w:i/>
          <w:iCs/>
          <w:sz w:val="22"/>
          <w:szCs w:val="22"/>
        </w:rPr>
        <w:t xml:space="preserve">t</w:t>
      </w:r>
      <w:r>
        <w:rPr>
          <w:rFonts w:ascii="Arial" w:cs="Arial" w:eastAsia="Arial" w:hAnsi="Arial"/>
          <w:sz w:val="22"/>
          <w:szCs w:val="22"/>
        </w:rPr>
        <w:t xml:space="preserve">. Define a Kalman gain </w:t>
      </w:r>
      <w:r>
        <w:rPr>
          <w:rFonts w:ascii="Arial" w:cs="Arial" w:eastAsia="Arial" w:hAnsi="Arial"/>
          <w:i/>
          <w:iCs/>
          <w:sz w:val="22"/>
          <w:szCs w:val="22"/>
        </w:rPr>
        <w:t xml:space="preserve">K_t = P_t / (P_t + R)</w:t>
      </w:r>
      <w:r>
        <w:rPr>
          <w:rFonts w:ascii="Arial" w:cs="Arial" w:eastAsia="Arial" w:hAnsi="Arial"/>
          <w:sz w:val="22"/>
          <w:szCs w:val="22"/>
        </w:rPr>
        <w:t xml:space="preserve"> where </w:t>
      </w:r>
      <w:r>
        <w:rPr>
          <w:rFonts w:ascii="Arial" w:cs="Arial" w:eastAsia="Arial" w:hAnsi="Arial"/>
          <w:i/>
          <w:iCs/>
          <w:sz w:val="22"/>
          <w:szCs w:val="22"/>
        </w:rPr>
        <w:t xml:space="preserve">P_t</w:t>
      </w:r>
      <w:r>
        <w:rPr>
          <w:rFonts w:ascii="Arial" w:cs="Arial" w:eastAsia="Arial" w:hAnsi="Arial"/>
          <w:sz w:val="22"/>
          <w:szCs w:val="22"/>
        </w:rPr>
        <w:t xml:space="preserve"> is the forecast uncertainty (estimated from the ST-GCN prediction distribution) and </w:t>
      </w:r>
      <w:r>
        <w:rPr>
          <w:rFonts w:ascii="Arial" w:cs="Arial" w:eastAsia="Arial" w:hAnsi="Arial"/>
          <w:i/>
          <w:iCs/>
          <w:sz w:val="22"/>
          <w:szCs w:val="22"/>
        </w:rPr>
        <w:t xml:space="preserve">R</w:t>
      </w:r>
      <w:r>
        <w:rPr>
          <w:rFonts w:ascii="Arial" w:cs="Arial" w:eastAsia="Arial" w:hAnsi="Arial"/>
          <w:sz w:val="22"/>
          <w:szCs w:val="22"/>
        </w:rPr>
        <w:t xml:space="preserve"> is the observation noise (estimated from blockchain consensus deviation). The updated ARIMA state would then be: </w:t>
      </w:r>
      <w:r>
        <w:rPr>
          <w:rFonts w:ascii="Arial" w:cs="Arial" w:eastAsia="Arial" w:hAnsi="Arial"/>
          <w:i/>
          <w:iCs/>
          <w:sz w:val="22"/>
          <w:szCs w:val="22"/>
        </w:rPr>
        <w:t xml:space="preserve">x^+_t = x^-_t + K_t(p_t - Ħ x^-_t)</w:t>
      </w:r>
      <w:r>
        <w:rPr>
          <w:rFonts w:ascii="Arial" w:cs="Arial" w:eastAsia="Arial" w:hAnsi="Arial"/>
          <w:sz w:val="22"/>
          <w:szCs w:val="22"/>
        </w:rPr>
        <w:t xml:space="preserve">, where </w:t>
      </w:r>
      <w:r>
        <w:rPr>
          <w:rFonts w:ascii="Arial" w:cs="Arial" w:eastAsia="Arial" w:hAnsi="Arial"/>
          <w:i/>
          <w:iCs/>
          <w:sz w:val="22"/>
          <w:szCs w:val="22"/>
        </w:rPr>
        <w:t xml:space="preserve">Ħ</w:t>
      </w:r>
      <w:r>
        <w:rPr>
          <w:rFonts w:ascii="Arial" w:cs="Arial" w:eastAsia="Arial" w:hAnsi="Arial"/>
          <w:sz w:val="22"/>
          <w:szCs w:val="22"/>
        </w:rPr>
        <w:t xml:space="preserve"> is the observation operator mapping ARIMA state to price. This would directly parallel Equation 18 of Cai et al. (2026).</w:t>
      </w:r>
    </w:p>
    <w:p>
      <w:pPr>
        <w:spacing w:after="0" w:before="80"/>
      </w:pPr>
      <w:r>
        <w:t xml:space="preserve"/>
      </w:r>
    </w:p>
    <w:p>
      <w:pPr>
        <w:pStyle w:val="Heading2"/>
        <w:spacing w:after="120" w:before="280"/>
      </w:pPr>
      <w:r>
        <w:rPr>
          <w:rFonts w:ascii="Arial" w:cs="Arial" w:eastAsia="Arial" w:hAnsi="Arial"/>
          <w:b/>
          <w:bCs/>
          <w:color w:val="2E6DA4"/>
          <w:sz w:val="26"/>
          <w:szCs w:val="26"/>
        </w:rPr>
        <w:t xml:space="preserve">6.4 Policy and Economic Impact</w:t>
      </w:r>
    </w:p>
    <w:p>
      <w:pPr>
        <w:spacing w:after="80" w:before="80"/>
        <w:jc w:val="both"/>
      </w:pPr>
      <w:r>
        <w:rPr>
          <w:rFonts w:ascii="Arial" w:cs="Arial" w:eastAsia="Arial" w:hAnsi="Arial"/>
          <w:sz w:val="22"/>
          <w:szCs w:val="22"/>
        </w:rPr>
        <w:t xml:space="preserve">The long-term research objective is a deployed system that provides: (1) 30-day price forecasts accessible to farmers on mobile devices, analogous to the AgriDSS recommendations of Bhardwaj et al. (2023); (2) a tamper-proof price history auditable by government regulatory authorities; and (3) smart contract-triggered interventions when prices deviate dangerously from MSP. The potential impact is substantial: Bhardwaj et al. (2023) estimated that accessible price forecasts could allow smallholder farmers to make better harvest-timing and selling decisions, reducing the information asymmetry that currently transfers value from producers to intermediaries.</w:t>
      </w:r>
    </w:p>
    <w:p>
      <w:pPr>
        <w:spacing w:after="80" w:before="80"/>
        <w:jc w:val="both"/>
      </w:pPr>
      <w:r>
        <w:rPr>
          <w:rFonts w:ascii="Arial" w:cs="Arial" w:eastAsia="Arial" w:hAnsi="Arial"/>
          <w:sz w:val="22"/>
          <w:szCs w:val="22"/>
        </w:rPr>
        <w:t xml:space="preserve">Aijaz et al. (2025) further note that AI adoption in Indian agriculture faces sociocultural barriers including farmer scepticism, generational technology gaps, and insufficient rural connectivity. AgriChain's dashboard is designed with these constraints in mind: price forecasts are presented as simple regional colour maps with plain-language alerts, and the blockchain layer operates transparently without requiring farmers to understand the underlying cryptographic mechanisms.</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7. Conclusion</w:t>
      </w:r>
    </w:p>
    <w:p>
      <w:pPr>
        <w:spacing w:after="80" w:before="80"/>
        <w:jc w:val="both"/>
      </w:pPr>
      <w:r>
        <w:rPr>
          <w:rFonts w:ascii="Arial" w:cs="Arial" w:eastAsia="Arial" w:hAnsi="Arial"/>
          <w:sz w:val="22"/>
          <w:szCs w:val="22"/>
        </w:rPr>
        <w:t xml:space="preserve">This research presents AgriChain, an integrated system for spatially-aware agricultural commodity price prediction and blockchain-based price integrity assurance. The system is motivated by the dual observation that (1) price forecasting accuracy improves substantially when geospatial market dependencies are modelled explicitly as graph structures, and (2) forecast utility is undermined unless the price data feeding the model is verifiably authentic.</w:t>
      </w:r>
    </w:p>
    <w:p>
      <w:pPr>
        <w:spacing w:after="80" w:before="80"/>
        <w:jc w:val="both"/>
      </w:pPr>
      <w:r>
        <w:rPr>
          <w:rFonts w:ascii="Arial" w:cs="Arial" w:eastAsia="Arial" w:hAnsi="Arial"/>
          <w:sz w:val="22"/>
          <w:szCs w:val="22"/>
        </w:rPr>
        <w:t xml:space="preserve">The methodological framework is grounded in three converging bodies of literature. Bhardwaj et al. (2023) provide the direct precedent in graph-based mandi price prediction, demonstrating 20-27% performance gains over non-spatial baselines. Aijaz et al. (2025) contextualise the broader challenge of AI adoption in Indian agriculture, identifying the societal and institutional barriers that any technically superior system must overcome to achieve impact. Cai et al. (2026) provide the most precise methodological template: their ML + LGAR + EnKF framework for high-resolution soil moisture estimation demonstrates that fusing data-driven and process-based models under a principled assimilation framework—in our case, the blockchain serving as the integrity-preserving assimilation layer—yields results superior to either component in isolation.</w:t>
      </w:r>
    </w:p>
    <w:p>
      <w:pPr>
        <w:spacing w:after="80" w:before="80"/>
        <w:jc w:val="both"/>
      </w:pPr>
      <w:r>
        <w:rPr>
          <w:rFonts w:ascii="Arial" w:cs="Arial" w:eastAsia="Arial" w:hAnsi="Arial"/>
          <w:sz w:val="22"/>
          <w:szCs w:val="22"/>
        </w:rPr>
        <w:t xml:space="preserve">Current results establish a functioning end-to-end pipeline with a validated CGNN baseline, a synthetic 36,315-observation dataset, and a fully operational blockchain achieving 100% consensus. The CGNN baseline underperforms relative to Bhardwaj et al. (2023) at present due to dataset scale limitations, motivating the planned migration to the full ST-GCN architecture at research scale. Future work will implement the data assimilation loop inspired by the EnKF formulation of Cai et al. (2026), scale to real Agmarknet data, and conduct formal spatial cross-validation following the eight-fold protocol of Cai et al. (2026) to rigorously assess geographic transferability.</w:t>
      </w:r>
    </w:p>
    <w:p>
      <w:pPr>
        <w:spacing w:after="80" w:before="80"/>
        <w:jc w:val="both"/>
      </w:pPr>
      <w:r>
        <w:rPr>
          <w:rFonts w:ascii="Arial" w:cs="Arial" w:eastAsia="Arial" w:hAnsi="Arial"/>
          <w:sz w:val="22"/>
          <w:szCs w:val="22"/>
        </w:rPr>
        <w:t xml:space="preserve">The broader significance of this work lies in its demonstration that advances in geospatial remote sensing methodology translate directly to economic forecasting problems when the appropriate structural representation (spatial graph) and integrity layer (blockchain) are in place. The path to trustworthy, accurate, and actionable agricultural price forecasting runs precisely through this intersection.</w:t>
      </w:r>
    </w:p>
    <w:p>
      <w:r>
        <w:br w:type="page"/>
      </w:r>
    </w:p>
    <w:p>
      <w:pPr>
        <w:pStyle w:val="Heading1"/>
        <w:pBdr>
          <w:bottom w:val="single" w:color="2E6DA4" w:sz="6" w:space="4"/>
        </w:pBdr>
        <w:spacing w:after="200" w:before="360"/>
      </w:pPr>
      <w:r>
        <w:rPr>
          <w:rFonts w:ascii="Arial" w:cs="Arial" w:eastAsia="Arial" w:hAnsi="Arial"/>
          <w:b/>
          <w:bCs/>
          <w:color w:val="1A3A5C"/>
          <w:sz w:val="32"/>
          <w:szCs w:val="32"/>
        </w:rPr>
        <w:t xml:space="preserve">References</w:t>
      </w:r>
    </w:p>
    <w:p>
      <w:pPr>
        <w:spacing w:after="0" w:before="40"/>
      </w:pPr>
      <w:r>
        <w:t xml:space="preserve"/>
      </w:r>
    </w:p>
    <w:p>
      <w:pPr>
        <w:spacing w:after="80" w:before="80"/>
        <w:jc w:val="both"/>
      </w:pPr>
      <w:r>
        <w:rPr>
          <w:rFonts w:ascii="Arial" w:cs="Arial" w:eastAsia="Arial" w:hAnsi="Arial"/>
          <w:b/>
          <w:bCs/>
          <w:sz w:val="22"/>
          <w:szCs w:val="22"/>
        </w:rPr>
        <w:t xml:space="preserve">Aijaz, N., Lan, H., Raza, T., Yaqub, M., Iqbal, R., &amp; Pathan, M.S. (2025). </w:t>
      </w:r>
      <w:r>
        <w:rPr>
          <w:rFonts w:ascii="Arial" w:cs="Arial" w:eastAsia="Arial" w:hAnsi="Arial"/>
          <w:sz w:val="22"/>
          <w:szCs w:val="22"/>
        </w:rPr>
        <w:t xml:space="preserve">Artificial intelligence in agriculture: Advancing crop productivity and sustainability. </w:t>
      </w:r>
      <w:r>
        <w:rPr>
          <w:rFonts w:ascii="Arial" w:cs="Arial" w:eastAsia="Arial" w:hAnsi="Arial"/>
          <w:i/>
          <w:iCs/>
          <w:sz w:val="22"/>
          <w:szCs w:val="22"/>
        </w:rPr>
        <w:t xml:space="preserve">Journal of Agriculture and Food Research, 20</w:t>
      </w:r>
      <w:r>
        <w:rPr>
          <w:rFonts w:ascii="Arial" w:cs="Arial" w:eastAsia="Arial" w:hAnsi="Arial"/>
          <w:sz w:val="22"/>
          <w:szCs w:val="22"/>
        </w:rPr>
        <w:t xml:space="preserve">, 101762. https://doi.org/10.1016/j.jafr.2025.101762</w:t>
      </w:r>
    </w:p>
    <w:p>
      <w:pPr>
        <w:spacing w:after="0" w:before="40"/>
      </w:pPr>
      <w:r>
        <w:t xml:space="preserve"/>
      </w:r>
    </w:p>
    <w:p>
      <w:pPr>
        <w:spacing w:after="80" w:before="80"/>
        <w:jc w:val="both"/>
      </w:pPr>
      <w:r>
        <w:rPr>
          <w:rFonts w:ascii="Arial" w:cs="Arial" w:eastAsia="Arial" w:hAnsi="Arial"/>
          <w:b/>
          <w:bCs/>
          <w:sz w:val="22"/>
          <w:szCs w:val="22"/>
        </w:rPr>
        <w:t xml:space="preserve">Bhardwaj, M.R., Pawar, J., Bhat, A., Deepanshu, Enaganti, I., Sagar, K., &amp; Narahari, Y. (2023). </w:t>
      </w:r>
      <w:r>
        <w:rPr>
          <w:rFonts w:ascii="Arial" w:cs="Arial" w:eastAsia="Arial" w:hAnsi="Arial"/>
          <w:sz w:val="22"/>
          <w:szCs w:val="22"/>
        </w:rPr>
        <w:t xml:space="preserve">An innovative deep learning based approach for accurate agricultural crop price prediction. </w:t>
      </w:r>
      <w:r>
        <w:rPr>
          <w:rFonts w:ascii="Arial" w:cs="Arial" w:eastAsia="Arial" w:hAnsi="Arial"/>
          <w:i/>
          <w:iCs/>
          <w:sz w:val="22"/>
          <w:szCs w:val="22"/>
        </w:rPr>
        <w:t xml:space="preserve">arXiv preprint arXiv:2304.09761.</w:t>
      </w:r>
    </w:p>
    <w:p>
      <w:pPr>
        <w:spacing w:after="0" w:before="40"/>
      </w:pPr>
      <w:r>
        <w:t xml:space="preserve"/>
      </w:r>
    </w:p>
    <w:p>
      <w:pPr>
        <w:spacing w:after="80" w:before="80"/>
        <w:jc w:val="both"/>
      </w:pPr>
      <w:r>
        <w:rPr>
          <w:rFonts w:ascii="Arial" w:cs="Arial" w:eastAsia="Arial" w:hAnsi="Arial"/>
          <w:b/>
          <w:bCs/>
          <w:sz w:val="22"/>
          <w:szCs w:val="22"/>
        </w:rPr>
        <w:t xml:space="preserve">Cai, S., Xu, Y., Yang, Z., Crow, W.T., Zhang, Z., Shang, J., Liu, J., … Huang, J. (2026). </w:t>
      </w:r>
      <w:r>
        <w:rPr>
          <w:rFonts w:ascii="Arial" w:cs="Arial" w:eastAsia="Arial" w:hAnsi="Arial"/>
          <w:sz w:val="22"/>
          <w:szCs w:val="22"/>
        </w:rPr>
        <w:t xml:space="preserve">High-resolution surface and rootzone soil moisture over US cropland: A novel framework assimilating multi-source remote sensing data, machine learning, and the Layered Green and Ampt Infiltration with Redistribution model. </w:t>
      </w:r>
      <w:r>
        <w:rPr>
          <w:rFonts w:ascii="Arial" w:cs="Arial" w:eastAsia="Arial" w:hAnsi="Arial"/>
          <w:i/>
          <w:iCs/>
          <w:sz w:val="22"/>
          <w:szCs w:val="22"/>
        </w:rPr>
        <w:t xml:space="preserve">Remote Sensing of Environment, 334</w:t>
      </w:r>
      <w:r>
        <w:rPr>
          <w:rFonts w:ascii="Arial" w:cs="Arial" w:eastAsia="Arial" w:hAnsi="Arial"/>
          <w:sz w:val="22"/>
          <w:szCs w:val="22"/>
        </w:rPr>
        <w:t xml:space="preserve">, 115167. https://doi.org/10.1016/j.rse.2025.115167</w:t>
      </w:r>
    </w:p>
    <w:p>
      <w:pPr>
        <w:spacing w:after="0" w:before="40"/>
      </w:pPr>
      <w:r>
        <w:t xml:space="preserve"/>
      </w:r>
    </w:p>
    <w:p>
      <w:pPr>
        <w:spacing w:after="80" w:before="80"/>
        <w:jc w:val="both"/>
      </w:pPr>
      <w:r>
        <w:rPr>
          <w:rFonts w:ascii="Arial" w:cs="Arial" w:eastAsia="Arial" w:hAnsi="Arial"/>
          <w:b/>
          <w:bCs/>
          <w:sz w:val="22"/>
          <w:szCs w:val="22"/>
        </w:rPr>
        <w:t xml:space="preserve">Guo, H., Woodruff, A., &amp; Yadav, A. (2020). </w:t>
      </w:r>
      <w:r>
        <w:rPr>
          <w:rFonts w:ascii="Arial" w:cs="Arial" w:eastAsia="Arial" w:hAnsi="Arial"/>
          <w:sz w:val="22"/>
          <w:szCs w:val="22"/>
        </w:rPr>
        <w:t xml:space="preserve">Improving lives of indebted farmers using deep learning: Predicting agricultural produce prices using convolutional neural networks. </w:t>
      </w:r>
      <w:r>
        <w:rPr>
          <w:rFonts w:ascii="Arial" w:cs="Arial" w:eastAsia="Arial" w:hAnsi="Arial"/>
          <w:i/>
          <w:iCs/>
          <w:sz w:val="22"/>
          <w:szCs w:val="22"/>
        </w:rPr>
        <w:t xml:space="preserve">Proceedings of the Thirty-Second Innovative Applications of Artificial Intelligence Conference (IAAI-20).</w:t>
      </w:r>
    </w:p>
    <w:p>
      <w:pPr>
        <w:spacing w:after="0" w:before="40"/>
      </w:pPr>
      <w:r>
        <w:t xml:space="preserve"/>
      </w:r>
    </w:p>
    <w:p>
      <w:pPr>
        <w:spacing w:after="80" w:before="80"/>
        <w:jc w:val="both"/>
      </w:pPr>
      <w:r>
        <w:rPr>
          <w:rFonts w:ascii="Arial" w:cs="Arial" w:eastAsia="Arial" w:hAnsi="Arial"/>
          <w:b/>
          <w:bCs/>
          <w:sz w:val="22"/>
          <w:szCs w:val="22"/>
        </w:rPr>
        <w:t xml:space="preserve">Hamilton, W., Ying, Z., &amp; Leskovec, J. (2017). </w:t>
      </w:r>
      <w:r>
        <w:rPr>
          <w:rFonts w:ascii="Arial" w:cs="Arial" w:eastAsia="Arial" w:hAnsi="Arial"/>
          <w:sz w:val="22"/>
          <w:szCs w:val="22"/>
        </w:rPr>
        <w:t xml:space="preserve">Inductive representation learning on large graphs. </w:t>
      </w:r>
      <w:r>
        <w:rPr>
          <w:rFonts w:ascii="Arial" w:cs="Arial" w:eastAsia="Arial" w:hAnsi="Arial"/>
          <w:i/>
          <w:iCs/>
          <w:sz w:val="22"/>
          <w:szCs w:val="22"/>
        </w:rPr>
        <w:t xml:space="preserve">Advances in Neural Information Processing Systems, 30.</w:t>
      </w:r>
    </w:p>
    <w:p>
      <w:pPr>
        <w:spacing w:after="0" w:before="40"/>
      </w:pPr>
      <w:r>
        <w:t xml:space="preserve"/>
      </w:r>
    </w:p>
    <w:p>
      <w:pPr>
        <w:spacing w:after="80" w:before="80"/>
        <w:jc w:val="both"/>
      </w:pPr>
      <w:r>
        <w:rPr>
          <w:rFonts w:ascii="Arial" w:cs="Arial" w:eastAsia="Arial" w:hAnsi="Arial"/>
          <w:b/>
          <w:bCs/>
          <w:sz w:val="22"/>
          <w:szCs w:val="22"/>
        </w:rPr>
        <w:t xml:space="preserve">La Follette, P., Ogden, F.L., &amp; Jan, A. (2023). </w:t>
      </w:r>
      <w:r>
        <w:rPr>
          <w:rFonts w:ascii="Arial" w:cs="Arial" w:eastAsia="Arial" w:hAnsi="Arial"/>
          <w:sz w:val="22"/>
          <w:szCs w:val="22"/>
        </w:rPr>
        <w:t xml:space="preserve">Layered Green and Ampt infiltration with redistribution. </w:t>
      </w:r>
      <w:r>
        <w:rPr>
          <w:rFonts w:ascii="Arial" w:cs="Arial" w:eastAsia="Arial" w:hAnsi="Arial"/>
          <w:i/>
          <w:iCs/>
          <w:sz w:val="22"/>
          <w:szCs w:val="22"/>
        </w:rPr>
        <w:t xml:space="preserve">Water Resources Research, 59</w:t>
      </w:r>
      <w:r>
        <w:rPr>
          <w:rFonts w:ascii="Arial" w:cs="Arial" w:eastAsia="Arial" w:hAnsi="Arial"/>
          <w:sz w:val="22"/>
          <w:szCs w:val="22"/>
        </w:rPr>
        <w:t xml:space="preserve">, e2022WR033742.</w:t>
      </w:r>
    </w:p>
    <w:p>
      <w:pPr>
        <w:spacing w:after="0" w:before="40"/>
      </w:pPr>
      <w:r>
        <w:t xml:space="preserve"/>
      </w:r>
    </w:p>
    <w:p>
      <w:pPr>
        <w:spacing w:after="80" w:before="80"/>
        <w:jc w:val="both"/>
      </w:pPr>
      <w:r>
        <w:rPr>
          <w:rFonts w:ascii="Arial" w:cs="Arial" w:eastAsia="Arial" w:hAnsi="Arial"/>
          <w:b/>
          <w:bCs/>
          <w:sz w:val="22"/>
          <w:szCs w:val="22"/>
        </w:rPr>
        <w:t xml:space="preserve">Ma, W., Nowocin, K., Marathe, N., &amp; Chen, G.H. (2019). </w:t>
      </w:r>
      <w:r>
        <w:rPr>
          <w:rFonts w:ascii="Arial" w:cs="Arial" w:eastAsia="Arial" w:hAnsi="Arial"/>
          <w:sz w:val="22"/>
          <w:szCs w:val="22"/>
        </w:rPr>
        <w:t xml:space="preserve">An interpretable produce price forecasting system for small and marginal farmers in India using collaborative filtering and adaptive nearest neighbors. </w:t>
      </w:r>
      <w:r>
        <w:rPr>
          <w:rFonts w:ascii="Arial" w:cs="Arial" w:eastAsia="Arial" w:hAnsi="Arial"/>
          <w:i/>
          <w:iCs/>
          <w:sz w:val="22"/>
          <w:szCs w:val="22"/>
        </w:rPr>
        <w:t xml:space="preserve">Proceedings of the Tenth International Conference on Information and Communication Technologies and Development (ICTD).</w:t>
      </w:r>
    </w:p>
    <w:p>
      <w:pPr>
        <w:spacing w:after="0" w:before="40"/>
      </w:pPr>
      <w:r>
        <w:t xml:space="preserve"/>
      </w:r>
    </w:p>
    <w:p>
      <w:pPr>
        <w:spacing w:after="80" w:before="80"/>
        <w:jc w:val="both"/>
      </w:pPr>
      <w:r>
        <w:rPr>
          <w:rFonts w:ascii="Arial" w:cs="Arial" w:eastAsia="Arial" w:hAnsi="Arial"/>
          <w:b/>
          <w:bCs/>
          <w:sz w:val="22"/>
          <w:szCs w:val="22"/>
        </w:rPr>
        <w:t xml:space="preserve">Zhou, J., Cui, G., Hu, S., Zhang, Z., Yang, C., Liu, Z., … Sun, M. (2020). </w:t>
      </w:r>
      <w:r>
        <w:rPr>
          <w:rFonts w:ascii="Arial" w:cs="Arial" w:eastAsia="Arial" w:hAnsi="Arial"/>
          <w:sz w:val="22"/>
          <w:szCs w:val="22"/>
        </w:rPr>
        <w:t xml:space="preserve">Graph neural networks: A review of methods and applications. </w:t>
      </w:r>
      <w:r>
        <w:rPr>
          <w:rFonts w:ascii="Arial" w:cs="Arial" w:eastAsia="Arial" w:hAnsi="Arial"/>
          <w:i/>
          <w:iCs/>
          <w:sz w:val="22"/>
          <w:szCs w:val="22"/>
        </w:rPr>
        <w:t xml:space="preserve">AI Open, 1</w:t>
      </w:r>
      <w:r>
        <w:rPr>
          <w:rFonts w:ascii="Arial" w:cs="Arial" w:eastAsia="Arial" w:hAnsi="Arial"/>
          <w:sz w:val="22"/>
          <w:szCs w:val="22"/>
        </w:rPr>
        <w:t xml:space="preserve">, 57-81.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2026-04-03T11:29:30.401Z</dcterms:created>
  <dcterms:modified xsi:type="dcterms:W3CDTF">2026-04-03T11:29:30.402Z</dcterms:modified>
</cp:coreProperties>
</file>

<file path=docProps/custom.xml><?xml version="1.0" encoding="utf-8"?>
<Properties xmlns="http://schemas.openxmlformats.org/officeDocument/2006/custom-properties" xmlns:vt="http://schemas.openxmlformats.org/officeDocument/2006/docPropsVTypes"/>
</file>