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3.png" ContentType="image/png"/>
  <Override PartName="/word/media/rId39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urn:schemas-microsoft-com:vml" xmlns:ns6="urn:schemas-microsoft-com:office:offic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Federal SSOT Alignment — UIAO as the Identity Governance Substrate for AD → Entra ID Migration</w:t>
      </w:r>
    </w:p>
    <w:p>
      <w:pPr>
        <w:pStyle w:val="Subtitle"/>
      </w:pPr>
      <w:r>
        <w:t xml:space="preserve">How the open UIAO canon composes Evidence Act, M-25-05, CDO, DAMA-DMBOK, Zero Trust, TIC 3.0, NIST 800-63 and FedRAMP 20x obligations over the identity layer — SSOT as the architectural response, not a mandate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federal-ssot-alignment"/>
    <w:p>
      <w:pPr>
        <w:pStyle w:val="Heading1"/>
      </w:pPr>
      <w:r>
        <w:t xml:space="preserve">Federal SSOT Alignment</w:t>
      </w:r>
    </w:p>
    <w:bookmarkStart w:id="50" w:name="X74bec36976e94684df2c9e9eca6f659b426fad4"/>
    <w:p>
      <w:pPr>
        <w:pStyle w:val="Heading2"/>
      </w:pPr>
      <w:r>
        <w:t xml:space="preserve">How the open UIAO canon governs the identity layer beneath federal data governance mandates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Agencies carry Evidence Act, OPEN Government Data Act, and</w:t>
            </w:r>
            <w:r>
              <w:t xml:space="preserve"> </w:t>
            </w:r>
            <w:r>
              <w:t xml:space="preserve">M-25-05 data-governance obligations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an AD → Entra ID migration</w:t>
            </w:r>
            <w:r>
              <w:t xml:space="preserve"> </w:t>
            </w:r>
            <w:r>
              <w:t xml:space="preserve">imperative, and run them as two unrelated programs. No statute mandates Single</w:t>
            </w:r>
            <w:r>
              <w:t xml:space="preserve"> </w:t>
            </w:r>
            <w:r>
              <w:t xml:space="preserve">Source of Truth — but a credible data inventory cannot be maintained from</w:t>
            </w:r>
            <w:r>
              <w:t xml:space="preserve"> </w:t>
            </w:r>
            <w:r>
              <w:t xml:space="preserve">sources that disagree, and the identity layer beneath every one of those</w:t>
            </w:r>
            <w:r>
              <w:t xml:space="preserve"> </w:t>
            </w:r>
            <w:r>
              <w:t xml:space="preserve">decisions is exactly what the migration is about to change.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Treat the identity namespace as the root of the SSOT hierarchy</w:t>
            </w:r>
            <w:r>
              <w:t xml:space="preserve"> </w:t>
            </w:r>
            <w:r>
              <w:t xml:space="preserve">and the migration as a governance event. The open UIAO canon encodes SSOT</w:t>
            </w:r>
            <w:r>
              <w:t xml:space="preserve"> </w:t>
            </w:r>
            <w:r>
              <w:t xml:space="preserve">designations, the drift taxonomy, and a provenance chain so that FedRAMP-grade</w:t>
            </w:r>
            <w:r>
              <w:t xml:space="preserve"> </w:t>
            </w:r>
            <w:r>
              <w:t xml:space="preserve">evidence is a byproduct of the migration rather than assembled afterward —</w:t>
            </w:r>
            <w:r>
              <w:t xml:space="preserve"> </w:t>
            </w:r>
            <w:r>
              <w:t xml:space="preserve">beneath Entra ID, Purview, Fabric, Defender, and Sentinel, not in place of</w:t>
            </w:r>
            <w:r>
              <w:t xml:space="preserve"> </w:t>
            </w:r>
            <w:r>
              <w:t xml:space="preserve">them.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Run the two programs as one. Adopt the phased posture (assess →</w:t>
            </w:r>
            <w:r>
              <w:t xml:space="preserve"> </w:t>
            </w:r>
            <w:r>
              <w:t xml:space="preserve">govern → migrate → validate → operate) with governance in place before any</w:t>
            </w:r>
            <w:r>
              <w:t xml:space="preserve"> </w:t>
            </w:r>
            <w:r>
              <w:t xml:space="preserve">identity object moves, and give the Chief Data Officer and the identity team a</w:t>
            </w:r>
            <w:r>
              <w:t xml:space="preserve"> </w:t>
            </w:r>
            <w:r>
              <w:t xml:space="preserve">single, shared SSOT designation register.</w:t>
            </w:r>
          </w:p>
          <w:p/>
        </w:tc>
      </w:tr>
    </w:tbl>
    <w:bookmarkStart w:id="18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Federal civilian agencies carry a set of data-governance obligations — through</w:t>
      </w:r>
      <w:r>
        <w:t xml:space="preserve"> </w:t>
      </w:r>
      <w:r>
        <w:t xml:space="preserve">the Foundations for Evidence-Based Policymaking Act, the OPEN Government Data</w:t>
      </w:r>
      <w:r>
        <w:t xml:space="preserve"> </w:t>
      </w:r>
      <w:r>
        <w:t xml:space="preserve">Act, and OMB’s implementation guidance, currently</w:t>
      </w:r>
      <w:r>
        <w:t xml:space="preserve"> </w:t>
      </w:r>
      <w:hyperlink r:id="rId12">
        <w:r>
          <w:rPr>
            <w:rStyle w:val="Hyperlink"/>
          </w:rPr>
          <w:t xml:space="preserve">M-25-05</w:t>
        </w:r>
      </w:hyperlink>
      <w:r>
        <w:t xml:space="preserve"> </w:t>
      </w:r>
      <w:r>
        <w:t xml:space="preserve">(Phase 2, January 2025) — to maintain comprehensive data inventories, designate</w:t>
      </w:r>
      <w:r>
        <w:t xml:space="preserve"> </w:t>
      </w:r>
      <w:r>
        <w:t xml:space="preserve">Chief Data Officers, and publish open-by-default in machine-readable form.</w:t>
      </w:r>
    </w:p>
    <w:p>
      <w:pPr>
        <w:pStyle w:val="BodyText"/>
      </w:pPr>
      <w:r>
        <w:rPr>
          <w:b/>
          <w:bCs/>
        </w:rPr>
        <w:t xml:space="preserve">None of those authorities mandates Single Source of Truth</w:t>
      </w:r>
      <w:r>
        <w:t xml:space="preserve">, and this paper</w:t>
      </w:r>
      <w:r>
        <w:t xml:space="preserve"> </w:t>
      </w:r>
      <w:r>
        <w:t xml:space="preserve">does not claim otherwise. There is no federal SSOT mandate, no statutory</w:t>
      </w:r>
      <w:r>
        <w:t xml:space="preserve"> </w:t>
      </w:r>
      <w:r>
        <w:t xml:space="preserve">requirement to designate authoritative systems of record, and no OMB CDO</w:t>
      </w:r>
      <w:r>
        <w:t xml:space="preserve"> </w:t>
      </w:r>
      <w:r>
        <w:t xml:space="preserve">directive imposing one. The Federal Data Strategy was a strategy rather than a</w:t>
      </w:r>
      <w:r>
        <w:t xml:space="preserve"> </w:t>
      </w:r>
      <w:r>
        <w:t xml:space="preserve">mandate, and its action plans ended with the 2021 edition.</w:t>
      </w:r>
    </w:p>
    <w:p>
      <w:pPr>
        <w:pStyle w:val="BodyText"/>
      </w:pPr>
      <w:r>
        <w:t xml:space="preserve">SSOT is the</w:t>
      </w:r>
      <w:r>
        <w:t xml:space="preserve"> </w:t>
      </w:r>
      <w:r>
        <w:rPr>
          <w:b/>
          <w:bCs/>
        </w:rPr>
        <w:t xml:space="preserve">architectural response</w:t>
      </w:r>
      <w:r>
        <w:t xml:space="preserve"> </w:t>
      </w:r>
      <w:r>
        <w:t xml:space="preserve">a great many agencies adopt</w:t>
      </w:r>
      <w:r>
        <w:t xml:space="preserve"> </w:t>
      </w:r>
      <w:r>
        <w:rPr>
          <w:i/>
          <w:iCs/>
        </w:rPr>
        <w:t xml:space="preserve">in order to</w:t>
      </w:r>
      <w:r>
        <w:t xml:space="preserve"> </w:t>
      </w:r>
      <w:r>
        <w:t xml:space="preserve">satisfy those obligations. You cannot maintain a credible data inventory across</w:t>
      </w:r>
      <w:r>
        <w:t xml:space="preserve"> </w:t>
      </w:r>
      <w:r>
        <w:t xml:space="preserve">fragmented operational environments without deciding which system is</w:t>
      </w:r>
      <w:r>
        <w:t xml:space="preserve"> </w:t>
      </w:r>
      <w:r>
        <w:t xml:space="preserve">authoritative for a given fact, and you cannot publish open-by-default from</w:t>
      </w:r>
      <w:r>
        <w:t xml:space="preserve"> </w:t>
      </w:r>
      <w:r>
        <w:t xml:space="preserve">sources that disagree. That is an engineering conclusion, not a legal one — and</w:t>
      </w:r>
      <w:r>
        <w:t xml:space="preserve"> </w:t>
      </w:r>
      <w:r>
        <w:t xml:space="preserve">stating it that way is what makes the rest of this paper survive a reader who</w:t>
      </w:r>
      <w:r>
        <w:t xml:space="preserve"> </w:t>
      </w:r>
      <w:r>
        <w:t xml:space="preserve">knows the statutes. A paper that asserts a mandate its cited authority does not</w:t>
      </w:r>
      <w:r>
        <w:t xml:space="preserve"> </w:t>
      </w:r>
      <w:r>
        <w:t xml:space="preserve">impose has handed that reader the fastest possible reason to stop reading. At the same time, those</w:t>
      </w:r>
      <w:r>
        <w:t xml:space="preserve"> </w:t>
      </w:r>
      <w:r>
        <w:t xml:space="preserve">same agencies face a migration imperative: retiring on-premises Active</w:t>
      </w:r>
      <w:r>
        <w:t xml:space="preserve"> </w:t>
      </w:r>
      <w:r>
        <w:t xml:space="preserve">Directory infrastructure in favor of Microsoft Entra ID, while remaining</w:t>
      </w:r>
      <w:r>
        <w:t xml:space="preserve"> </w:t>
      </w:r>
      <w:r>
        <w:t xml:space="preserve">coherent with Zero Trust, TIC 3.0, NIST 800-63, and FedRAMP 20x.</w:t>
      </w:r>
    </w:p>
    <w:p>
      <w:pPr>
        <w:pStyle w:val="BodyText"/>
      </w:pPr>
      <w:r>
        <w:t xml:space="preserve">These two mandates are almost universally treated as separate programs. They</w:t>
      </w:r>
      <w:r>
        <w:t xml:space="preserve"> </w:t>
      </w:r>
      <w:r>
        <w:t xml:space="preserve">should not be.</w:t>
      </w:r>
    </w:p>
    <w:p>
      <w:pPr>
        <w:pStyle w:val="BodyText"/>
      </w:pPr>
      <w:r>
        <w:t xml:space="preserve">UIAO is an open, FedRAMP-Moderate-focused governance substrate that addresses</w:t>
      </w:r>
      <w:r>
        <w:t xml:space="preserve"> </w:t>
      </w:r>
      <w:r>
        <w:t xml:space="preserve">both — treating the identity namespace as the root of the SSOT hierarchy, and</w:t>
      </w:r>
      <w:r>
        <w:t xml:space="preserve"> </w:t>
      </w:r>
      <w:r>
        <w:t xml:space="preserve">the AD → Entra ID migration as a governance event rather than a technical</w:t>
      </w:r>
      <w:r>
        <w:t xml:space="preserve"> </w:t>
      </w:r>
      <w:r>
        <w:t xml:space="preserve">transition. UIAO does not displace Microsoft Entra ID, Microsoft Purview,</w:t>
      </w:r>
      <w:r>
        <w:t xml:space="preserve"> </w:t>
      </w:r>
      <w:r>
        <w:t xml:space="preserve">Microsoft Fabric, Microsoft Defender, or Microsoft Sentinel. It is the open</w:t>
      </w:r>
      <w:r>
        <w:t xml:space="preserve"> </w:t>
      </w:r>
      <w:r>
        <w:t xml:space="preserve">canon that describes how those capabilities compose, at the identity layer,</w:t>
      </w:r>
      <w:r>
        <w:t xml:space="preserve"> </w:t>
      </w:r>
      <w:r>
        <w:t xml:space="preserve">into a substrate that survives an audit and survives the migration boundary</w:t>
      </w:r>
      <w:r>
        <w:t xml:space="preserve"> </w:t>
      </w:r>
      <w:r>
        <w:t xml:space="preserve">the entire Azure SSOT stack is built on.</w:t>
      </w:r>
    </w:p>
    <w:p>
      <w:pPr>
        <w:pStyle w:val="BodyText"/>
      </w:pPr>
      <w:r>
        <w:t xml:space="preserve">The Azure SSOT stack alignment — UIAO’s positioning beneath Microsoft Purview</w:t>
      </w:r>
      <w:r>
        <w:t xml:space="preserve"> </w:t>
      </w:r>
      <w:r>
        <w:t xml:space="preserve">and OneLake — is developed in its own chapter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07a — UIAO Beneath the Azure SSOT Stack</w:t>
        </w:r>
      </w:hyperlink>
      <w:r>
        <w:t xml:space="preserve">)</w:t>
      </w:r>
      <w:r>
        <w:t xml:space="preserve"> </w:t>
      </w:r>
      <w:r>
        <w:t xml:space="preserve">of the UIAO OrgPath series. This whitepaper establishes the federal</w:t>
      </w:r>
      <w:r>
        <w:t xml:space="preserve"> </w:t>
      </w:r>
      <w:r>
        <w:t xml:space="preserve">mandate alignment that makes that chapter necessary.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ederal-ssot-alignment-image-01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5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ssot-alignment-image-01-two-federal-program-tracks-conve.png" id="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Two federal program tracks converging into the UIAO open canon as a single identity SSOT substrate</w:t>
            </w:r>
          </w:p>
          <w:bookmarkEnd w:id="17"/>
        </w:tc>
      </w:tr>
    </w:tbl>
    <w:p>
      <w:r>
        <w:pict>
          <ns5:rect style="width:0;height:1.5pt" ns6:hralign="center" ns6:hrstd="t" ns6:hr="t"/>
        </w:pict>
      </w:r>
    </w:p>
    <w:bookmarkEnd w:id="18"/>
    <w:bookmarkStart w:id="19" w:name="X98d1b9ee0a2c159f3fd923d3d3820624238176c"/>
    <w:p>
      <w:pPr>
        <w:pStyle w:val="Heading3"/>
      </w:pPr>
      <w:r>
        <w:t xml:space="preserve">1. The federal SSOT problem — what agencies already know</w:t>
      </w:r>
    </w:p>
    <w:p>
      <w:pPr>
        <w:pStyle w:val="FirstParagraph"/>
      </w:pPr>
      <w:r>
        <w:t xml:space="preserve">Federal data governance guidance is explicit: silos, regional office sprawl,</w:t>
      </w:r>
      <w:r>
        <w:t xml:space="preserve"> </w:t>
      </w:r>
      <w:r>
        <w:t xml:space="preserve">and overlapping SQL Server instances undermine mission effectiveness. The</w:t>
      </w:r>
      <w:r>
        <w:t xml:space="preserve"> </w:t>
      </w:r>
      <w:r>
        <w:t xml:space="preserve">recommended counter-measures are well-established:</w:t>
      </w:r>
    </w:p>
    <w:p>
      <w:pPr>
        <w:pStyle w:val="Compact"/>
        <w:numPr>
          <w:ilvl w:val="0"/>
          <w:numId w:val="1001"/>
        </w:numPr>
      </w:pPr>
      <w:r>
        <w:t xml:space="preserve">Master Data Management (MDM) to define</w:t>
      </w:r>
      <w:r>
        <w:t xml:space="preserve"> </w:t>
      </w:r>
      <w:r>
        <w:t xml:space="preserve">“golden records”</w:t>
      </w:r>
      <w:r>
        <w:t xml:space="preserve"> </w:t>
      </w:r>
      <w:r>
        <w:t xml:space="preserve">and authoritative</w:t>
      </w:r>
      <w:r>
        <w:t xml:space="preserve"> </w:t>
      </w:r>
      <w:r>
        <w:t xml:space="preserve">sources</w:t>
      </w:r>
    </w:p>
    <w:p>
      <w:pPr>
        <w:pStyle w:val="Compact"/>
        <w:numPr>
          <w:ilvl w:val="0"/>
          <w:numId w:val="1001"/>
        </w:numPr>
      </w:pPr>
      <w:r>
        <w:t xml:space="preserve">Cloud consolidation (Azure Government, AWS GovCloud) to eliminate redundant</w:t>
      </w:r>
      <w:r>
        <w:t xml:space="preserve"> </w:t>
      </w:r>
      <w:r>
        <w:t xml:space="preserve">on-premises copies</w:t>
      </w:r>
    </w:p>
    <w:p>
      <w:pPr>
        <w:pStyle w:val="Compact"/>
        <w:numPr>
          <w:ilvl w:val="0"/>
          <w:numId w:val="1001"/>
        </w:numPr>
      </w:pPr>
      <w:r>
        <w:t xml:space="preserve">Data catalogs and lineage tools to enforce visibility and provenance</w:t>
      </w:r>
    </w:p>
    <w:p>
      <w:pPr>
        <w:pStyle w:val="Compact"/>
        <w:numPr>
          <w:ilvl w:val="0"/>
          <w:numId w:val="1001"/>
        </w:numPr>
      </w:pPr>
      <w:r>
        <w:t xml:space="preserve">Chief Data Officers and Data Governance Boards to assign ownership and</w:t>
      </w:r>
      <w:r>
        <w:t xml:space="preserve"> </w:t>
      </w:r>
      <w:r>
        <w:t xml:space="preserve">accountability</w:t>
      </w:r>
    </w:p>
    <w:p>
      <w:pPr>
        <w:pStyle w:val="Compact"/>
        <w:numPr>
          <w:ilvl w:val="0"/>
          <w:numId w:val="1001"/>
        </w:numPr>
      </w:pPr>
      <w:r>
        <w:t xml:space="preserve">Federated governance models that balance central control with operational</w:t>
      </w:r>
      <w:r>
        <w:t xml:space="preserve"> </w:t>
      </w:r>
      <w:r>
        <w:t xml:space="preserve">autonomy</w:t>
      </w:r>
    </w:p>
    <w:p>
      <w:pPr>
        <w:pStyle w:val="FirstParagraph"/>
      </w:pPr>
      <w:r>
        <w:t xml:space="preserve">These are the right mechanisms. The gap is that none of them are designed for</w:t>
      </w:r>
      <w:r>
        <w:t xml:space="preserve"> </w:t>
      </w:r>
      <w:r>
        <w:t xml:space="preserve">the identity layer — and identity is not just another data domain. Identity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namespace</w:t>
      </w:r>
      <w:r>
        <w:t xml:space="preserve"> </w:t>
      </w:r>
      <w:r>
        <w:t xml:space="preserve">from which all other enterprise data is governed: who owns</w:t>
      </w:r>
      <w:r>
        <w:t xml:space="preserve"> </w:t>
      </w:r>
      <w:r>
        <w:t xml:space="preserve">a record, who can modify it, who last changed it, and whether the current</w:t>
      </w:r>
      <w:r>
        <w:t xml:space="preserve"> </w:t>
      </w:r>
      <w:r>
        <w:t xml:space="preserve">state of that record is trusted.</w:t>
      </w:r>
    </w:p>
    <w:p>
      <w:pPr>
        <w:pStyle w:val="BodyText"/>
      </w:pPr>
      <w:r>
        <w:t xml:space="preserve">When the identity infrastructure is in transition — as it is in every AD →</w:t>
      </w:r>
      <w:r>
        <w:t xml:space="preserve"> </w:t>
      </w:r>
      <w:r>
        <w:t xml:space="preserve">Entra ID migration — the SSOT frameworks built on top of it are structurally</w:t>
      </w:r>
      <w:r>
        <w:t xml:space="preserve"> </w:t>
      </w:r>
      <w:r>
        <w:t xml:space="preserve">at risk. Agency CDO offices have inherited a data governance mandate that</w:t>
      </w:r>
      <w:r>
        <w:t xml:space="preserve"> </w:t>
      </w:r>
      <w:r>
        <w:t xml:space="preserve">assumes the identity layer is stable. The identity layer is not stable. It is</w:t>
      </w:r>
      <w:r>
        <w:t xml:space="preserve"> </w:t>
      </w:r>
      <w:r>
        <w:t xml:space="preserve">moving.</w:t>
      </w:r>
    </w:p>
    <w:p>
      <w:r>
        <w:pict>
          <ns5:rect style="width:0;height:1.5pt" ns6:hralign="center" ns6:hrstd="t" ns6:hr="t"/>
        </w:pict>
      </w:r>
    </w:p>
    <w:bookmarkEnd w:id="19"/>
    <w:bookmarkStart w:id="22" w:name="X2cc3a6d1f6d865a8b862274ad1d7246ac78a5f0"/>
    <w:p>
      <w:pPr>
        <w:pStyle w:val="Heading3"/>
      </w:pPr>
      <w:r>
        <w:t xml:space="preserve">2. Why AD → Entra ID is a governance event, not a migration</w:t>
      </w:r>
    </w:p>
    <w:p>
      <w:pPr>
        <w:pStyle w:val="FirstParagraph"/>
      </w:pPr>
      <w:r>
        <w:t xml:space="preserve">A conventional AD → Entra ID migration project moves users. A governance-aware</w:t>
      </w:r>
      <w:r>
        <w:t xml:space="preserve"> </w:t>
      </w:r>
      <w:r>
        <w:t xml:space="preserve">migration moves the</w:t>
      </w:r>
      <w:r>
        <w:t xml:space="preserve"> </w:t>
      </w:r>
      <w:r>
        <w:rPr>
          <w:i/>
          <w:iCs/>
        </w:rPr>
        <w:t xml:space="preserve">entire identity namespace</w:t>
      </w:r>
      <w:r>
        <w:t xml:space="preserve"> </w:t>
      </w:r>
      <w:r>
        <w:t xml:space="preserve">— and every dependency</w:t>
      </w:r>
      <w:r>
        <w:t xml:space="preserve"> </w:t>
      </w:r>
      <w:r>
        <w:t xml:space="preserve">attached to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AD artifact</w:t>
            </w:r>
          </w:p>
        </w:tc>
        <w:tc>
          <w:tcPr/>
          <w:p>
            <w:pPr>
              <w:pStyle w:val="Compact"/>
            </w:pPr>
            <w:r>
              <w:t xml:space="preserve">Migration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User accounts, SPNs, service accounts</w:t>
            </w:r>
          </w:p>
        </w:tc>
        <w:tc>
          <w:tcPr/>
          <w:p>
            <w:pPr>
              <w:pStyle w:val="Compact"/>
            </w:pPr>
            <w:r>
              <w:t xml:space="preserve">Orphaned accounts, broken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DNS, DHCP, DFS namespaces</w:t>
            </w:r>
          </w:p>
        </w:tc>
        <w:tc>
          <w:tcPr/>
          <w:p>
            <w:pPr>
              <w:pStyle w:val="Compact"/>
            </w:pPr>
            <w:r>
              <w:t xml:space="preserve">Namespace drift, split-horizon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PKI, RADIUS/NPS, certificate templates</w:t>
            </w:r>
          </w:p>
        </w:tc>
        <w:tc>
          <w:tcPr/>
          <w:p>
            <w:pPr>
              <w:pStyle w:val="Compact"/>
            </w:pPr>
            <w:r>
              <w:t xml:space="preserve">Broken authentication 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GPOs, conditional access equivalents</w:t>
            </w:r>
          </w:p>
        </w:tc>
        <w:tc>
          <w:tcPr/>
          <w:p>
            <w:pPr>
              <w:pStyle w:val="Compact"/>
            </w:pPr>
            <w:r>
              <w:t xml:space="preserve">Policy gap between AD and Entra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LDAP-dependent apps, legacy SSO</w:t>
            </w:r>
          </w:p>
        </w:tc>
        <w:tc>
          <w:tcPr/>
          <w:p>
            <w:pPr>
              <w:pStyle w:val="Compact"/>
            </w:pPr>
            <w:r>
              <w:t xml:space="preserve">Silent auth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Domain-joined endpoints, SCCM/Intune hybrid</w:t>
            </w:r>
          </w:p>
        </w:tc>
        <w:tc>
          <w:tcPr/>
          <w:p>
            <w:pPr>
              <w:pStyle w:val="Compact"/>
            </w:pPr>
            <w:r>
              <w:t xml:space="preserve">Device trust drift</w:t>
            </w:r>
          </w:p>
        </w:tc>
      </w:tr>
    </w:tbl>
    <w:p>
      <w:pPr>
        <w:pStyle w:val="BodyText"/>
      </w:pPr>
      <w:r>
        <w:t xml:space="preserve">Conventional migration engagements manage this complexity manually. The</w:t>
      </w:r>
      <w:r>
        <w:t xml:space="preserve"> </w:t>
      </w:r>
      <w:r>
        <w:t xml:space="preserve">reason is structural: there is no shared, tamper-evident record of the</w:t>
      </w:r>
      <w:r>
        <w:t xml:space="preserve"> </w:t>
      </w:r>
      <w:r>
        <w:t xml:space="preserve">pre-migration state, the migration events, or the post-migration compliance</w:t>
      </w:r>
      <w:r>
        <w:t xml:space="preserve"> </w:t>
      </w:r>
      <w:r>
        <w:t xml:space="preserve">posture that survives the engagement. Each engagement starts from scratch.</w:t>
      </w:r>
      <w:r>
        <w:t xml:space="preserve"> </w:t>
      </w:r>
      <w:r>
        <w:t xml:space="preserve">Findings are not reusable. Evidence for FedRAMP continuity is assembled</w:t>
      </w:r>
      <w:r>
        <w:t xml:space="preserve"> </w:t>
      </w:r>
      <w:r>
        <w:t xml:space="preserve">retrospectively.</w:t>
      </w:r>
    </w:p>
    <w:p>
      <w:pPr>
        <w:pStyle w:val="BodyText"/>
      </w:pPr>
      <w:r>
        <w:t xml:space="preserve">This is exactly the class of SSOT failure that federal data governance</w:t>
      </w:r>
      <w:r>
        <w:t xml:space="preserve"> </w:t>
      </w:r>
      <w:r>
        <w:t xml:space="preserve">programs exist to prevent — applied to the one domain those programs have</w:t>
      </w:r>
      <w:r>
        <w:t xml:space="preserve"> </w:t>
      </w:r>
      <w:r>
        <w:t xml:space="preserve">historically excluded: directory and identity infrastructure.</w:t>
      </w:r>
    </w:p>
    <w:p>
      <w:pPr>
        <w:pStyle w:val="BodyText"/>
      </w:pPr>
      <w:r>
        <w:t xml:space="preserve">UIAO’s</w:t>
      </w:r>
      <w:r>
        <w:t xml:space="preserve"> </w:t>
      </w:r>
      <w:hyperlink r:id="rId20">
        <w:r>
          <w:rPr>
            <w:rStyle w:val="VerbatimChar"/>
          </w:rPr>
          <w:t xml:space="preserve">ad-dependency-inventory.md</w:t>
        </w:r>
      </w:hyperlink>
      <w:r>
        <w:t xml:space="preserve"> </w:t>
      </w:r>
      <w:r>
        <w:t xml:space="preserve">enumerates eleven AD object types that must be governed through the migration</w:t>
      </w:r>
      <w:r>
        <w:t xml:space="preserve"> </w:t>
      </w:r>
      <w:r>
        <w:t xml:space="preserve">event, each with a named adapter contract in</w:t>
      </w:r>
      <w:r>
        <w:t xml:space="preserve"> </w:t>
      </w:r>
      <w:hyperlink r:id="rId21">
        <w:r>
          <w:rPr>
            <w:rStyle w:val="VerbatimChar"/>
          </w:rPr>
          <w:t xml:space="preserve">migration-adapter-registry.yaml</w:t>
        </w:r>
      </w:hyperlink>
      <w:r>
        <w:t xml:space="preserve">.</w:t>
      </w:r>
      <w:r>
        <w:t xml:space="preserve"> </w:t>
      </w:r>
      <w:r>
        <w:t xml:space="preserve">The inventory exists as canon so that successive engagements consume it</w:t>
      </w:r>
      <w:r>
        <w:t xml:space="preserve"> </w:t>
      </w:r>
      <w:r>
        <w:t xml:space="preserve">rather than rediscover it.</w:t>
      </w:r>
    </w:p>
    <w:p>
      <w:r>
        <w:pict>
          <ns5:rect style="width:0;height:1.5pt" ns6:hralign="center" ns6:hrstd="t" ns6:hr="t"/>
        </w:pict>
      </w:r>
    </w:p>
    <w:bookmarkEnd w:id="22"/>
    <w:bookmarkStart w:id="38" w:name="X005ab823f8853f6d0a82345ca3f9e9d760a2df4"/>
    <w:p>
      <w:pPr>
        <w:pStyle w:val="Heading3"/>
      </w:pPr>
      <w:r>
        <w:t xml:space="preserve">3. UIAO architecture: SSOT enforcement as a canon property</w:t>
      </w:r>
    </w:p>
    <w:p>
      <w:pPr>
        <w:pStyle w:val="FirstParagraph"/>
      </w:pPr>
      <w:r>
        <w:t xml:space="preserve">UIAO treats the identity namespace as a governance substrate, not a migration</w:t>
      </w:r>
      <w:r>
        <w:t xml:space="preserve"> </w:t>
      </w:r>
      <w:r>
        <w:t xml:space="preserve">target. Its core architectural mechanisms map directly to the federal SSOT</w:t>
      </w:r>
      <w:r>
        <w:t xml:space="preserve"> </w:t>
      </w:r>
      <w:r>
        <w:t xml:space="preserve">mechanisms described in agency data governance frameworks.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ederal-ssot-alignment-image-02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4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ssot-alignment-image-02-rosetta-stone-mapping-of-federal.png" id="2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Rosetta-stone mapping of federal SSOT mechanisms to UIAO canon capabilities</w:t>
            </w:r>
          </w:p>
          <w:bookmarkEnd w:id="26"/>
        </w:tc>
      </w:tr>
    </w:tbl>
    <w:bookmarkStart w:id="29" w:name="cor-schema-golden-record-mdm-hub"/>
    <w:p>
      <w:pPr>
        <w:pStyle w:val="Heading4"/>
      </w:pPr>
      <w:r>
        <w:t xml:space="preserve">3.1 COR schema → golden record / MDM hub</w:t>
      </w:r>
    </w:p>
    <w:p>
      <w:pPr>
        <w:pStyle w:val="FirstParagraph"/>
      </w:pPr>
      <w:r>
        <w:t xml:space="preserve">UIAO’s Canonical Object Record (COR) schema functions as the identity MDM</w:t>
      </w:r>
      <w:r>
        <w:t xml:space="preserve"> </w:t>
      </w:r>
      <w:r>
        <w:t xml:space="preserve">hub. Every principal — user, service account, device, group — has a single</w:t>
      </w:r>
      <w:r>
        <w:t xml:space="preserve"> </w:t>
      </w:r>
      <w:r>
        <w:t xml:space="preserve">authoritative representation. Downstream systems reference or synchronize to</w:t>
      </w:r>
      <w:r>
        <w:t xml:space="preserve"> </w:t>
      </w:r>
      <w:r>
        <w:t xml:space="preserve">the COR; they do not maintain independent copies. This mirrors the federal</w:t>
      </w:r>
      <w:r>
        <w:t xml:space="preserve"> </w:t>
      </w:r>
      <w:r>
        <w:t xml:space="preserve">MDM pattern exactly: a central hub with governed pipelines, not duplicated</w:t>
      </w:r>
      <w:r>
        <w:t xml:space="preserve"> </w:t>
      </w:r>
      <w:r>
        <w:t xml:space="preserve">instances.</w:t>
      </w:r>
    </w:p>
    <w:p>
      <w:pPr>
        <w:pStyle w:val="BodyText"/>
      </w:pPr>
      <w:r>
        <w:t xml:space="preserve">The OrgTree registry and the OrgPath extension attribute documented in</w:t>
      </w:r>
      <w:r>
        <w:t xml:space="preserve"> </w:t>
      </w:r>
      <w:hyperlink r:id="rId27">
        <w:r>
          <w:rPr>
            <w:rStyle w:val="VerbatimChar"/>
          </w:rPr>
          <w:t xml:space="preserve">UIAO_007</w:t>
        </w:r>
      </w:hyperlink>
      <w:r>
        <w:t xml:space="preserve"> </w:t>
      </w:r>
      <w:r>
        <w:t xml:space="preserve">are the canonical form of this hub for the user and device planes. The</w:t>
      </w:r>
      <w:r>
        <w:t xml:space="preserve"> </w:t>
      </w:r>
      <w:hyperlink r:id="rId28">
        <w:r>
          <w:rPr>
            <w:rStyle w:val="Hyperlink"/>
          </w:rPr>
          <w:t xml:space="preserve">UIAO OrgPath</w:t>
        </w:r>
      </w:hyperlink>
      <w:r>
        <w:t xml:space="preserve"> </w:t>
      </w:r>
      <w:r>
        <w:t xml:space="preserve">develops the substrate</w:t>
      </w:r>
      <w:r>
        <w:t xml:space="preserve"> </w:t>
      </w:r>
      <w:r>
        <w:t xml:space="preserve">end-to-end across every Microsoft surface that consumes the attribute.</w:t>
      </w:r>
    </w:p>
    <w:bookmarkEnd w:id="29"/>
    <w:bookmarkStart w:id="31" w:name="provenance-chain-data-lineage-and-audit"/>
    <w:p>
      <w:pPr>
        <w:pStyle w:val="Heading4"/>
      </w:pPr>
      <w:r>
        <w:t xml:space="preserve">3.2 Provenance chain → data lineage and audit</w:t>
      </w:r>
    </w:p>
    <w:p>
      <w:pPr>
        <w:pStyle w:val="FirstParagraph"/>
      </w:pPr>
      <w:r>
        <w:t xml:space="preserve">Every change to a COR entry is recorded in an immutable provenance chain —</w:t>
      </w:r>
      <w:r>
        <w:t xml:space="preserve"> </w:t>
      </w:r>
      <w:r>
        <w:t xml:space="preserve">who made the change, from what source, at what time, under which policy</w:t>
      </w:r>
      <w:r>
        <w:t xml:space="preserve"> </w:t>
      </w:r>
      <w:r>
        <w:t xml:space="preserve">authority. This is the identity-layer equivalent of data catalog lineage</w:t>
      </w:r>
      <w:r>
        <w:t xml:space="preserve"> </w:t>
      </w:r>
      <w:r>
        <w:t xml:space="preserve">tools, but embedded natively in the substrate rather than bolted on</w:t>
      </w:r>
      <w:r>
        <w:t xml:space="preserve"> </w:t>
      </w:r>
      <w:r>
        <w:t xml:space="preserve">externally.</w:t>
      </w:r>
    </w:p>
    <w:p>
      <w:pPr>
        <w:pStyle w:val="BodyText"/>
      </w:pPr>
      <w:r>
        <w:t xml:space="preserve">For FedRAMP Moderate environments, the provenance chain is the Evidence</w:t>
      </w:r>
      <w:r>
        <w:t xml:space="preserve"> </w:t>
      </w:r>
      <w:r>
        <w:t xml:space="preserve">Bundle: a continuous, tamper-evident audit trail that survives the migration</w:t>
      </w:r>
      <w:r>
        <w:t xml:space="preserve"> </w:t>
      </w:r>
      <w:r>
        <w:t xml:space="preserve">boundary. The substrate manifest at</w:t>
      </w:r>
      <w:r>
        <w:t xml:space="preserve"> </w:t>
      </w:r>
      <w:hyperlink r:id="rId30">
        <w:r>
          <w:rPr>
            <w:rStyle w:val="VerbatimChar"/>
          </w:rPr>
          <w:t xml:space="preserve">src/uiao/canon/substrate-manifest.yaml</w:t>
        </w:r>
      </w:hyperlink>
      <w:r>
        <w:t xml:space="preserve"> </w:t>
      </w:r>
      <w:r>
        <w:t xml:space="preserve">declares the modules whose changes feed it.</w:t>
      </w:r>
    </w:p>
    <w:bookmarkEnd w:id="31"/>
    <w:bookmarkStart w:id="33" w:name="X28c23a96b64382f810d177b4e66be60328f8187"/>
    <w:p>
      <w:pPr>
        <w:pStyle w:val="Heading4"/>
      </w:pPr>
      <w:r>
        <w:t xml:space="preserve">3.3 Drift Engine → automated redundancy and conflict detection</w:t>
      </w:r>
    </w:p>
    <w:p>
      <w:pPr>
        <w:pStyle w:val="FirstParagraph"/>
      </w:pPr>
      <w:r>
        <w:t xml:space="preserve">The UIAO drift taxonomy, formalized in</w:t>
      </w:r>
      <w:r>
        <w:t xml:space="preserve"> </w:t>
      </w:r>
      <w:hyperlink r:id="rId32">
        <w:r>
          <w:rPr>
            <w:rStyle w:val="VerbatimChar"/>
          </w:rPr>
          <w:t xml:space="preserve">16_DriftDetectionStandard</w:t>
        </w:r>
      </w:hyperlink>
      <w:r>
        <w:t xml:space="preserve">,</w:t>
      </w:r>
      <w:r>
        <w:t xml:space="preserve"> </w:t>
      </w:r>
      <w:r>
        <w:t xml:space="preserve">defines six drift classes —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DRIFT-SEMANTIC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DRIFT-AUTHZ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DRIFT-SSOT-CONTENTION</w:t>
      </w:r>
      <w:r>
        <w:t xml:space="preserve"> </w:t>
      </w:r>
      <w:r>
        <w:t xml:space="preserve">(ADR-074) — each with severity</w:t>
      </w:r>
      <w:r>
        <w:t xml:space="preserve"> </w:t>
      </w:r>
      <w:r>
        <w:t xml:space="preserve">classification (P1–P4) and a remediation contract.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DRIFT-AUTHZ</w:t>
      </w:r>
      <w:r>
        <w:t xml:space="preserve"> </w:t>
      </w:r>
      <w:r>
        <w:t xml:space="preserve">flag the conditions that compromise identity SSOT in</w:t>
      </w:r>
      <w:r>
        <w:t xml:space="preserve"> </w:t>
      </w:r>
      <w:r>
        <w:t xml:space="preserve">real time:</w:t>
      </w:r>
    </w:p>
    <w:p>
      <w:pPr>
        <w:pStyle w:val="Compact"/>
        <w:numPr>
          <w:ilvl w:val="0"/>
          <w:numId w:val="1002"/>
        </w:numPr>
      </w:pPr>
      <w:r>
        <w:t xml:space="preserve">Service accounts that exist in AD but have no COR representation (shadow</w:t>
      </w:r>
      <w:r>
        <w:t xml:space="preserve"> </w:t>
      </w:r>
      <w:r>
        <w:t xml:space="preserve">principals)</w:t>
      </w:r>
    </w:p>
    <w:p>
      <w:pPr>
        <w:pStyle w:val="Compact"/>
        <w:numPr>
          <w:ilvl w:val="0"/>
          <w:numId w:val="1002"/>
        </w:numPr>
      </w:pPr>
      <w:r>
        <w:t xml:space="preserve">Entra ID objects that diverge from their migrated COR baseline</w:t>
      </w:r>
      <w:r>
        <w:t xml:space="preserve"> </w:t>
      </w:r>
      <w:r>
        <w:t xml:space="preserve">(post-migration drift)</w:t>
      </w:r>
    </w:p>
    <w:p>
      <w:pPr>
        <w:pStyle w:val="Compact"/>
        <w:numPr>
          <w:ilvl w:val="0"/>
          <w:numId w:val="1002"/>
        </w:numPr>
      </w:pPr>
      <w:r>
        <w:t xml:space="preserve">Authorization policies in Entra Conditional Access that conflict with the</w:t>
      </w:r>
      <w:r>
        <w:t xml:space="preserve"> </w:t>
      </w:r>
      <w:r>
        <w:t xml:space="preserve">NIST 800-63 AAL requirements encoded in the COR</w:t>
      </w:r>
    </w:p>
    <w:p>
      <w:pPr>
        <w:pStyle w:val="FirstParagraph"/>
      </w:pPr>
      <w:r>
        <w:t xml:space="preserve">This is the automated equivalent of the redundancy auditing an agency has to</w:t>
      </w:r>
      <w:r>
        <w:t xml:space="preserve"> </w:t>
      </w:r>
      <w:r>
        <w:t xml:space="preserve">perform to keep a data inventory honest — a practice the inventory obligation</w:t>
      </w:r>
      <w:r>
        <w:t xml:space="preserve"> </w:t>
      </w:r>
      <w:r>
        <w:t xml:space="preserve">implies rather than a phrase any statute uses — applied in real time to the</w:t>
      </w:r>
      <w:r>
        <w:t xml:space="preserve"> </w:t>
      </w:r>
      <w:r>
        <w:t xml:space="preserve">identity layer, with the</w:t>
      </w:r>
      <w:r>
        <w:t xml:space="preserve"> </w:t>
      </w:r>
      <w:r>
        <w:t xml:space="preserve">drift class and severity carried as schema rather than narrative.</w:t>
      </w:r>
    </w:p>
    <w:bookmarkEnd w:id="33"/>
    <w:bookmarkStart w:id="35" w:name="X329b0f5e84b27148ced670ee0b3f9275bfbb4d9"/>
    <w:p>
      <w:pPr>
        <w:pStyle w:val="Heading4"/>
      </w:pPr>
      <w:r>
        <w:t xml:space="preserve">3.4 Six governance domains → federated governance with central standards</w:t>
      </w:r>
    </w:p>
    <w:p>
      <w:pPr>
        <w:pStyle w:val="FirstParagraph"/>
      </w:pPr>
      <w:r>
        <w:t xml:space="preserve">To be explicit up front, because the count is easy to conflate: this</w:t>
      </w:r>
      <w:r>
        <w:t xml:space="preserve"> </w:t>
      </w:r>
      <w:r>
        <w:t xml:space="preserve">paper reads UIAO’s substrate through six</w:t>
      </w:r>
      <w:r>
        <w:t xml:space="preserve"> </w:t>
      </w:r>
      <w:r>
        <w:rPr>
          <w:b/>
          <w:bCs/>
        </w:rPr>
        <w:t xml:space="preserve">governance domains</w:t>
      </w:r>
      <w:r>
        <w:t xml:space="preserve"> </w:t>
      </w:r>
      <w:r>
        <w:t xml:space="preserve">—</w:t>
      </w:r>
      <w:r>
        <w:t xml:space="preserve"> </w:t>
      </w:r>
      <w:r>
        <w:t xml:space="preserve">Identity, Authorization, Compliance, Migration, Evidence, and Operational.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competing or independent six-part taxonomy. They are</w:t>
      </w:r>
      <w:r>
        <w:t xml:space="preserve"> </w:t>
      </w:r>
      <w:r>
        <w:t xml:space="preserve">this paper’s governance-ownership reading of the canon’s own six</w:t>
      </w:r>
      <w:r>
        <w:t xml:space="preserve"> </w:t>
      </w:r>
      <w:r>
        <w:rPr>
          <w:b/>
          <w:bCs/>
        </w:rPr>
        <w:t xml:space="preserve">control</w:t>
      </w:r>
      <w:r>
        <w:rPr>
          <w:b/>
          <w:bCs/>
        </w:rPr>
        <w:t xml:space="preserve"> </w:t>
      </w:r>
      <w:r>
        <w:rPr>
          <w:b/>
          <w:bCs/>
        </w:rPr>
        <w:t xml:space="preserve">planes</w:t>
      </w:r>
      <w:r>
        <w:t xml:space="preserve"> </w:t>
      </w:r>
      <w:r>
        <w:t xml:space="preserve">— Identity, Addressing, Overlay, Telemetry, Management, Governance,</w:t>
      </w:r>
      <w:r>
        <w:t xml:space="preserve"> </w:t>
      </w:r>
      <w:r>
        <w:t xml:space="preserve">defined in</w:t>
      </w:r>
      <w:r>
        <w:t xml:space="preserve"> </w:t>
      </w:r>
      <w:hyperlink r:id="rId34">
        <w:r>
          <w:rPr>
            <w:rStyle w:val="Hyperlink"/>
          </w:rPr>
          <w:t xml:space="preserve">ADR-030</w:t>
        </w:r>
      </w:hyperlink>
      <w:r>
        <w:t xml:space="preserve"> </w:t>
      </w:r>
      <w:r>
        <w:t xml:space="preserve">— asking one question of each plane:</w:t>
      </w:r>
      <w:r>
        <w:t xml:space="preserve"> </w:t>
      </w:r>
      <w:r>
        <w:rPr>
          <w:i/>
          <w:iCs/>
        </w:rPr>
        <w:t xml:space="preserve">who owns accountability for it?</w:t>
      </w:r>
      <w:r>
        <w:t xml:space="preserve"> </w:t>
      </w:r>
      <w:r>
        <w:t xml:space="preserve">The</w:t>
      </w:r>
      <w:r>
        <w:t xml:space="preserve"> </w:t>
      </w:r>
      <w:r>
        <w:t xml:space="preserve">control planes describe what the substrate acts on; the governance domains</w:t>
      </w:r>
      <w:r>
        <w:t xml:space="preserve"> </w:t>
      </w:r>
      <w:r>
        <w:t xml:space="preserve">describe who governs that action, framed for the federated governance model</w:t>
      </w:r>
      <w:r>
        <w:t xml:space="preserve"> </w:t>
      </w:r>
      <w:r>
        <w:t xml:space="preserve">federal agencies already run (centralized standards, federated execution</w:t>
      </w:r>
      <w:r>
        <w:t xml:space="preserve"> </w:t>
      </w:r>
      <w:r>
        <w:t xml:space="preserve">across CDO, ISSO, and program-office ownership).</w:t>
      </w:r>
    </w:p>
    <w:p>
      <w:pPr>
        <w:pStyle w:val="BodyText"/>
      </w:pPr>
      <w:r>
        <w:t xml:space="preserve">The correspondence is not one-to-one, and presenting it as a clean 1:1 table</w:t>
      </w:r>
      <w:r>
        <w:t xml:space="preserve"> </w:t>
      </w:r>
      <w:r>
        <w:t xml:space="preserve">would overstate it. Identity is a direct match on both sides. Everywhere</w:t>
      </w:r>
      <w:r>
        <w:t xml:space="preserve"> </w:t>
      </w:r>
      <w:r>
        <w:t xml:space="preserve">else, a governance domain typically draws its accountability from more than</w:t>
      </w:r>
      <w:r>
        <w:t xml:space="preserve"> </w:t>
      </w:r>
      <w:r>
        <w:t xml:space="preserve">one control plane, or a control plane’s accountability splits across more</w:t>
      </w:r>
      <w:r>
        <w:t xml:space="preserve"> </w:t>
      </w:r>
      <w:r>
        <w:t xml:space="preserve">than one domain: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UIAO governance domain</w:t>
            </w:r>
          </w:p>
        </w:tc>
        <w:tc>
          <w:tcPr/>
          <w:p>
            <w:pPr>
              <w:pStyle w:val="Compact"/>
            </w:pPr>
            <w:r>
              <w:t xml:space="preserve">Federal governance equivalent</w:t>
            </w:r>
          </w:p>
        </w:tc>
        <w:tc>
          <w:tcPr/>
          <w:p>
            <w:pPr>
              <w:pStyle w:val="Compact"/>
            </w:pPr>
            <w:r>
              <w:t xml:space="preserve">Draws accountability primarily from (ADR-030 control plane)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domain</w:t>
            </w:r>
          </w:p>
        </w:tc>
        <w:tc>
          <w:tcPr/>
          <w:p>
            <w:pPr>
              <w:pStyle w:val="Compact"/>
            </w:pPr>
            <w:r>
              <w:t xml:space="preserve">CDO-designated identity SSOT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domain</w:t>
            </w:r>
          </w:p>
        </w:tc>
        <w:tc>
          <w:tcPr/>
          <w:p>
            <w:pPr>
              <w:pStyle w:val="Compact"/>
            </w:pPr>
            <w:r>
              <w:t xml:space="preserve">Data access policy standards</w:t>
            </w:r>
          </w:p>
        </w:tc>
        <w:tc>
          <w:tcPr/>
          <w:p>
            <w:pPr>
              <w:pStyle w:val="Compact"/>
            </w:pPr>
            <w:r>
              <w:t xml:space="preserve">Governance, with Identity supplying the assurance context it enforces against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domain</w:t>
            </w:r>
          </w:p>
        </w:tc>
        <w:tc>
          <w:tcPr/>
          <w:p>
            <w:pPr>
              <w:pStyle w:val="Compact"/>
            </w:pPr>
            <w:r>
              <w:t xml:space="preserve">FedRAMP / NIST continuous monitoring</w:t>
            </w:r>
          </w:p>
        </w:tc>
        <w:tc>
          <w:tcPr/>
          <w:p>
            <w:pPr>
              <w:pStyle w:val="Compact"/>
            </w:pPr>
            <w:r>
              <w:t xml:space="preserve">Governance, with Telemetry supplying the monitoring signal it evaluates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domain</w:t>
            </w:r>
          </w:p>
        </w:tc>
        <w:tc>
          <w:tcPr/>
          <w:p>
            <w:pPr>
              <w:pStyle w:val="Compact"/>
            </w:pPr>
            <w:r>
              <w:t xml:space="preserve">Transition governance and rollback authority</w:t>
            </w:r>
          </w:p>
        </w:tc>
        <w:tc>
          <w:tcPr/>
          <w:p>
            <w:pPr>
              <w:pStyle w:val="Compact"/>
            </w:pPr>
            <w:r>
              <w:t xml:space="preserve">Identity, Addressing, and Overlay jointly — migration is the event where all three change state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domain</w:t>
            </w:r>
          </w:p>
        </w:tc>
        <w:tc>
          <w:tcPr/>
          <w:p>
            <w:pPr>
              <w:pStyle w:val="Compact"/>
            </w:pPr>
            <w:r>
              <w:t xml:space="preserve">Audit, lineage, and reporting</w:t>
            </w:r>
          </w:p>
        </w:tc>
        <w:tc>
          <w:tcPr/>
          <w:p>
            <w:pPr>
              <w:pStyle w:val="Compact"/>
            </w:pPr>
            <w:r>
              <w:t xml:space="preserve">Telemetry for emission, Management for bundle assembly and OSCAL regeneration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domain</w:t>
            </w:r>
          </w:p>
        </w:tc>
        <w:tc>
          <w:tcPr/>
          <w:p>
            <w:pPr>
              <w:pStyle w:val="Compact"/>
            </w:pPr>
            <w:r>
              <w:t xml:space="preserve">Regional / silo operational continuity</w:t>
            </w:r>
          </w:p>
        </w:tc>
        <w:tc>
          <w:tcPr/>
          <w:p>
            <w:pPr>
              <w:pStyle w:val="Compact"/>
            </w:pPr>
            <w:r>
              <w:t xml:space="preserve">Management, with Addressing and Overlay for the legacy infrastructure that domain keeps running</w:t>
            </w:r>
          </w:p>
        </w:tc>
      </w:tr>
    </w:tbl>
    <w:p>
      <w:pPr>
        <w:pStyle w:val="BodyText"/>
      </w:pPr>
      <w:r>
        <w:t xml:space="preserve">Put plainly: Authorization and Compliance both lean primarily on the</w:t>
      </w:r>
      <w:r>
        <w:t xml:space="preserve"> </w:t>
      </w:r>
      <w:r>
        <w:t xml:space="preserve">Governance plane rather than each owning a distinct plane of their own;</w:t>
      </w:r>
      <w:r>
        <w:t xml:space="preserve"> </w:t>
      </w:r>
      <w:r>
        <w:t xml:space="preserve">Migration and Operational are each an accountability reading spread across</w:t>
      </w:r>
      <w:r>
        <w:t xml:space="preserve"> </w:t>
      </w:r>
      <w:r>
        <w:t xml:space="preserve">three planes rather than one. That is expected, not a flaw in the</w:t>
      </w:r>
      <w:r>
        <w:t xml:space="preserve"> </w:t>
      </w:r>
      <w:r>
        <w:t xml:space="preserve">overlay — a governance-ownership reading is not obligated to partition the</w:t>
      </w:r>
      <w:r>
        <w:t xml:space="preserve"> </w:t>
      </w:r>
      <w:r>
        <w:t xml:space="preserve">same six things the control planes partition; it exists to answer a</w:t>
      </w:r>
      <w:r>
        <w:t xml:space="preserve"> </w:t>
      </w:r>
      <w:r>
        <w:t xml:space="preserve">different question (who is accountable) over the same six-plane substrate.</w:t>
      </w:r>
      <w:r>
        <w:t xml:space="preserve"> </w:t>
      </w:r>
      <w:r>
        <w:t xml:space="preserve">Each domain is governed independently but references the same COR-based</w:t>
      </w:r>
      <w:r>
        <w:t xml:space="preserve"> </w:t>
      </w:r>
      <w:r>
        <w:t xml:space="preserve">SSOT. This is the</w:t>
      </w:r>
      <w:r>
        <w:t xml:space="preserve"> </w:t>
      </w:r>
      <w:r>
        <w:t xml:space="preserve">“hybrid governance”</w:t>
      </w:r>
      <w:r>
        <w:t xml:space="preserve"> </w:t>
      </w:r>
      <w:r>
        <w:t xml:space="preserve">model: centralized standards,</w:t>
      </w:r>
      <w:r>
        <w:t xml:space="preserve"> </w:t>
      </w:r>
      <w:r>
        <w:t xml:space="preserve">federated execution.</w:t>
      </w:r>
    </w:p>
    <w:bookmarkEnd w:id="35"/>
    <w:bookmarkStart w:id="37" w:name="X2d070e3921a869eaef60bb17b046ebdd0bd48e8"/>
    <w:p>
      <w:pPr>
        <w:pStyle w:val="Heading4"/>
      </w:pPr>
      <w:r>
        <w:t xml:space="preserve">3.5 No rip-and-replace — legacy infrastructure stays operational</w:t>
      </w:r>
    </w:p>
    <w:p>
      <w:pPr>
        <w:pStyle w:val="FirstParagraph"/>
      </w:pPr>
      <w:r>
        <w:t xml:space="preserve">UIAO does not require agencies to eliminate existing operational directory</w:t>
      </w:r>
      <w:r>
        <w:t xml:space="preserve"> </w:t>
      </w:r>
      <w:r>
        <w:t xml:space="preserve">instances. AD domain controllers, LDAP-dependent applications, and regional</w:t>
      </w:r>
      <w:r>
        <w:t xml:space="preserve"> </w:t>
      </w:r>
      <w:r>
        <w:t xml:space="preserve">authentication infrastructure can remain operational during and after</w:t>
      </w:r>
      <w:r>
        <w:t xml:space="preserve"> </w:t>
      </w:r>
      <w:r>
        <w:t xml:space="preserve">migration. UIAO layers governance</w:t>
      </w:r>
      <w:r>
        <w:t xml:space="preserve"> </w:t>
      </w:r>
      <w:r>
        <w:rPr>
          <w:i/>
          <w:iCs/>
        </w:rPr>
        <w:t xml:space="preserve">on top</w:t>
      </w:r>
      <w:r>
        <w:t xml:space="preserve"> </w:t>
      </w:r>
      <w:r>
        <w:t xml:space="preserve">— exactly as federal guidance</w:t>
      </w:r>
      <w:r>
        <w:t xml:space="preserve"> </w:t>
      </w:r>
      <w:r>
        <w:t xml:space="preserve">recommends layering MDM and cloud consolidation on top of legacy SQL</w:t>
      </w:r>
      <w:r>
        <w:t xml:space="preserve"> </w:t>
      </w:r>
      <w:r>
        <w:t xml:space="preserve">instances rather than replacing them wholesale. The nine adapter interfaces</w:t>
      </w:r>
      <w:r>
        <w:t xml:space="preserve"> </w:t>
      </w:r>
      <w:r>
        <w:t xml:space="preserve">under</w:t>
      </w:r>
      <w:r>
        <w:t xml:space="preserve"> </w:t>
      </w:r>
      <w:hyperlink r:id="rId36">
        <w:r>
          <w:rPr>
            <w:rStyle w:val="VerbatimChar"/>
          </w:rPr>
          <w:t xml:space="preserve">src/uiao/modernization/directory-migration/adapters/</w:t>
        </w:r>
      </w:hyperlink>
      <w:r>
        <w:t xml:space="preserve"> </w:t>
      </w:r>
      <w:r>
        <w:t xml:space="preserve">(IPAM, PKI, RADIUS, LDAP-proxy, sync-engine, device-management, NTP, DFS,</w:t>
      </w:r>
      <w:r>
        <w:t xml:space="preserve"> </w:t>
      </w:r>
      <w:r>
        <w:t xml:space="preserve">SQL Server)</w:t>
      </w:r>
      <w:r>
        <w:t xml:space="preserve"> </w:t>
      </w:r>
      <w:r>
        <w:t xml:space="preserve">are the explicit governance surface for the legacy infrastructure that</w:t>
      </w:r>
      <w:r>
        <w:t xml:space="preserve"> </w:t>
      </w:r>
      <w:r>
        <w:t xml:space="preserve">stays.</w:t>
      </w:r>
    </w:p>
    <w:p>
      <w:r>
        <w:pict>
          <ns5:rect style="width:0;height:1.5pt" ns6:hralign="center" ns6:hrstd="t" ns6:hr="t"/>
        </w:pict>
      </w:r>
    </w:p>
    <w:bookmarkEnd w:id="37"/>
    <w:bookmarkEnd w:id="38"/>
    <w:bookmarkStart w:id="45" w:name="X992672162c58a1b626560d1aa335d4ba3044a9e"/>
    <w:p>
      <w:pPr>
        <w:pStyle w:val="Heading3"/>
      </w:pPr>
      <w:r>
        <w:t xml:space="preserve">4. The M365 GCC Moderate compliance boundary problem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ederal-ssot-alignment-image-03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40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ssot-alignment-image-03-gcc-moderate-three-way-complianc.png" id="4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GCC-Moderate three-way compliance conflict triangle: TIC 3.0, CISA ZTMM, FedRAMP 20x</w:t>
            </w:r>
          </w:p>
          <w:bookmarkEnd w:id="42"/>
        </w:tc>
      </w:tr>
    </w:tbl>
    <w:p>
      <w:pPr>
        <w:pStyle w:val="BodyText"/>
      </w:pPr>
      <w:r>
        <w:t xml:space="preserve">There is a structural compliance problem that the open UIAO canon is</w:t>
      </w:r>
      <w:r>
        <w:t xml:space="preserve"> </w:t>
      </w:r>
      <w:r>
        <w:t xml:space="preserve">positioned to make explicit, and that is significantly underdocumented in</w:t>
      </w:r>
      <w:r>
        <w:t xml:space="preserve"> </w:t>
      </w:r>
      <w:r>
        <w:t xml:space="preserve">federal architecture guidance.</w:t>
      </w:r>
    </w:p>
    <w:p>
      <w:pPr>
        <w:pStyle w:val="BodyText"/>
      </w:pPr>
      <w:r>
        <w:t xml:space="preserve">M365 GCC Moderate runs on Azure Commercial infrastructure. This means:</w:t>
      </w:r>
    </w:p>
    <w:p>
      <w:pPr>
        <w:pStyle w:val="Compact"/>
        <w:numPr>
          <w:ilvl w:val="0"/>
          <w:numId w:val="1003"/>
        </w:numPr>
      </w:pPr>
      <w:r>
        <w:t xml:space="preserve">Telemetry and diagnostic data flow to Azure Commercial endpoints</w:t>
      </w:r>
    </w:p>
    <w:p>
      <w:pPr>
        <w:pStyle w:val="Compact"/>
        <w:numPr>
          <w:ilvl w:val="0"/>
          <w:numId w:val="1003"/>
        </w:numPr>
      </w:pPr>
      <w:r>
        <w:t xml:space="preserve">Microsoft Entra ID tenant control planes are shared with non-GovCloud</w:t>
      </w:r>
      <w:r>
        <w:t xml:space="preserve"> </w:t>
      </w:r>
      <w:r>
        <w:t xml:space="preserve">tenants</w:t>
      </w:r>
    </w:p>
    <w:p>
      <w:pPr>
        <w:pStyle w:val="Compact"/>
        <w:numPr>
          <w:ilvl w:val="0"/>
          <w:numId w:val="1003"/>
        </w:numPr>
      </w:pPr>
      <w:r>
        <w:t xml:space="preserve">Location signal of the fidelity TIC 3.0’s inspection model assumes is not</w:t>
      </w:r>
      <w:r>
        <w:t xml:space="preserve"> </w:t>
      </w:r>
      <w:r>
        <w:t xml:space="preserve">available at the GCC Moderate boundary</w:t>
      </w:r>
    </w:p>
    <w:p>
      <w:pPr>
        <w:pStyle w:val="FirstParagraph"/>
      </w:pPr>
      <w:r>
        <w:t xml:space="preserve">This creates a three-way compliance conflict: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TIC 3.0</w:t>
      </w:r>
      <w:r>
        <w:t xml:space="preserve"> </w:t>
      </w:r>
      <w:r>
        <w:t xml:space="preserve">positions the agency’s TIC to inspect cloud service traffic —</w:t>
      </w:r>
      <w:r>
        <w:t xml:space="preserve"> </w:t>
      </w:r>
      <w:r>
        <w:t xml:space="preserve">but GCC Moderate telemetry bypasses the inspection point. TIC 3.0 is</w:t>
      </w:r>
      <w:r>
        <w:t xml:space="preserve"> </w:t>
      </w:r>
      <w:r>
        <w:t xml:space="preserve">guidance and prescribes no product class, so this is a</w:t>
      </w:r>
      <w:r>
        <w:t xml:space="preserve"> </w:t>
      </w:r>
      <w:r>
        <w:rPr>
          <w:b/>
          <w:bCs/>
        </w:rPr>
        <w:t xml:space="preserve">capability gap</w:t>
      </w:r>
      <w:r>
        <w:rPr>
          <w:b/>
          <w:bCs/>
        </w:rPr>
        <w:t xml:space="preserve"> </w:t>
      </w:r>
      <w:r>
        <w:rPr>
          <w:b/>
          <w:bCs/>
        </w:rPr>
        <w:t xml:space="preserve">against its Security Capabilities Catalog</w:t>
      </w:r>
      <w:r>
        <w:t xml:space="preserve">, not an agency failing a</w:t>
      </w:r>
      <w:r>
        <w:t xml:space="preserve"> </w:t>
      </w:r>
      <w:r>
        <w:t xml:space="preserve">directive; stated as a directive violation it would not survive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CISA Zero Trust Maturity Model</w:t>
      </w:r>
      <w:r>
        <w:t xml:space="preserve"> </w:t>
      </w:r>
      <w:r>
        <w:t xml:space="preserve">requires verified device posture — but</w:t>
      </w:r>
      <w:r>
        <w:t xml:space="preserve"> </w:t>
      </w:r>
      <w:r>
        <w:t xml:space="preserve">hybrid-joined devices in a GCC Moderate tenant have reduced posture signal</w:t>
      </w:r>
      <w:r>
        <w:t xml:space="preserve"> </w:t>
      </w:r>
      <w:r>
        <w:t xml:space="preserve">fidelity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FedRAMP 20x</w:t>
      </w:r>
      <w:r>
        <w:t xml:space="preserve"> </w:t>
      </w:r>
      <w:r>
        <w:t xml:space="preserve">continuous monitoring requirements assume a clean cloud</w:t>
      </w:r>
      <w:r>
        <w:t xml:space="preserve"> </w:t>
      </w:r>
      <w:r>
        <w:t xml:space="preserve">boundary — which GCC Moderate does not provide for all data categories</w:t>
      </w:r>
    </w:p>
    <w:p>
      <w:pPr>
        <w:pStyle w:val="FirstParagraph"/>
      </w:pPr>
      <w:r>
        <w:t xml:space="preserve">Agencies migrating from AD to Entra ID into a GCC Moderate tenant are</w:t>
      </w:r>
      <w:r>
        <w:t xml:space="preserve"> </w:t>
      </w:r>
      <w:r>
        <w:t xml:space="preserve">structurally inheriting this boundary without a clear compliance remediation</w:t>
      </w:r>
      <w:r>
        <w:t xml:space="preserve"> </w:t>
      </w:r>
      <w:r>
        <w:t xml:space="preserve">path. The canon GCC Moderate boundary model at</w:t>
      </w:r>
      <w:r>
        <w:t xml:space="preserve"> </w:t>
      </w:r>
      <w:hyperlink r:id="rId43">
        <w:r>
          <w:rPr>
            <w:rStyle w:val="VerbatimChar"/>
          </w:rPr>
          <w:t xml:space="preserve">B1-gcc-moderate-boundary-model</w:t>
        </w:r>
      </w:hyperlink>
      <w:r>
        <w:t xml:space="preserve"> </w:t>
      </w:r>
      <w:r>
        <w:t xml:space="preserve">documents the structural shape, and its dedicated leaf</w:t>
      </w:r>
      <w:r>
        <w:t xml:space="preserve"> </w:t>
      </w:r>
      <w:hyperlink r:id="rId44">
        <w:r>
          <w:rPr>
            <w:rStyle w:val="Hyperlink"/>
          </w:rPr>
          <w:t xml:space="preserve">B1-1 — the GCC-Moderate three-way conflict</w:t>
        </w:r>
      </w:hyperlink>
      <w:r>
        <w:t xml:space="preserve"> </w:t>
      </w:r>
      <w:r>
        <w:t xml:space="preserve">formalizes this section’s conflict as the standing finding</w:t>
      </w:r>
      <w:r>
        <w:t xml:space="preserve"> </w:t>
      </w:r>
      <w:r>
        <w:rPr>
          <w:rStyle w:val="VerbatimChar"/>
        </w:rPr>
        <w:t xml:space="preserve">GCC-BOUNDARY-3WAY-001</w:t>
      </w:r>
      <w:r>
        <w:t xml:space="preserve">. UIAO’s Compliance governance domain is the</w:t>
      </w:r>
      <w:r>
        <w:t xml:space="preserve"> </w:t>
      </w:r>
      <w:r>
        <w:t xml:space="preserve">substrate where these boundary conditions are surfaced as compliance findings</w:t>
      </w:r>
      <w:r>
        <w:t xml:space="preserve"> </w:t>
      </w:r>
      <w:r>
        <w:t xml:space="preserve">with documented compensating controls, rather than left as ATO comments</w:t>
      </w:r>
      <w:r>
        <w:t xml:space="preserve"> </w:t>
      </w:r>
      <w:r>
        <w:t xml:space="preserve">discovered during 3PAO review.</w:t>
      </w:r>
    </w:p>
    <w:p>
      <w:pPr>
        <w:pStyle w:val="BodyText"/>
      </w:pPr>
      <w:r>
        <w:t xml:space="preserve">The boundary problem is precisely the kind of finding that vendor</w:t>
      </w:r>
      <w:r>
        <w:t xml:space="preserve"> </w:t>
      </w:r>
      <w:r>
        <w:t xml:space="preserve">documentation cannot honestly surface and that customer-side compliance teams</w:t>
      </w:r>
      <w:r>
        <w:t xml:space="preserve"> </w:t>
      </w:r>
      <w:r>
        <w:t xml:space="preserve">need an open framework to articulate.</w:t>
      </w:r>
    </w:p>
    <w:p>
      <w:r>
        <w:pict>
          <ns5:rect style="width:0;height:1.5pt" ns6:hralign="center" ns6:hrstd="t" ns6:hr="t"/>
        </w:pict>
      </w:r>
    </w:p>
    <w:bookmarkEnd w:id="45"/>
    <w:bookmarkStart w:id="46" w:name="alignment-to-federal-mandates"/>
    <w:p>
      <w:pPr>
        <w:pStyle w:val="Heading3"/>
      </w:pPr>
      <w:r>
        <w:t xml:space="preserve">5. Alignment to federal mandates</w:t>
      </w:r>
    </w:p>
    <w:p>
      <w:pPr>
        <w:pStyle w:val="FirstParagraph"/>
      </w:pPr>
      <w:r>
        <w:t xml:space="preserve">The substrate’s alignment is mechanical, not aspirational. Each federal</w:t>
      </w:r>
      <w:r>
        <w:t xml:space="preserve"> </w:t>
      </w:r>
      <w:r>
        <w:t xml:space="preserve">obligation maps to a specific UIAO capability that exists in canon. Read the</w:t>
      </w:r>
      <w:r>
        <w:t xml:space="preserve"> </w:t>
      </w:r>
      <w:r>
        <w:t xml:space="preserve">left column as</w:t>
      </w:r>
      <w:r>
        <w:t xml:space="preserve"> </w:t>
      </w:r>
      <w:r>
        <w:rPr>
          <w:i/>
          <w:iCs/>
        </w:rPr>
        <w:t xml:space="preserve">what the agency owes</w:t>
      </w:r>
      <w:r>
        <w:t xml:space="preserve"> </w:t>
      </w:r>
      <w:r>
        <w:t xml:space="preserve">and the middle as</w:t>
      </w:r>
      <w:r>
        <w:t xml:space="preserve"> </w:t>
      </w:r>
      <w:r>
        <w:rPr>
          <w:i/>
          <w:iCs/>
        </w:rPr>
        <w:t xml:space="preserve">how this substrate</w:t>
      </w:r>
      <w:r>
        <w:rPr>
          <w:i/>
          <w:iCs/>
        </w:rPr>
        <w:t xml:space="preserve"> </w:t>
      </w:r>
      <w:r>
        <w:rPr>
          <w:i/>
          <w:iCs/>
        </w:rPr>
        <w:t xml:space="preserve">discharges it</w:t>
      </w:r>
      <w:r>
        <w:t xml:space="preserve"> </w:t>
      </w:r>
      <w:r>
        <w:t xml:space="preserve">— not as a claim that the authority prescribes the mechanism.</w:t>
      </w:r>
      <w:r>
        <w:t xml:space="preserve"> </w:t>
      </w:r>
      <w:r>
        <w:t xml:space="preserve">Only the Zero Trust and FedRAMP rows carry directive force with their own</w:t>
      </w:r>
      <w:r>
        <w:t xml:space="preserve"> </w:t>
      </w:r>
      <w:r>
        <w:t xml:space="preserve">clocks; the data-governance rows are obligations whose method is the agency’s</w:t>
      </w:r>
      <w:r>
        <w:t xml:space="preserve"> </w:t>
      </w:r>
      <w:r>
        <w:t xml:space="preserve">to choose.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Federal obligation</w:t>
            </w:r>
          </w:p>
        </w:tc>
        <w:tc>
          <w:tcPr/>
          <w:p>
            <w:pPr>
              <w:pStyle w:val="Compact"/>
            </w:pPr>
            <w:r>
              <w:t xml:space="preserve">UIAO capability</w:t>
            </w:r>
          </w:p>
        </w:tc>
        <w:tc>
          <w:tcPr/>
          <w:p>
            <w:pPr>
              <w:pStyle w:val="Compact"/>
            </w:pPr>
            <w:r>
              <w:t xml:space="preserve">Canon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Act — Data Asset Inventories</w:t>
            </w:r>
          </w:p>
        </w:tc>
        <w:tc>
          <w:tcPr/>
          <w:p>
            <w:pPr>
              <w:pStyle w:val="Compact"/>
            </w:pPr>
            <w:r>
              <w:t xml:space="preserve">COR schema as authoritative identity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UIAO_007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substrate-manifest.yaml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M-25-05 — Open Data Plans, machine-readable publication</w:t>
            </w:r>
          </w:p>
        </w:tc>
        <w:tc>
          <w:tcPr/>
          <w:p>
            <w:pPr>
              <w:pStyle w:val="Compact"/>
            </w:pPr>
            <w:r>
              <w:t xml:space="preserve">Identity namespace as root SSOT; no parallel copies.</w:t>
            </w:r>
            <w:r>
              <w:t xml:space="preserve"> </w:t>
            </w:r>
            <w:r>
              <w:rPr>
                <w:b/>
                <w:bCs/>
              </w:rPr>
              <w:t xml:space="preserve">SSOT is UIAO’s architectural answer to this obligation, not a requirement the memo imposes</w:t>
            </w:r>
          </w:p>
        </w:tc>
        <w:tc>
          <w:tcPr/>
          <w:p>
            <w:pPr>
              <w:pStyle w:val="Compact"/>
            </w:pPr>
            <w:r>
              <w:t xml:space="preserve">UIAO OrgPath §1–4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CDO Data Governance Board requirements</w:t>
            </w:r>
          </w:p>
        </w:tc>
        <w:tc>
          <w:tcPr/>
          <w:p>
            <w:pPr>
              <w:pStyle w:val="Compact"/>
            </w:pPr>
            <w:r>
              <w:t xml:space="preserve">Six governance domains with ownership and accountability 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substrate-manifest.yaml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DAMA-DMBOK — Quality, Lineage, Metadata</w:t>
            </w:r>
          </w:p>
        </w:tc>
        <w:tc>
          <w:tcPr/>
          <w:p>
            <w:pPr>
              <w:pStyle w:val="Compact"/>
            </w:pPr>
            <w:r>
              <w:t xml:space="preserve">Provenance Chain + COR schema metadata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16_DriftDetectionStandard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Trust Executive Order</w:t>
            </w:r>
          </w:p>
        </w:tc>
        <w:tc>
          <w:tcPr/>
          <w:p>
            <w:pPr>
              <w:pStyle w:val="Compact"/>
            </w:pPr>
            <w:r>
              <w:t xml:space="preserve">Continuous identity verification via drift taxonomy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16_DriftDetectionStandard</w:t>
            </w:r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Moderate Continuous Monitoring</w:t>
            </w:r>
          </w:p>
        </w:tc>
        <w:tc>
          <w:tcPr/>
          <w:p>
            <w:pPr>
              <w:pStyle w:val="Compact"/>
            </w:pPr>
            <w:r>
              <w:t xml:space="preserve">Evidence Bundle schema, tamper-evident 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substrate-manifest.yaml</w:t>
            </w:r>
            <w:r>
              <w:t xml:space="preserve">, OSCAL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 3.0</w:t>
            </w:r>
          </w:p>
        </w:tc>
        <w:tc>
          <w:tcPr/>
          <w:p>
            <w:pPr>
              <w:pStyle w:val="Compact"/>
            </w:pPr>
            <w:r>
              <w:t xml:space="preserve">Compliance governance domain models GCC boundary constraints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B1-gcc-moderate-boundary-model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800-63 AAL requirements</w:t>
            </w:r>
          </w:p>
        </w:tc>
        <w:tc>
          <w:tcPr/>
          <w:p>
            <w:pPr>
              <w:pStyle w:val="Compact"/>
            </w:pPr>
            <w:r>
              <w:t xml:space="preserve">COR schema encodes authenticator assurance levels per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UIAO_007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DRIFT-IDENTITY</w:t>
            </w:r>
          </w:p>
        </w:tc>
      </w:tr>
    </w:tbl>
    <w:p>
      <w:r>
        <w:pict>
          <ns5:rect style="width:0;height:1.5pt" ns6:hralign="center" ns6:hrstd="t" ns6:hr="t"/>
        </w:pict>
      </w:r>
    </w:p>
    <w:bookmarkEnd w:id="46"/>
    <w:bookmarkStart w:id="47" w:name="Xd605cd49a260ce395e4c1836cccd190867e5525"/>
    <w:p>
      <w:pPr>
        <w:pStyle w:val="Heading3"/>
      </w:pPr>
      <w:r>
        <w:t xml:space="preserve">6. The shape of the current engagement model</w:t>
      </w:r>
    </w:p>
    <w:p>
      <w:pPr>
        <w:pStyle w:val="FirstParagraph"/>
      </w:pPr>
      <w:r>
        <w:t xml:space="preserve">Federal AD → Entra ID migration today follows a recognizable shape regardless</w:t>
      </w:r>
      <w:r>
        <w:t xml:space="preserve"> </w:t>
      </w:r>
      <w:r>
        <w:t xml:space="preserve">of which system integrator delivers the work:</w:t>
      </w:r>
    </w:p>
    <w:p>
      <w:pPr>
        <w:pStyle w:val="Compact"/>
        <w:numPr>
          <w:ilvl w:val="0"/>
          <w:numId w:val="1005"/>
        </w:numPr>
      </w:pPr>
      <w:r>
        <w:t xml:space="preserve">Manual discovery of the AD environment</w:t>
      </w:r>
    </w:p>
    <w:p>
      <w:pPr>
        <w:pStyle w:val="Compact"/>
        <w:numPr>
          <w:ilvl w:val="0"/>
          <w:numId w:val="1005"/>
        </w:numPr>
      </w:pPr>
      <w:r>
        <w:t xml:space="preserve">Migration runbooks specific to that engagement</w:t>
      </w:r>
    </w:p>
    <w:p>
      <w:pPr>
        <w:pStyle w:val="Compact"/>
        <w:numPr>
          <w:ilvl w:val="0"/>
          <w:numId w:val="1005"/>
        </w:numPr>
      </w:pPr>
      <w:r>
        <w:t xml:space="preserve">Execution with point-in-time tooling (ADMT, Microsoft Identity Manager,</w:t>
      </w:r>
      <w:r>
        <w:t xml:space="preserve"> </w:t>
      </w:r>
      <w:r>
        <w:t xml:space="preserve">Entra Connect)</w:t>
      </w:r>
    </w:p>
    <w:p>
      <w:pPr>
        <w:pStyle w:val="Compact"/>
        <w:numPr>
          <w:ilvl w:val="0"/>
          <w:numId w:val="1005"/>
        </w:numPr>
      </w:pPr>
      <w:r>
        <w:t xml:space="preserve">Hand-off documentation that describes what was done — not a living,</w:t>
      </w:r>
      <w:r>
        <w:t xml:space="preserve"> </w:t>
      </w:r>
      <w:r>
        <w:t xml:space="preserve">governed, auditable record of the current state</w:t>
      </w:r>
    </w:p>
    <w:p>
      <w:pPr>
        <w:pStyle w:val="FirstParagraph"/>
      </w:pPr>
      <w:r>
        <w:t xml:space="preserve">The result is that every re-engagement starts from scratch. Drift is</w:t>
      </w:r>
      <w:r>
        <w:t xml:space="preserve"> </w:t>
      </w:r>
      <w:r>
        <w:t xml:space="preserve">invisible until it becomes an incident. FedRAMP evidence is assembled</w:t>
      </w:r>
      <w:r>
        <w:t xml:space="preserve"> </w:t>
      </w:r>
      <w:r>
        <w:t xml:space="preserve">retrospectively. The SSOT exists in a project binder, not a governed system.</w:t>
      </w:r>
    </w:p>
    <w:p>
      <w:pPr>
        <w:pStyle w:val="BodyText"/>
      </w:pPr>
      <w:r>
        <w:t xml:space="preserve">The open UIAO canon makes explicit what current engagements do tacitly, and</w:t>
      </w:r>
      <w:r>
        <w:t xml:space="preserve"> </w:t>
      </w:r>
      <w:r>
        <w:t xml:space="preserve">produces FedRAMP-grade evidence as a byproduct of normal operations rather</w:t>
      </w:r>
      <w:r>
        <w:t xml:space="preserve"> </w:t>
      </w:r>
      <w:r>
        <w:t xml:space="preserve">than as a deliverable assembled at the end. The canon is freely available;</w:t>
      </w:r>
      <w:r>
        <w:t xml:space="preserve"> </w:t>
      </w:r>
      <w:r>
        <w:t xml:space="preserve">its value to a system integrator engagement is that the engagement consumes</w:t>
      </w:r>
      <w:r>
        <w:t xml:space="preserve"> </w:t>
      </w:r>
      <w:r>
        <w:t xml:space="preserve">existing canon rather than rebuilding it, and the evidence that survives the</w:t>
      </w:r>
      <w:r>
        <w:t xml:space="preserve"> </w:t>
      </w:r>
      <w:r>
        <w:t xml:space="preserve">engagement is structured for the next FedRAMP cycle.</w:t>
      </w:r>
    </w:p>
    <w:p>
      <w:r>
        <w:pict>
          <ns5:rect style="width:0;height:1.5pt" ns6:hralign="center" ns6:hrstd="t" ns6:hr="t"/>
        </w:pict>
      </w:r>
    </w:p>
    <w:bookmarkEnd w:id="47"/>
    <w:bookmarkStart w:id="48" w:name="X2c713c7dbe8e9c3b3d8eb974317d67b86a0637e"/>
    <w:p>
      <w:pPr>
        <w:pStyle w:val="Heading3"/>
      </w:pPr>
      <w:r>
        <w:t xml:space="preserve">7. Implementation posture: phased, no rip-and-replace</w:t>
      </w:r>
    </w:p>
    <w:p>
      <w:pPr>
        <w:pStyle w:val="FirstParagraph"/>
      </w:pPr>
      <w:r>
        <w:t xml:space="preserve">Consistent with federal data governance practice (assess → design → pilot →</w:t>
      </w:r>
      <w:r>
        <w:t xml:space="preserve"> </w:t>
      </w:r>
      <w:r>
        <w:t xml:space="preserve">scale → optimize), UIAO deployments follow a phased posture: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Assess</w:t>
      </w:r>
      <w:r>
        <w:t xml:space="preserve"> </w:t>
      </w:r>
      <w:r>
        <w:t xml:space="preserve">— COR schema populated from existing AD; drift taxonomy</w:t>
      </w:r>
      <w:r>
        <w:t xml:space="preserve"> </w:t>
      </w:r>
      <w:r>
        <w:t xml:space="preserve">establishes the pre-migration baseline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</w:t>
      </w:r>
      <w:r>
        <w:t xml:space="preserve"> </w:t>
      </w:r>
      <w:r>
        <w:t xml:space="preserve">— Governance domains activated; SSOT designations encoded;</w:t>
      </w:r>
      <w:r>
        <w:t xml:space="preserve"> </w:t>
      </w:r>
      <w:r>
        <w:t xml:space="preserve">Evidence Bundle begins accumulating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Migrate</w:t>
      </w:r>
      <w:r>
        <w:t xml:space="preserve"> </w:t>
      </w:r>
      <w:r>
        <w:t xml:space="preserve">— Identity objects migrated under governance; provenance</w:t>
      </w:r>
      <w:r>
        <w:t xml:space="preserve"> </w:t>
      </w:r>
      <w:r>
        <w:t xml:space="preserve">chain records every transition event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— Post-migration drift detection confirms Entra ID state</w:t>
      </w:r>
      <w:r>
        <w:t xml:space="preserve"> </w:t>
      </w:r>
      <w:r>
        <w:t xml:space="preserve">matches the COR baseline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Operate</w:t>
      </w:r>
      <w:r>
        <w:t xml:space="preserve"> </w:t>
      </w:r>
      <w:r>
        <w:t xml:space="preserve">— Continuous monitoring; adapter interfaces for IPAM, PKI,</w:t>
      </w:r>
      <w:r>
        <w:t xml:space="preserve"> </w:t>
      </w:r>
      <w:r>
        <w:t xml:space="preserve">RADIUS, LDAP-proxy, DFS remain connected</w:t>
      </w:r>
    </w:p>
    <w:p>
      <w:pPr>
        <w:pStyle w:val="FirstParagraph"/>
      </w:pPr>
      <w:r>
        <w:t xml:space="preserve">At no phase is the existing operational environment disrupted before</w:t>
      </w:r>
      <w:r>
        <w:t xml:space="preserve"> </w:t>
      </w:r>
      <w:r>
        <w:t xml:space="preserve">governance is in place. This is the federal</w:t>
      </w:r>
      <w:r>
        <w:t xml:space="preserve"> </w:t>
      </w:r>
      <w:r>
        <w:t xml:space="preserve">“think big, start small”</w:t>
      </w:r>
      <w:r>
        <w:t xml:space="preserve"> </w:t>
      </w:r>
      <w:r>
        <w:t xml:space="preserve">principle applied to identity infrastructure.</w:t>
      </w:r>
    </w:p>
    <w:p>
      <w:r>
        <w:pict>
          <ns5:rect style="width:0;height:1.5pt" ns6:hralign="center" ns6:hrstd="t" ns6:hr="t"/>
        </w:pict>
      </w:r>
    </w:p>
    <w:bookmarkEnd w:id="48"/>
    <w:bookmarkStart w:id="49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Federal agencies are not lacking for governance frameworks, CDO mandates, or</w:t>
      </w:r>
      <w:r>
        <w:t xml:space="preserve"> </w:t>
      </w:r>
      <w:r>
        <w:t xml:space="preserve">modernization directives. What they lack is an open framework that applies</w:t>
      </w:r>
      <w:r>
        <w:t xml:space="preserve"> </w:t>
      </w:r>
      <w:r>
        <w:t xml:space="preserve">those frameworks to the identity layer — the one domain that underlies every</w:t>
      </w:r>
      <w:r>
        <w:t xml:space="preserve"> </w:t>
      </w:r>
      <w:r>
        <w:t xml:space="preserve">other data governance decision — and does so in a way that survives the AD →</w:t>
      </w:r>
      <w:r>
        <w:t xml:space="preserve"> </w:t>
      </w:r>
      <w:r>
        <w:t xml:space="preserve">Entra ID transition with a continuous, tamper-evident, FedRAMP-grade SSOT.</w:t>
      </w:r>
    </w:p>
    <w:p>
      <w:pPr>
        <w:pStyle w:val="BodyText"/>
      </w:pPr>
      <w:r>
        <w:t xml:space="preserve">UIAO is that framework. It is not a migration tool that adds governance</w:t>
      </w:r>
      <w:r>
        <w:t xml:space="preserve"> </w:t>
      </w:r>
      <w:r>
        <w:t xml:space="preserve">features. It is an open governance substrate that describes how migrations</w:t>
      </w:r>
      <w:r>
        <w:t xml:space="preserve"> </w:t>
      </w:r>
      <w:r>
        <w:t xml:space="preserve">are executed as governed events, and how the identity foundation of the Azure</w:t>
      </w:r>
      <w:r>
        <w:t xml:space="preserve"> </w:t>
      </w:r>
      <w:r>
        <w:t xml:space="preserve">SSOT stack is continuously verified once that migration is complete. The</w:t>
      </w:r>
      <w:r>
        <w:t xml:space="preserve"> </w:t>
      </w:r>
      <w:r>
        <w:t xml:space="preserve">canon is the deliverable; the implementation references are reference</w:t>
      </w:r>
      <w:r>
        <w:t xml:space="preserve"> </w:t>
      </w:r>
      <w:r>
        <w:t xml:space="preserve">implementations that adopters extend, fork, or replace as their environments</w:t>
      </w:r>
      <w:r>
        <w:t xml:space="preserve"> </w:t>
      </w:r>
      <w:r>
        <w:t xml:space="preserve">require.</w:t>
      </w:r>
    </w:p>
    <w:p>
      <w:pPr>
        <w:pStyle w:val="BodyText"/>
      </w:pPr>
      <w:r>
        <w:t xml:space="preserve">For the explicit alignment between this canon and the Microsoft Fabric +</w:t>
      </w:r>
      <w:r>
        <w:t xml:space="preserve"> </w:t>
      </w:r>
      <w:r>
        <w:t xml:space="preserve">OneLake + Purview Azure SSOT stack — including the Fabric Domain bridge that</w:t>
      </w:r>
      <w:r>
        <w:t xml:space="preserve"> </w:t>
      </w:r>
      <w:r>
        <w:t xml:space="preserve">extends OrgPath into the data plane — see</w:t>
      </w:r>
      <w:r>
        <w:t xml:space="preserve"> </w:t>
      </w:r>
      <w:hyperlink r:id="rId13">
        <w:r>
          <w:rPr>
            <w:rStyle w:val="Hyperlink"/>
          </w:rPr>
          <w:t xml:space="preserve">Chapter 07a of the UIAO OrgPath</w:t>
        </w:r>
      </w:hyperlink>
      <w:r>
        <w:t xml:space="preserve">.</w:t>
      </w:r>
    </w:p>
    <w:bookmarkEnd w:id="49"/>
    <w:bookmarkEnd w:id="50"/>
    <w:bookmarkEnd w:id="51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14:56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7" Target="https://github.com/WhalerMike/uiao/blob/main/src/uiao/canon/UIAO_007_OrgTree_Modernization_AD_to_EntraID_v1.0.md" TargetMode="External" /><Relationship Type="http://schemas.openxmlformats.org/officeDocument/2006/relationships/hyperlink" Id="rId30" Target="https://github.com/WhalerMike/uiao/blob/main/src/uiao/canon/substrate-manifest.yaml" TargetMode="External" /><Relationship Type="http://schemas.openxmlformats.org/officeDocument/2006/relationships/hyperlink" Id="rId20" Target="https://github.com/WhalerMike/uiao/blob/main/src/uiao/modernization/directory-migration/ad-dependency-inventory.md" TargetMode="External" /><Relationship Type="http://schemas.openxmlformats.org/officeDocument/2006/relationships/hyperlink" Id="rId36" Target="https://github.com/WhalerMike/uiao/blob/main/src/uiao/modernization/directory-migration/adapters" TargetMode="External" /><Relationship Type="http://schemas.openxmlformats.org/officeDocument/2006/relationships/hyperlink" Id="rId21" Target="https://github.com/WhalerMike/uiao/blob/main/src/uiao/modernization/directory-migration/migration-adapter-registry.yaml" TargetMode="External" /><Relationship Type="http://schemas.openxmlformats.org/officeDocument/2006/relationships/hyperlink" Id="rId34" Target="https://whalermike.github.io/uiao/adr/adr-030-pre-uiao-terminology-reconciliation.html" TargetMode="External" /><Relationship Type="http://schemas.openxmlformats.org/officeDocument/2006/relationships/hyperlink" Id="rId44" Target="https://whalermike.github.io/uiao/customer-documents/orgcomp-series/boundary/B1-1-gcc-moderate-three-way-conflict.html" TargetMode="External" /><Relationship Type="http://schemas.openxmlformats.org/officeDocument/2006/relationships/hyperlink" Id="rId43" Target="https://whalermike.github.io/uiao/customer-documents/orgcomp-series/boundary/B1-gcc-moderate-boundary-model.html" TargetMode="External" /><Relationship Type="http://schemas.openxmlformats.org/officeDocument/2006/relationships/hyperlink" Id="rId13" Target="https://whalermike.github.io/uiao/customer-documents/orgpath-narrative/Book_07a.html" TargetMode="External" /><Relationship Type="http://schemas.openxmlformats.org/officeDocument/2006/relationships/hyperlink" Id="rId28" Target="https://whalermike.github.io/uiao/customer-documents/orgpath-narrative/index.html" TargetMode="External" /><Relationship Type="http://schemas.openxmlformats.org/officeDocument/2006/relationships/hyperlink" Id="rId32" Target="https://whalermike.github.io/uiao/docs/16_DriftDetectionStandard.html" TargetMode="External" /><Relationship Type="http://schemas.openxmlformats.org/officeDocument/2006/relationships/hyperlink" Id="rId12" Target="https://www.whitehouse.gov/omb/information-for-agencies/memoranda/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WhalerMike/uiao/blob/main/src/uiao/canon/UIAO_007_OrgTree_Modernization_AD_to_EntraID_v1.0.md" TargetMode="External" /><Relationship Type="http://schemas.openxmlformats.org/officeDocument/2006/relationships/hyperlink" Id="rId30" Target="https://github.com/WhalerMike/uiao/blob/main/src/uiao/canon/substrate-manifest.yaml" TargetMode="External" /><Relationship Type="http://schemas.openxmlformats.org/officeDocument/2006/relationships/hyperlink" Id="rId20" Target="https://github.com/WhalerMike/uiao/blob/main/src/uiao/modernization/directory-migration/ad-dependency-inventory.md" TargetMode="External" /><Relationship Type="http://schemas.openxmlformats.org/officeDocument/2006/relationships/hyperlink" Id="rId36" Target="https://github.com/WhalerMike/uiao/blob/main/src/uiao/modernization/directory-migration/adapters" TargetMode="External" /><Relationship Type="http://schemas.openxmlformats.org/officeDocument/2006/relationships/hyperlink" Id="rId21" Target="https://github.com/WhalerMike/uiao/blob/main/src/uiao/modernization/directory-migration/migration-adapter-registry.yaml" TargetMode="External" /><Relationship Type="http://schemas.openxmlformats.org/officeDocument/2006/relationships/hyperlink" Id="rId34" Target="https://whalermike.github.io/uiao/adr/adr-030-pre-uiao-terminology-reconciliation.html" TargetMode="External" /><Relationship Type="http://schemas.openxmlformats.org/officeDocument/2006/relationships/hyperlink" Id="rId44" Target="https://whalermike.github.io/uiao/customer-documents/orgcomp-series/boundary/B1-1-gcc-moderate-three-way-conflict.html" TargetMode="External" /><Relationship Type="http://schemas.openxmlformats.org/officeDocument/2006/relationships/hyperlink" Id="rId43" Target="https://whalermike.github.io/uiao/customer-documents/orgcomp-series/boundary/B1-gcc-moderate-boundary-model.html" TargetMode="External" /><Relationship Type="http://schemas.openxmlformats.org/officeDocument/2006/relationships/hyperlink" Id="rId13" Target="https://whalermike.github.io/uiao/customer-documents/orgpath-narrative/Book_07a.html" TargetMode="External" /><Relationship Type="http://schemas.openxmlformats.org/officeDocument/2006/relationships/hyperlink" Id="rId28" Target="https://whalermike.github.io/uiao/customer-documents/orgpath-narrative/index.html" TargetMode="External" /><Relationship Type="http://schemas.openxmlformats.org/officeDocument/2006/relationships/hyperlink" Id="rId32" Target="https://whalermike.github.io/uiao/docs/16_DriftDetectionStandard.html" TargetMode="External" /><Relationship Type="http://schemas.openxmlformats.org/officeDocument/2006/relationships/hyperlink" Id="rId12" Target="https://www.whitehouse.gov/omb/information-for-agencies/memorand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SSOT Alignment — UIAO as the Identity Governance Substrate for AD → Entra ID Migration</dc:title>
  <dc:creator>Michael Stratton</dc:creator>
  <cp:keywords/>
  <dcterms:created xsi:type="dcterms:W3CDTF">2026-09-16T14:56:07Z</dcterms:created>
  <dcterms:modified xsi:type="dcterms:W3CDTF">2026-09-16T14:56:07Z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reference">
    <vt:lpwstr/>
  </property>
  <property fmtid="{D5CDD505-2E9C-101B-9397-08002B2CF9AE}" pid="7" name="canon-source">
    <vt:lpwstr>src/uiao/canon/substrate-manifest.yaml</vt:lpwstr>
  </property>
  <property fmtid="{D5CDD505-2E9C-101B-9397-08002B2CF9AE}" pid="8" name="created-at">
    <vt:lpwstr>2026-06-18</vt:lpwstr>
  </property>
  <property fmtid="{D5CDD505-2E9C-101B-9397-08002B2CF9AE}" pid="9" name="date">
    <vt:lpwstr>2026-06-01</vt:lpwstr>
  </property>
  <property fmtid="{D5CDD505-2E9C-101B-9397-08002B2CF9AE}" pid="10" name="derived-from">
    <vt:lpwstr>uiao canon</vt:lpwstr>
  </property>
  <property fmtid="{D5CDD505-2E9C-101B-9397-08002B2CF9AE}" pid="11" name="doc-type">
    <vt:lpwstr>whitepaper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fecycle">
    <vt:lpwstr>adopted</vt:lpwstr>
  </property>
  <property fmtid="{D5CDD505-2E9C-101B-9397-08002B2CF9AE}" pid="17" name="lifecycle_review">
    <vt:lpwstr>2026-11-22</vt:lpwstr>
  </property>
  <property fmtid="{D5CDD505-2E9C-101B-9397-08002B2CF9AE}" pid="18" name="mermaid">
    <vt:lpwstr/>
  </property>
  <property fmtid="{D5CDD505-2E9C-101B-9397-08002B2CF9AE}" pid="19" name="status">
    <vt:lpwstr>Active</vt:lpwstr>
  </property>
  <property fmtid="{D5CDD505-2E9C-101B-9397-08002B2CF9AE}" pid="20" name="subtitle">
    <vt:lpwstr>How the open UIAO canon composes Evidence Act, M-25-05, CDO, DAMA-DMBOK, Zero Trust, TIC 3.0, NIST 800-63 and FedRAMP 20x obligations over the identity layer — SSOT as the architectural response, not a mandate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1.3</vt:lpwstr>
  </property>
</Properties>
</file>