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.png" ContentType="image/png"/>
  <Override PartName="/word/media/rId9.png" ContentType="image/png"/>
  <Override PartName="/word/media/rId24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Choose Your Partners — The OrgPath Composability Matrix</w:t>
      </w:r>
    </w:p>
    <w:p>
      <w:pPr>
        <w:pStyle w:val="Subtitle"/>
      </w:pPr>
      <w:r>
        <w:t xml:space="preserve">What governs what, with which IdP, and what each piece needs the others for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orgpath-diagram-01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images/orgpath-composability-matrix-diagram-01-axis1-identity-targets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OrgPath composability — Axis 1 identity targets and Axis 2 capability packs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4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Buyers assume UIAO is a monolith you adopt whole, which makes</w:t>
            </w:r>
            <w:r>
              <w:t xml:space="preserve"> </w:t>
            </w:r>
            <w:r>
              <w:t xml:space="preserve">build-vs-buy look binary. Without a legible map of what is active, proposed,</w:t>
            </w:r>
            <w:r>
              <w:t xml:space="preserve"> </w:t>
            </w:r>
            <w:r>
              <w:t xml:space="preserve">or not applicable per identity target and capability pack, the</w:t>
            </w:r>
            <w:r>
              <w:t xml:space="preserve"> </w:t>
            </w:r>
            <w:r>
              <w:rPr>
                <w:i/>
                <w:iCs/>
              </w:rPr>
              <w:t xml:space="preserve">deployed</w:t>
            </w:r>
            <w:r>
              <w:t xml:space="preserve"> </w:t>
            </w:r>
            <w:r>
              <w:t xml:space="preserve">surface and the</w:t>
            </w:r>
            <w:r>
              <w:t xml:space="preserve"> </w:t>
            </w:r>
            <w:r>
              <w:rPr>
                <w:i/>
                <w:iCs/>
              </w:rPr>
              <w:t xml:space="preserve">designed</w:t>
            </w:r>
            <w:r>
              <w:t xml:space="preserve"> </w:t>
            </w:r>
            <w:r>
              <w:t xml:space="preserve">surface get confused in both directions.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OrgPath (UIAO_151) is the à-la-carte core; everything else is an</w:t>
            </w:r>
            <w:r>
              <w:t xml:space="preserve"> </w:t>
            </w:r>
            <w:r>
              <w:t xml:space="preserve">additive profile or adapter (ADR-098). Two independent axes — where identity</w:t>
            </w:r>
            <w:r>
              <w:t xml:space="preserve"> </w:t>
            </w:r>
            <w:r>
              <w:t xml:space="preserve">lives, which capabilities are switched on — laid out as a status-labelled grid</w:t>
            </w:r>
            <w:r>
              <w:t xml:space="preserve"> </w:t>
            </w:r>
            <w:r>
              <w:t xml:space="preserve">with three worked stacks and the dependency truths: OrgPath needs no single</w:t>
            </w:r>
            <w:r>
              <w:t xml:space="preserve"> </w:t>
            </w:r>
            <w:r>
              <w:t xml:space="preserve">vendor, SailPoint is an optional vertical, and enforcement reads facets</w:t>
            </w:r>
            <w:r>
              <w:t xml:space="preserve"> </w:t>
            </w:r>
            <w:r>
              <w:t xml:space="preserve">through whichever storage profile is present.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Weight the matrix by status, not by row count — today’s write-capable</w:t>
            </w:r>
            <w:r>
              <w:t xml:space="preserve"> </w:t>
            </w:r>
            <w:r>
              <w:t xml:space="preserve">path is Microsoft/Entra plus read-only assessment. Pick a stack from the grid,</w:t>
            </w:r>
            <w:r>
              <w:t xml:space="preserve"> </w:t>
            </w:r>
            <w:r>
              <w:t xml:space="preserve">and where a target you need is marked</w:t>
            </w:r>
            <w:r>
              <w:t xml:space="preserve"> </w:t>
            </w:r>
            <w:r>
              <w:rPr>
                <w:i/>
                <w:iCs/>
              </w:rPr>
              <w:t xml:space="preserve">Proposed</w:t>
            </w:r>
            <w:r>
              <w:t xml:space="preserve">, ask for its live-tenant</w:t>
            </w:r>
            <w:r>
              <w:t xml:space="preserve"> </w:t>
            </w:r>
            <w:r>
              <w:t xml:space="preserve">conformance run before treating it as delivered.</w:t>
            </w:r>
          </w:p>
          <w:p/>
        </w:tc>
      </w:tr>
    </w:tbl>
    <w:bookmarkStart w:id="17" w:name="X099acc8911e9a54e4ea22a28024e3c0baa3bde8"/>
    <w:p>
      <w:pPr>
        <w:pStyle w:val="Heading2"/>
      </w:pPr>
      <w:r>
        <w:t xml:space="preserve">The substrate is à la carte by construction</w:t>
      </w:r>
    </w:p>
    <w:p>
      <w:pPr>
        <w:pStyle w:val="FirstParagraph"/>
      </w:pPr>
      <w:r>
        <w:t xml:space="preserve">UIAO is not a monolith you adopt whole. OrgPath — the 15-facet organizational</w:t>
      </w:r>
      <w:r>
        <w:t xml:space="preserve"> </w:t>
      </w:r>
      <w:r>
        <w:t xml:space="preserve">placement model (UIAO_151) — is the core substrate, and everything else is a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or an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that snaps onto it.</w:t>
      </w:r>
      <w:r>
        <w:t xml:space="preserve"> </w:t>
      </w:r>
      <w:hyperlink r:id="rId16">
        <w:r>
          <w:rPr>
            <w:rStyle w:val="Hyperlink"/>
          </w:rPr>
          <w:t xml:space="preserve">ADR-098</w:t>
        </w:r>
      </w:hyperlink>
      <w:r>
        <w:t xml:space="preserve"> </w:t>
      </w:r>
      <w:r>
        <w:t xml:space="preserve">states the rule directly:</w:t>
      </w:r>
      <w:r>
        <w:t xml:space="preserve"> </w:t>
      </w:r>
      <w:r>
        <w:rPr>
          <w:i/>
          <w:iCs/>
        </w:rPr>
        <w:t xml:space="preserve">“New profiles are additive — a vendor is onboarded by</w:t>
      </w:r>
      <w:r>
        <w:rPr>
          <w:i/>
          <w:iCs/>
        </w:rPr>
        <w:t xml:space="preserve"> </w:t>
      </w:r>
      <w:r>
        <w:rPr>
          <w:i/>
          <w:iCs/>
        </w:rPr>
        <w:t xml:space="preserve">writing a profile (locator map) + a transport… No core change is required.”</w:t>
      </w:r>
    </w:p>
    <w:p>
      <w:pPr>
        <w:pStyle w:val="BodyText"/>
      </w:pPr>
      <w:r>
        <w:t xml:space="preserve">That means a customer chooses along two independent axes: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identity lives</w:t>
      </w:r>
      <w:r>
        <w:t xml:space="preserve"> </w:t>
      </w:r>
      <w:r>
        <w:t xml:space="preserve">— which IdP / directory / cloud stores the facets.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capabilities are switched on</w:t>
      </w:r>
      <w:r>
        <w:t xml:space="preserve"> </w:t>
      </w:r>
      <w:r>
        <w:t xml:space="preserve">— drift detection, Zero Trust</w:t>
      </w:r>
      <w:r>
        <w:t xml:space="preserve"> </w:t>
      </w:r>
      <w:r>
        <w:t xml:space="preserve">enforcement, the non-employee / partner branch, AI-system governance, the</w:t>
      </w:r>
      <w:r>
        <w:t xml:space="preserve"> </w:t>
      </w:r>
      <w:r>
        <w:t xml:space="preserve">device plane.</w:t>
      </w:r>
    </w:p>
    <w:p>
      <w:pPr>
        <w:pStyle w:val="FirstParagraph"/>
      </w:pPr>
      <w:r>
        <w:t xml:space="preserve">This paper makes those choices legible: a grid of what is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today,</w:t>
      </w:r>
      <w:r>
        <w:t xml:space="preserve"> </w:t>
      </w:r>
      <w:r>
        <w:t xml:space="preserve">what is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(built, pending live-tenant conformance), and what is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for a given target — so a buyer can see exactly what they get by</w:t>
      </w:r>
      <w:r>
        <w:t xml:space="preserve"> </w:t>
      </w:r>
      <w:r>
        <w:t xml:space="preserve">picking a stack, and what each piece needs the others for.</w:t>
      </w:r>
    </w:p>
    <w:bookmarkEnd w:id="17"/>
    <w:bookmarkStart w:id="19" w:name="what-needs-what-the-dependency-truths"/>
    <w:p>
      <w:pPr>
        <w:pStyle w:val="Heading2"/>
      </w:pPr>
      <w:r>
        <w:t xml:space="preserve">What needs what — the dependency truths</w:t>
      </w:r>
    </w:p>
    <w:p>
      <w:pPr>
        <w:pStyle w:val="FirstParagraph"/>
      </w:pPr>
      <w:r>
        <w:t xml:space="preserve">Three separability facts drive every cell below: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OrgPath runs without any single vendor.</w:t>
      </w:r>
      <w:r>
        <w:t xml:space="preserve"> </w:t>
      </w:r>
      <w:r>
        <w:t xml:space="preserve">The facet model is vendor-neutral;</w:t>
      </w:r>
      <w:r>
        <w:t xml:space="preserve"> </w:t>
      </w:r>
      <w:r>
        <w:t xml:space="preserve">the Microsoft</w:t>
      </w:r>
      <w:r>
        <w:t xml:space="preserve"> </w:t>
      </w:r>
      <w:r>
        <w:rPr>
          <w:rStyle w:val="VerbatimChar"/>
        </w:rPr>
        <w:t xml:space="preserve">extensionAttribute1..15</w:t>
      </w:r>
      <w:r>
        <w:t xml:space="preserve"> </w:t>
      </w:r>
      <w:r>
        <w:t xml:space="preserve">slot table is just the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profile, not the schema (ADR-098 §D2). OrgPath governs humans, devices</w:t>
      </w:r>
      <w:r>
        <w:t xml:space="preserve"> </w:t>
      </w:r>
      <w:r>
        <w:t xml:space="preserve">(ADR-038), and AI systems (UIAO_196) with or without any particular IdP.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SailPoint is an optional vertical, not a dependency.</w:t>
      </w:r>
      <w:r>
        <w:t xml:space="preserve"> </w:t>
      </w:r>
      <w:r>
        <w:t xml:space="preserve">The SailPoint NERM /</w:t>
      </w:r>
      <w:r>
        <w:t xml:space="preserve"> </w:t>
      </w:r>
      <w:r>
        <w:t xml:space="preserve">ISC slots (</w:t>
      </w:r>
      <w:hyperlink r:id="rId18">
        <w:r>
          <w:rPr>
            <w:rStyle w:val="Hyperlink"/>
          </w:rPr>
          <w:t xml:space="preserve">ADR-059</w:t>
        </w:r>
      </w:hyperlink>
      <w:r>
        <w:t xml:space="preserve">) are</w:t>
      </w:r>
      <w:r>
        <w:t xml:space="preserve"> </w:t>
      </w:r>
      <w:r>
        <w:t xml:space="preserve">read-only (</w:t>
      </w:r>
      <w:r>
        <w:rPr>
          <w:rStyle w:val="VerbatimChar"/>
        </w:rPr>
        <w:t xml:space="preserve">ssot-mutation: never</w:t>
      </w:r>
      <w:r>
        <w:t xml:space="preserve">), reserved, and only deepen the</w:t>
      </w:r>
      <w:r>
        <w:t xml:space="preserve"> </w:t>
      </w:r>
      <w:r>
        <w:rPr>
          <w:b/>
          <w:bCs/>
        </w:rPr>
        <w:t xml:space="preserve">non-employee / partner</w:t>
      </w:r>
      <w:r>
        <w:t xml:space="preserve"> </w:t>
      </w:r>
      <w:r>
        <w:t xml:space="preserve">branch (UIAO_141) that Microsoft has no</w:t>
      </w:r>
      <w:r>
        <w:t xml:space="preserve"> </w:t>
      </w:r>
      <w:r>
        <w:t xml:space="preserve">FedRAMP-Moderate product for. Remove SailPoint and OrgPath loses nothing of</w:t>
      </w:r>
      <w:r>
        <w:t xml:space="preserve"> </w:t>
      </w:r>
      <w:r>
        <w:t xml:space="preserve">its core; it loses only deep non-employee lifecycle.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Enforcement consumes facets through a profile’s read side.</w:t>
      </w:r>
      <w:r>
        <w:t xml:space="preserve"> </w:t>
      </w:r>
      <w:r>
        <w:t xml:space="preserve">Zero Trust</w:t>
      </w:r>
      <w:r>
        <w:t xml:space="preserve"> </w:t>
      </w:r>
      <w:r>
        <w:t xml:space="preserve">policy groups (NSX, Palo Alto, cloud-native) resolve a facet predicate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Department=IT AND Classification=Contractor</w:t>
      </w:r>
      <w:r>
        <w:t xml:space="preserve">) to a native construct</w:t>
      </w:r>
      <w:r>
        <w:t xml:space="preserve"> </w:t>
      </w:r>
      <w:r>
        <w:t xml:space="preserve">(ADR-098 §D5) — so enforcement depends on a storage profile being present,</w:t>
      </w:r>
      <w:r>
        <w:t xml:space="preserve"> </w:t>
      </w:r>
      <w:r>
        <w:t xml:space="preserve">not on a specific vendor.</w:t>
      </w:r>
    </w:p>
    <w:bookmarkEnd w:id="19"/>
    <w:bookmarkStart w:id="23" w:name="axis-1-identity-storage-targets"/>
    <w:p>
      <w:pPr>
        <w:pStyle w:val="Heading2"/>
      </w:pPr>
      <w:r>
        <w:t xml:space="preserve">Axis 1 — Identity / storage targets</w:t>
      </w:r>
    </w:p>
    <w:p>
      <w:pPr>
        <w:pStyle w:val="FirstParagraph"/>
      </w:pPr>
      <w:r>
        <w:t xml:space="preserve">Status legend: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= shipped and exercised on the Microsoft estate;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= profile + transport built, pending live-tenant conformance;</w:t>
      </w:r>
      <w:r>
        <w:t xml:space="preserve"> </w:t>
      </w:r>
      <w:r>
        <w:rPr>
          <w:b/>
          <w:bCs/>
        </w:rPr>
        <w:t xml:space="preserve">Profile-only</w:t>
      </w:r>
      <w:r>
        <w:t xml:space="preserve"> </w:t>
      </w:r>
      <w:r>
        <w:t xml:space="preserve">= facet map exists, transport staged to a later ADR.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Plane(s)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Adapter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Entra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identity, device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Okta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okta_transport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LDAP / FreeIPA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ldap_transport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Keycloak</w:t>
            </w:r>
            <w:r>
              <w:t xml:space="preserve"> </w:t>
            </w:r>
            <w:r>
              <w:t xml:space="preserve">(Red Hat / community)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keycloak_transport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(new, ADR-113)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Auth0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auth0_transport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(new, ADR-113)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PingOne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pingone_transport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(new, ADR-113)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(IAM Identity Center)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identity, workload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— (Stage 2)</w:t>
            </w:r>
          </w:p>
        </w:tc>
        <w:tc>
          <w:tcPr/>
          <w:p>
            <w:pPr>
              <w:pStyle w:val="Compact"/>
            </w:pPr>
            <w:r>
              <w:t xml:space="preserve">Profile-only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(Cloud Identity)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identity, workload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— (Stage 2)</w:t>
            </w:r>
          </w:p>
        </w:tc>
        <w:tc>
          <w:tcPr/>
          <w:p>
            <w:pPr>
              <w:pStyle w:val="Compact"/>
            </w:pPr>
            <w:r>
              <w:t xml:space="preserve">Profile-only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VMware (WS1 / vSphere / NSX)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identity, workload, enforcement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— (Stage 2)</w:t>
            </w:r>
          </w:p>
        </w:tc>
        <w:tc>
          <w:tcPr/>
          <w:p>
            <w:pPr>
              <w:pStyle w:val="Compact"/>
            </w:pPr>
            <w:r>
              <w:t xml:space="preserve">Profile-only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21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warning.png" id="2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0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ILLUSTRATIVE — replace before external release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Deployment evidence for the Microsoft Entra Active row.</w:t>
            </w:r>
            <w:r>
              <w:t xml:space="preserve"> </w:t>
            </w:r>
            <w:r>
              <w:t xml:space="preserve">The status</w:t>
            </w:r>
            <w:r>
              <w:t xml:space="preserve"> </w:t>
            </w:r>
            <w:r>
              <w:t xml:space="preserve">legend above asserts Entra is</w:t>
            </w:r>
            <w:r>
              <w:t xml:space="preserve"> </w:t>
            </w:r>
            <w:r>
              <w:t xml:space="preserve">“shipped and exercised on the Microsoft</w:t>
            </w:r>
            <w:r>
              <w:t xml:space="preserve"> </w:t>
            </w:r>
            <w:r>
              <w:t xml:space="preserve">estate,”</w:t>
            </w:r>
            <w:r>
              <w:t xml:space="preserve"> </w:t>
            </w:r>
            <w:r>
              <w:t xml:space="preserve">but this paper does not yet state the evidence behind that claim.</w:t>
            </w:r>
            <w:r>
              <w:t xml:space="preserve"> </w:t>
            </w:r>
            <w:r>
              <w:t xml:space="preserve">Before external release, replace this block with the real figures: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Tenant count:</w:t>
            </w:r>
            <w:r>
              <w:t xml:space="preserve"> </w:t>
            </w:r>
            <w:r>
              <w:t xml:space="preserve">exercised across</w:t>
            </w:r>
            <w:r>
              <w:t xml:space="preserve"> </w:t>
            </w:r>
            <w:r>
              <w:rPr>
                <w:rStyle w:val="VerbatimChar"/>
              </w:rPr>
              <w:t xml:space="preserve">[N tenants]</w:t>
            </w:r>
            <w:r>
              <w:t xml:space="preserve"> </w:t>
            </w:r>
            <w:r>
              <w:t xml:space="preserve">in production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Scale:</w:t>
            </w:r>
            <w:r>
              <w:t xml:space="preserve"> </w:t>
            </w:r>
            <w:r>
              <w:rPr>
                <w:rStyle w:val="VerbatimChar"/>
              </w:rPr>
              <w:t xml:space="preserve">[X objects / users]</w:t>
            </w:r>
            <w:r>
              <w:t xml:space="preserve"> </w:t>
            </w:r>
            <w:r>
              <w:t xml:space="preserve">under active facet management (identity +</w:t>
            </w:r>
            <w:r>
              <w:t xml:space="preserve"> </w:t>
            </w:r>
            <w:r>
              <w:t xml:space="preserve">device planes)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Time-in-production:</w:t>
            </w:r>
            <w:r>
              <w:t xml:space="preserve"> </w:t>
            </w:r>
            <w:r>
              <w:t xml:space="preserve">live since</w:t>
            </w:r>
            <w:r>
              <w:t xml:space="preserve"> </w:t>
            </w:r>
            <w:r>
              <w:rPr>
                <w:rStyle w:val="VerbatimChar"/>
              </w:rPr>
              <w:t xml:space="preserve">[Month Year]</w:t>
            </w:r>
            <w:r>
              <w:t xml:space="preserve">, i.e. </w:t>
            </w:r>
            <w:r>
              <w:rPr>
                <w:rStyle w:val="VerbatimChar"/>
              </w:rPr>
              <w:t xml:space="preserve">[Y months]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production as of this paper’s publication date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Promotion criteria — moving a Proposed row to Active.</w:t>
            </w:r>
            <w:r>
              <w:t xml:space="preserve"> </w:t>
            </w:r>
            <w:r>
              <w:t xml:space="preserve">Unlike the figures</w:t>
            </w:r>
            <w:r>
              <w:t xml:space="preserve"> </w:t>
            </w:r>
            <w:r>
              <w:t xml:space="preserve">above, this is a real, statable policy, not an unknown fact: a Proposed row</w:t>
            </w:r>
            <w:r>
              <w:t xml:space="preserve"> </w:t>
            </w:r>
            <w:r>
              <w:t xml:space="preserve">(for example,</w:t>
            </w:r>
            <w:r>
              <w:t xml:space="preserve"> </w:t>
            </w:r>
            <w:r>
              <w:rPr>
                <w:b/>
                <w:bCs/>
              </w:rPr>
              <w:t xml:space="preserve">Keycloak</w:t>
            </w:r>
            <w:r>
              <w:t xml:space="preserve">) promotes to Active once it (1) passes the full</w:t>
            </w:r>
            <w:r>
              <w:t xml:space="preserve"> </w:t>
            </w:r>
            <w:r>
              <w:t xml:space="preserve">adapter-conformance test suite defined in ADR-098 §D2 against a live</w:t>
            </w:r>
            <w:r>
              <w:t xml:space="preserve"> </w:t>
            </w:r>
            <w:r>
              <w:t xml:space="preserve">Keycloak instance, and (2) has at least one reference deployment running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keycloak_transport</w:t>
            </w:r>
            <w:r>
              <w:t xml:space="preserve"> </w:t>
            </w:r>
            <w:r>
              <w:t xml:space="preserve">write path in production for a sustained period.</w:t>
            </w:r>
            <w:r>
              <w:t xml:space="preserve"> </w:t>
            </w:r>
            <w:r>
              <w:t xml:space="preserve">Until both conditions are met and documented — with the same tenant count /</w:t>
            </w:r>
            <w:r>
              <w:t xml:space="preserve"> </w:t>
            </w:r>
            <w:r>
              <w:t xml:space="preserve">scale / time-in-production evidence template above — the row stays</w:t>
            </w:r>
            <w:r>
              <w:t xml:space="preserve"> </w:t>
            </w:r>
            <w:r>
              <w:t xml:space="preserve">Proposed, no matter how complete the profile and transport code are.</w:t>
            </w:r>
          </w:p>
          <w:p/>
        </w:tc>
      </w:tr>
    </w:tbl>
    <w:p>
      <w:pPr>
        <w:pStyle w:val="BodyText"/>
      </w:pPr>
      <w:r>
        <w:t xml:space="preserve">The open-source path is real:</w:t>
      </w:r>
      <w:r>
        <w:t xml:space="preserve"> </w:t>
      </w:r>
      <w:r>
        <w:rPr>
          <w:b/>
          <w:bCs/>
        </w:rPr>
        <w:t xml:space="preserve">Keycloak + generic LDAP</w:t>
      </w:r>
      <w:r>
        <w:t xml:space="preserve"> </w:t>
      </w:r>
      <w:r>
        <w:t xml:space="preserve">give a customer a</w:t>
      </w:r>
      <w:r>
        <w:t xml:space="preserve"> </w:t>
      </w:r>
      <w:r>
        <w:t xml:space="preserve">fully open IdP storage layer under an Apache-2.0 substrate — no commercial IdP</w:t>
      </w:r>
      <w:r>
        <w:t xml:space="preserve"> </w:t>
      </w:r>
      <w:r>
        <w:t xml:space="preserve">required. The remaining cloud/multi-plane targets (AWS, GCP, VMware) have their</w:t>
      </w:r>
      <w:r>
        <w:t xml:space="preserve"> </w:t>
      </w:r>
      <w:r>
        <w:t xml:space="preserve">facet maps published; their write-back transports are staged because they are</w:t>
      </w:r>
      <w:r>
        <w:t xml:space="preserve"> </w:t>
      </w:r>
      <w:r>
        <w:t xml:space="preserve">multi-plane and SDK-bound.</w:t>
      </w:r>
    </w:p>
    <w:bookmarkEnd w:id="23"/>
    <w:bookmarkStart w:id="28" w:name="axis-2-capability-packs-mix-and-match"/>
    <w:p>
      <w:pPr>
        <w:pStyle w:val="Heading2"/>
      </w:pPr>
      <w:r>
        <w:t xml:space="preserve">Axis 2 — Capability packs (mix and match)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stamping</w:t>
            </w:r>
          </w:p>
        </w:tc>
        <w:tc>
          <w:tcPr/>
          <w:p>
            <w:pPr>
              <w:pStyle w:val="Compact"/>
            </w:pPr>
            <w:r>
              <w:t xml:space="preserve">Write the 10 named facets onto identity objects</w:t>
            </w:r>
          </w:p>
        </w:tc>
        <w:tc>
          <w:tcPr/>
          <w:p>
            <w:pPr>
              <w:pStyle w:val="Compact"/>
            </w:pPr>
            <w:r>
              <w:t xml:space="preserve">any one Axis-1 target</w:t>
            </w:r>
          </w:p>
        </w:tc>
        <w:tc>
          <w:tcPr/>
          <w:p>
            <w:pPr>
              <w:pStyle w:val="Compact"/>
            </w:pPr>
            <w:r>
              <w:t xml:space="preserve">Active (Entra) / Proposed (others)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detection (DRIFT-IDENTITY)</w:t>
            </w:r>
          </w:p>
        </w:tc>
        <w:tc>
          <w:tcPr/>
          <w:p>
            <w:pPr>
              <w:pStyle w:val="Compact"/>
            </w:pPr>
            <w:r>
              <w:t xml:space="preserve">Validate facet</w:t>
            </w:r>
            <w:r>
              <w:t xml:space="preserve"> </w:t>
            </w:r>
            <w:r>
              <w:rPr>
                <w:i/>
                <w:iCs/>
              </w:rPr>
              <w:t xml:space="preserve">values</w:t>
            </w:r>
            <w:r>
              <w:t xml:space="preserve"> </w:t>
            </w:r>
            <w:r>
              <w:t xml:space="preserve">vs codebook, independent of where stored</w:t>
            </w:r>
          </w:p>
        </w:tc>
        <w:tc>
          <w:tcPr/>
          <w:p>
            <w:pPr>
              <w:pStyle w:val="Compact"/>
            </w:pPr>
            <w:r>
              <w:t xml:space="preserve">any profile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plane</w:t>
            </w:r>
          </w:p>
        </w:tc>
        <w:tc>
          <w:tcPr/>
          <w:p>
            <w:pPr>
              <w:pStyle w:val="Compact"/>
            </w:pPr>
            <w:r>
              <w:t xml:space="preserve">Stamp facets onto devices (Arc / Intune)</w:t>
            </w:r>
          </w:p>
        </w:tc>
        <w:tc>
          <w:tcPr/>
          <w:p>
            <w:pPr>
              <w:pStyle w:val="Compact"/>
            </w:pPr>
            <w:r>
              <w:t xml:space="preserve">Entra/Arc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AI-system governance</w:t>
            </w:r>
          </w:p>
        </w:tc>
        <w:tc>
          <w:tcPr/>
          <w:p>
            <w:pPr>
              <w:pStyle w:val="Compact"/>
            </w:pPr>
            <w:r>
              <w:t xml:space="preserve">Govern AI systems as identity subjects (M-25-21)</w:t>
            </w:r>
          </w:p>
        </w:tc>
        <w:tc>
          <w:tcPr/>
          <w:p>
            <w:pPr>
              <w:pStyle w:val="Compact"/>
            </w:pPr>
            <w:r>
              <w:t xml:space="preserve">OrgPath + ATO registry</w:t>
            </w:r>
          </w:p>
        </w:tc>
        <w:tc>
          <w:tcPr/>
          <w:p>
            <w:pPr>
              <w:pStyle w:val="Compact"/>
            </w:pPr>
            <w:r>
              <w:t xml:space="preserve">Proposed (UIAO_196 / ADR-112)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Non-employee /</w:t>
            </w:r>
            <w:r>
              <w:t xml:space="preserve"> </w:t>
            </w:r>
            <w:r>
              <w:rPr>
                <w:b/>
                <w:bCs/>
              </w:rPr>
              <w:t xml:space="preserve">partner</w:t>
            </w:r>
            <w:r>
              <w:t xml:space="preserve"> </w:t>
            </w: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Contractor / vendor / sponsored-external lifecycle + risk</w:t>
            </w:r>
          </w:p>
        </w:tc>
        <w:tc>
          <w:tcPr/>
          <w:p>
            <w:pPr>
              <w:pStyle w:val="Compact"/>
            </w:pPr>
            <w:r>
              <w:t xml:space="preserve">SailPoint NERM (optional)</w:t>
            </w:r>
          </w:p>
        </w:tc>
        <w:tc>
          <w:tcPr/>
          <w:p>
            <w:pPr>
              <w:pStyle w:val="Compact"/>
            </w:pPr>
            <w:r>
              <w:t xml:space="preserve">Reserved (ADR-059)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Trust enforcement</w:t>
            </w:r>
          </w:p>
        </w:tc>
        <w:tc>
          <w:tcPr/>
          <w:p>
            <w:pPr>
              <w:pStyle w:val="Compact"/>
            </w:pPr>
            <w:r>
              <w:t xml:space="preserve">Facet predicate → native policy group</w:t>
            </w:r>
          </w:p>
        </w:tc>
        <w:tc>
          <w:tcPr/>
          <w:p>
            <w:pPr>
              <w:pStyle w:val="Compact"/>
            </w:pPr>
            <w:r>
              <w:t xml:space="preserve">a profile’s read side + enforcement vendor</w:t>
            </w:r>
          </w:p>
        </w:tc>
        <w:tc>
          <w:tcPr/>
          <w:p>
            <w:pPr>
              <w:pStyle w:val="Compact"/>
            </w:pPr>
            <w:r>
              <w:t xml:space="preserve">Proposed (ADR-098 §D5)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Governance Directory</w:t>
            </w:r>
          </w:p>
        </w:tc>
        <w:tc>
          <w:tcPr/>
          <w:p>
            <w:pPr>
              <w:pStyle w:val="Compact"/>
            </w:pPr>
            <w:r>
              <w:t xml:space="preserve">In-path LDAP read projection of the substrate</w:t>
            </w:r>
          </w:p>
        </w:tc>
        <w:tc>
          <w:tcPr/>
          <w:p>
            <w:pPr>
              <w:pStyle w:val="Compact"/>
            </w:pPr>
            <w:r>
              <w:t xml:space="preserve">OrgPath</w:t>
            </w:r>
          </w:p>
        </w:tc>
        <w:tc>
          <w:tcPr/>
          <w:p>
            <w:pPr>
              <w:pStyle w:val="Compact"/>
            </w:pPr>
            <w:r>
              <w:t xml:space="preserve">Proposed (ADR-100)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orgpath-diagram-02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5" name="Picture"/>
                  <ns2:graphic>
                    <ns2:graphicData uri="http://schemas.openxmlformats.org/drawingml/2006/picture">
                      <ns3:pic>
                        <ns3:nvPicPr>
                          <ns3:cNvPr descr="images/orgpath-composability-matrix-diagram-02-three-worked-stacks.png" id="2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Three worked stacks — OrgPath composability in practice</w:t>
            </w:r>
          </w:p>
          <w:bookmarkEnd w:id="27"/>
        </w:tc>
      </w:tr>
    </w:tbl>
    <w:bookmarkEnd w:id="28"/>
    <w:bookmarkStart w:id="29" w:name="three-worked-stacks"/>
    <w:p>
      <w:pPr>
        <w:pStyle w:val="Heading2"/>
      </w:pPr>
      <w:r>
        <w:t xml:space="preserve">Three worked stacks</w:t>
      </w:r>
    </w:p>
    <w:p>
      <w:pPr>
        <w:pStyle w:val="FirstParagraph"/>
      </w:pPr>
      <w:r>
        <w:rPr>
          <w:b/>
          <w:bCs/>
        </w:rPr>
        <w:t xml:space="preserve">Open-source-first.</w:t>
      </w:r>
      <w:r>
        <w:t xml:space="preserve"> </w:t>
      </w:r>
      <w:r>
        <w:t xml:space="preserve">Keycloak (identity) + generic LDAP (legacy directories) +</w:t>
      </w:r>
      <w:r>
        <w:t xml:space="preserve"> </w:t>
      </w:r>
      <w:r>
        <w:t xml:space="preserve">drift detection + Active Governance Directory. No commercial IdP, no SailPoint;</w:t>
      </w:r>
      <w:r>
        <w:t xml:space="preserve"> </w:t>
      </w:r>
      <w:r>
        <w:t xml:space="preserve">Apache-2.0 top to bottom. Governs employees and devices; partner governance off.</w:t>
      </w:r>
    </w:p>
    <w:p>
      <w:pPr>
        <w:pStyle w:val="BodyText"/>
      </w:pPr>
      <w:r>
        <w:rPr>
          <w:b/>
          <w:bCs/>
        </w:rPr>
        <w:t xml:space="preserve">Microsoft-native + partners.</w:t>
      </w:r>
      <w:r>
        <w:t xml:space="preserve"> </w:t>
      </w:r>
      <w:r>
        <w:t xml:space="preserve">Entra (identity + device, active) + SailPoint</w:t>
      </w:r>
      <w:r>
        <w:t xml:space="preserve"> </w:t>
      </w:r>
      <w:r>
        <w:t xml:space="preserve">NERM (non-employee/partner branch) + AI-system governance + drift. The most</w:t>
      </w:r>
      <w:r>
        <w:t xml:space="preserve"> </w:t>
      </w:r>
      <w:r>
        <w:t xml:space="preserve">mature stack today; the only one with an active write path.</w:t>
      </w:r>
    </w:p>
    <w:p>
      <w:pPr>
        <w:pStyle w:val="BodyText"/>
      </w:pPr>
      <w:r>
        <w:rPr>
          <w:b/>
          <w:bCs/>
        </w:rPr>
        <w:t xml:space="preserve">Multi-cloud enterprise.</w:t>
      </w:r>
      <w:r>
        <w:t xml:space="preserve"> </w:t>
      </w:r>
      <w:r>
        <w:t xml:space="preserve">Entra + Okta + PingOne (identity) with AWS/GCP</w:t>
      </w:r>
      <w:r>
        <w:t xml:space="preserve"> </w:t>
      </w:r>
      <w:r>
        <w:t xml:space="preserve">workload tagging and VMware NSX enforcement as those Stage-2 transports land —</w:t>
      </w:r>
      <w:r>
        <w:t xml:space="preserve"> </w:t>
      </w:r>
      <w:r>
        <w:t xml:space="preserve">OrgPath as the single policy subject across the whole estate.</w:t>
      </w:r>
    </w:p>
    <w:bookmarkEnd w:id="29"/>
    <w:bookmarkStart w:id="30" w:name="how-to-read-the-maturity-honestly"/>
    <w:p>
      <w:pPr>
        <w:pStyle w:val="Heading2"/>
      </w:pPr>
      <w:r>
        <w:t xml:space="preserve">How to read the maturity honestly</w:t>
      </w:r>
    </w:p>
    <w:p>
      <w:pPr>
        <w:pStyle w:val="FirstParagraph"/>
      </w:pPr>
      <w:r>
        <w:t xml:space="preserve">A buyer should weight the matrix by status, not by row count.</w:t>
      </w:r>
      <w:r>
        <w:t xml:space="preserve"> </w:t>
      </w:r>
      <w:r>
        <w:rPr>
          <w:b/>
          <w:bCs/>
        </w:rPr>
        <w:t xml:space="preserve">Today’s</w:t>
      </w:r>
      <w:r>
        <w:rPr>
          <w:b/>
          <w:bCs/>
        </w:rPr>
        <w:t xml:space="preserve"> </w:t>
      </w:r>
      <w:r>
        <w:rPr>
          <w:b/>
          <w:bCs/>
        </w:rPr>
        <w:t xml:space="preserve">demonstrable, write-capable path is Microsoft/Entra</w:t>
      </w:r>
      <w:r>
        <w:t xml:space="preserve"> </w:t>
      </w:r>
      <w:r>
        <w:t xml:space="preserve">plus read-only assessment.</w:t>
      </w:r>
      <w:r>
        <w:t xml:space="preserve"> </w:t>
      </w:r>
      <w:r>
        <w:t xml:space="preserve">The Okta/LDAP/Keycloak/Auth0/PingOne transports exist and are unit-tested but</w:t>
      </w:r>
      <w:r>
        <w:t xml:space="preserve"> </w:t>
      </w:r>
      <w:r>
        <w:t xml:space="preserve">await live-tenant conformance before promotion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 AWS/GCP/VMware are</w:t>
      </w:r>
      <w:r>
        <w:t xml:space="preserve"> </w:t>
      </w:r>
      <w:r>
        <w:t xml:space="preserve">facet-mapped but transport-deferred. The architecture is genuinely composable;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deployed</w:t>
      </w:r>
      <w:r>
        <w:t xml:space="preserve"> </w:t>
      </w:r>
      <w:r>
        <w:t xml:space="preserve">surface is narrower than the</w:t>
      </w:r>
      <w:r>
        <w:t xml:space="preserve"> </w:t>
      </w:r>
      <w:r>
        <w:rPr>
          <w:i/>
          <w:iCs/>
        </w:rPr>
        <w:t xml:space="preserve">designed</w:t>
      </w:r>
      <w:r>
        <w:t xml:space="preserve"> </w:t>
      </w:r>
      <w:r>
        <w:t xml:space="preserve">surface, and this paper</w:t>
      </w:r>
      <w:r>
        <w:t xml:space="preserve"> </w:t>
      </w:r>
      <w:r>
        <w:t xml:space="preserve">labels every cell so the difference is never hidden.</w:t>
      </w:r>
    </w:p>
    <w:bookmarkEnd w:id="30"/>
    <w:bookmarkStart w:id="33" w:name="companion-series"/>
    <w:p>
      <w:pPr>
        <w:pStyle w:val="Heading2"/>
      </w:pPr>
      <w:r>
        <w:t xml:space="preserve">Companion series</w:t>
      </w:r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OrgPath narrative</w:t>
        </w:r>
      </w:hyperlink>
      <w:r>
        <w:t xml:space="preserve"> </w:t>
      </w:r>
      <w:r>
        <w:t xml:space="preserve">— the series-length telling of the substrate this matrix decomposes.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OrgPath for All Clouds</w:t>
        </w:r>
      </w:hyperlink>
      <w:r>
        <w:t xml:space="preserve"> </w:t>
      </w:r>
      <w:r>
        <w:t xml:space="preserve">— the multi-cloud binding-profile companion; the narrative form of the ADR-098 content that is this paper’s canon source.</w:t>
      </w:r>
    </w:p>
    <w:bookmarkEnd w:id="33"/>
    <w:bookmarkStart w:id="3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ADR-098 — OrgPath Vendor-Neutral Binding Profiles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ADR-099 — IdP Binding-Profile Expansion (PingOne, Keycloak, Auth0)</w:t>
        </w:r>
      </w:hyperlink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ADR-113 — OrgPath IdP Transport Activation (Stage 1)</w:t>
        </w:r>
      </w:hyperlink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ADR-059 — SailPoint Adapter Family</w:t>
        </w:r>
      </w:hyperlink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ADR-085 — Universal-Enterprise Positioning</w:t>
        </w:r>
      </w:hyperlink>
    </w:p>
    <w:bookmarkEnd w:id="37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24" Target="media/rId24.png" /><Relationship Type="http://schemas.openxmlformats.org/officeDocument/2006/relationships/hyperlink" Id="rId18" Target="https://whalermike.github.io/uiao/adr/adr-059-sailpoint-adapter-family.html" TargetMode="External" /><Relationship Type="http://schemas.openxmlformats.org/officeDocument/2006/relationships/hyperlink" Id="rId36" Target="https://whalermike.github.io/uiao/adr/adr-085-universal-enterprise-positioning.html" TargetMode="External" /><Relationship Type="http://schemas.openxmlformats.org/officeDocument/2006/relationships/hyperlink" Id="rId16" Target="https://whalermike.github.io/uiao/adr/adr-098-orgpath-vendor-neutral-binding-profiles.html" TargetMode="External" /><Relationship Type="http://schemas.openxmlformats.org/officeDocument/2006/relationships/hyperlink" Id="rId34" Target="https://whalermike.github.io/uiao/adr/adr-099-orgpath-idp-binding-profile-expansion.html" TargetMode="External" /><Relationship Type="http://schemas.openxmlformats.org/officeDocument/2006/relationships/hyperlink" Id="rId35" Target="https://whalermike.github.io/uiao/adr/adr-113-orgpath-idp-transport-activation.html" TargetMode="External" /><Relationship Type="http://schemas.openxmlformats.org/officeDocument/2006/relationships/hyperlink" Id="rId32" Target="https://whalermike.github.io/uiao/customer-documents/orgpath-multicloud/index.html" TargetMode="External" /><Relationship Type="http://schemas.openxmlformats.org/officeDocument/2006/relationships/hyperlink" Id="rId31" Target="https://whalermike.github.io/uiao/customer-documents/orgpath-narrative/index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halermike.github.io/uiao/adr/adr-059-sailpoint-adapter-family.html" TargetMode="External" /><Relationship Type="http://schemas.openxmlformats.org/officeDocument/2006/relationships/hyperlink" Id="rId36" Target="https://whalermike.github.io/uiao/adr/adr-085-universal-enterprise-positioning.html" TargetMode="External" /><Relationship Type="http://schemas.openxmlformats.org/officeDocument/2006/relationships/hyperlink" Id="rId16" Target="https://whalermike.github.io/uiao/adr/adr-098-orgpath-vendor-neutral-binding-profiles.html" TargetMode="External" /><Relationship Type="http://schemas.openxmlformats.org/officeDocument/2006/relationships/hyperlink" Id="rId34" Target="https://whalermike.github.io/uiao/adr/adr-099-orgpath-idp-binding-profile-expansion.html" TargetMode="External" /><Relationship Type="http://schemas.openxmlformats.org/officeDocument/2006/relationships/hyperlink" Id="rId35" Target="https://whalermike.github.io/uiao/adr/adr-113-orgpath-idp-transport-activation.html" TargetMode="External" /><Relationship Type="http://schemas.openxmlformats.org/officeDocument/2006/relationships/hyperlink" Id="rId32" Target="https://whalermike.github.io/uiao/customer-documents/orgpath-multicloud/index.html" TargetMode="External" /><Relationship Type="http://schemas.openxmlformats.org/officeDocument/2006/relationships/hyperlink" Id="rId31" Target="https://whalermike.github.io/uiao/customer-documents/orgpath-narrativ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Choose Your Partners — The OrgPath Composability Matrix</dc:title>
  <dc:creator>Michael Stratton</dc:creator>
  <cp:keywords/>
  <dcterms:created xsi:type="dcterms:W3CDTF">2026-09-16T14:53:22Z</dcterms:created>
  <dcterms:modified xsi:type="dcterms:W3CDTF">2026-09-16T14:53:22Z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src/uiao/canon/adr/adr-098-orgpath-vendor-neutral-binding-profiles.md</vt:lpwstr>
  </property>
  <property fmtid="{D5CDD505-2E9C-101B-9397-08002B2CF9AE}" pid="7" name="created-at">
    <vt:lpwstr>2026-06-19</vt:lpwstr>
  </property>
  <property fmtid="{D5CDD505-2E9C-101B-9397-08002B2CF9AE}" pid="8" name="date">
    <vt:lpwstr>2026-06-01</vt:lpwstr>
  </property>
  <property fmtid="{D5CDD505-2E9C-101B-9397-08002B2CF9AE}" pid="9" name="doc-type">
    <vt:lpwstr>whitepaper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fecycle">
    <vt:lpwstr>adopted</vt:lpwstr>
  </property>
  <property fmtid="{D5CDD505-2E9C-101B-9397-08002B2CF9AE}" pid="15" name="lifecycle_review">
    <vt:lpwstr>2026-12-19</vt:lpwstr>
  </property>
  <property fmtid="{D5CDD505-2E9C-101B-9397-08002B2CF9AE}" pid="16" name="mermaid">
    <vt:lpwstr/>
  </property>
  <property fmtid="{D5CDD505-2E9C-101B-9397-08002B2CF9AE}" pid="17" name="repo-path">
    <vt:lpwstr>docs/customer-documents/whitepapers/orgpath-composability-matrix.qmd</vt:lpwstr>
  </property>
  <property fmtid="{D5CDD505-2E9C-101B-9397-08002B2CF9AE}" pid="18" name="status">
    <vt:lpwstr>Active</vt:lpwstr>
  </property>
  <property fmtid="{D5CDD505-2E9C-101B-9397-08002B2CF9AE}" pid="19" name="subtitle">
    <vt:lpwstr>What governs what, with which IdP, and what each piece needs the others for</vt:lpwstr>
  </property>
  <property fmtid="{D5CDD505-2E9C-101B-9397-08002B2CF9AE}" pid="20" name="tiers_adopted">
    <vt:lpwstr/>
  </property>
  <property fmtid="{D5CDD505-2E9C-101B-9397-08002B2CF9AE}" pid="21" name="toc-title">
    <vt:lpwstr>Table of contents</vt:lpwstr>
  </property>
  <property fmtid="{D5CDD505-2E9C-101B-9397-08002B2CF9AE}" pid="22" name="updated-at">
    <vt:lpwstr>2026-09-16</vt:lpwstr>
  </property>
  <property fmtid="{D5CDD505-2E9C-101B-9397-08002B2CF9AE}" pid="23" name="version">
    <vt:lpwstr>1.3</vt:lpwstr>
  </property>
</Properties>
</file>