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21.png" ContentType="image/png"/>
  <Override PartName="/word/media/rId17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Snowflake Key-Pair Conversion — the UIAO and OrgPath Reading</w:t>
      </w:r>
    </w:p>
    <w:p>
      <w:pPr>
        <w:pStyle w:val="Subtitle"/>
      </w:pPr>
      <w:r>
        <w:t xml:space="preserve">How a governance substrate would run the password→key-pair migration Snowflake is forcing, and why the key pair is the bridge, not the destination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X28a9e3041f66c3150c4e1bc1a9b66e0c6d114ef"/>
    <w:p>
      <w:pPr>
        <w:pStyle w:val="Heading1"/>
      </w:pPr>
      <w:r>
        <w:t xml:space="preserve">Snowflake Key-Pair Conversion — the UIAO and OrgPath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Status — illustrative architecture comparison, not a shipped adapter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whitepaper reads Snowflake’s authentication migration through the UIAO and</w:t>
            </w:r>
            <w:r>
              <w:t xml:space="preserve"> </w:t>
            </w:r>
            <w:r>
              <w:t xml:space="preserve">OrgPath governance doctrine. It is an</w:t>
            </w:r>
            <w:r>
              <w:t xml:space="preserve"> </w:t>
            </w:r>
            <w:r>
              <w:rPr>
                <w:b/>
                <w:bCs/>
              </w:rPr>
              <w:t xml:space="preserve">architecture comparison</w:t>
            </w:r>
            <w:r>
              <w:t xml:space="preserve">, not a claim</w:t>
            </w:r>
            <w:r>
              <w:t xml:space="preserve"> </w:t>
            </w:r>
            <w:r>
              <w:t xml:space="preserve">that UIAO ships a Snowflake adapter today. Snowflake is a</w:t>
            </w:r>
            <w:r>
              <w:t xml:space="preserve"> </w:t>
            </w:r>
            <w:r>
              <w:rPr>
                <w:b/>
                <w:bCs/>
              </w:rPr>
              <w:t xml:space="preserve">Commercial-cloud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SaaS platform outside the current GCC-Moderate deployment boundary</w:t>
            </w:r>
            <w:r>
              <w:t xml:space="preserve"> </w:t>
            </w:r>
            <w:r>
              <w:t xml:space="preserve">and is not</w:t>
            </w:r>
            <w:r>
              <w:t xml:space="preserve"> </w:t>
            </w:r>
            <w:r>
              <w:t xml:space="preserve">one of the named Commercial exceptions (Amazon Connect, SailPoint); for a</w:t>
            </w:r>
            <w:r>
              <w:t xml:space="preserve"> </w:t>
            </w:r>
            <w:r>
              <w:t xml:space="preserve">federal deployment, real Snowflake coverage would require a gating boundary</w:t>
            </w:r>
            <w:r>
              <w:t xml:space="preserve"> </w:t>
            </w:r>
            <w:r>
              <w:t xml:space="preserve">ADR in the pattern of</w:t>
            </w:r>
            <w:r>
              <w:t xml:space="preserve"> </w:t>
            </w:r>
            <w:r>
              <w:rPr>
                <w:rStyle w:val="VerbatimChar"/>
              </w:rPr>
              <w:t xml:space="preserve">ADR-059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ADR-033</w:t>
            </w:r>
            <w:r>
              <w:t xml:space="preserve">. (For non-federal engagements the</w:t>
            </w:r>
            <w:r>
              <w:t xml:space="preserve"> </w:t>
            </w:r>
            <w:r>
              <w:t xml:space="preserve">registration path now exists without a new enum value: ADR-129 added the</w:t>
            </w:r>
            <w:r>
              <w:t xml:space="preserve"> </w:t>
            </w:r>
            <w:r>
              <w:rPr>
                <w:rStyle w:val="VerbatimChar"/>
              </w:rPr>
              <w:t xml:space="preserve">commercial-general</w:t>
            </w:r>
            <w:r>
              <w:t xml:space="preserve"> </w:t>
            </w:r>
            <w:r>
              <w:t xml:space="preserve">boundary and ADR-133 added</w:t>
            </w:r>
            <w:r>
              <w:t xml:space="preserve"> </w:t>
            </w:r>
            <w:r>
              <w:rPr>
                <w:rStyle w:val="VerbatimChar"/>
              </w:rPr>
              <w:t xml:space="preserve">state-local</w:t>
            </w:r>
            <w:r>
              <w:t xml:space="preserve">.) Treat the patterns here as</w:t>
            </w:r>
            <w:r>
              <w:t xml:space="preserve"> </w:t>
            </w:r>
            <w:r>
              <w:rPr>
                <w:i/>
                <w:iCs/>
              </w:rPr>
              <w:t xml:space="preserve">how the substrate would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govern this class of problem</w:t>
            </w:r>
            <w:r>
              <w:t xml:space="preserve">, not as accepted normative coverage of Snowflake.</w:t>
            </w:r>
            <w:r>
              <w:t xml:space="preserve"> </w:t>
            </w:r>
            <w:r>
              <w:t xml:space="preserve">The Snowflake product facts are cited to Snowflake’s own documentation; the</w:t>
            </w:r>
            <w:r>
              <w:t xml:space="preserve"> </w:t>
            </w:r>
            <w:r>
              <w:t xml:space="preserve">UIAO/OrgPath positions are cited to canon.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2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3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Snowflake is switching passwords off on a published schedule, and</w:t>
            </w:r>
            <w:r>
              <w:t xml:space="preserve"> </w:t>
            </w:r>
            <w:r>
              <w:t xml:space="preserve">service accounts, pipelines, and dbt jobs have to land somewhere. The usual</w:t>
            </w:r>
            <w:r>
              <w:t xml:space="preserve"> </w:t>
            </w:r>
            <w:r>
              <w:t xml:space="preserve">answer — key-pair authentication — gets treated as the finish line, and</w:t>
            </w:r>
            <w:r>
              <w:t xml:space="preserve"> </w:t>
            </w:r>
            <w:r>
              <w:t xml:space="preserve">warehouse-role grants stay hand-authored in a ticket queue, so nothing</w:t>
            </w:r>
            <w:r>
              <w:t xml:space="preserve"> </w:t>
            </w:r>
            <w:r>
              <w:t xml:space="preserve">computes who should reach which role.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Three altitudes of one migration: Snowflake forces the</w:t>
            </w:r>
            <w:r>
              <w:t xml:space="preserve"> </w:t>
            </w:r>
            <w:r>
              <w:t xml:space="preserve">credential change; UIAO governs</w:t>
            </w:r>
            <w:r>
              <w:t xml:space="preserve"> </w:t>
            </w:r>
            <w:r>
              <w:rPr>
                <w:i/>
                <w:iCs/>
              </w:rPr>
              <w:t xml:space="preserve">what the credential becomes</w:t>
            </w:r>
            <w:r>
              <w:t xml:space="preserve"> </w:t>
            </w:r>
            <w:r>
              <w:t xml:space="preserve">(password</w:t>
            </w:r>
            <w:r>
              <w:t xml:space="preserve"> </w:t>
            </w:r>
            <w:r>
              <w:t xml:space="preserve">eliminated → stored key pair as a dated, rotated, compensated bridge → IdP</w:t>
            </w:r>
            <w:r>
              <w:t xml:space="preserve"> </w:t>
            </w:r>
            <w:r>
              <w:t xml:space="preserve">federation with no long-lived secret, per ADR-004); OrgPath governs</w:t>
            </w:r>
            <w:r>
              <w:t xml:space="preserve"> </w:t>
            </w:r>
            <w:r>
              <w:rPr>
                <w:i/>
                <w:iCs/>
              </w:rPr>
              <w:t xml:space="preserve">who the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credential is for</w:t>
            </w:r>
            <w:r>
              <w:t xml:space="preserve">, rendering access from facet predicates and turning a stray</w:t>
            </w:r>
            <w:r>
              <w:t xml:space="preserve"> </w:t>
            </w:r>
            <w:r>
              <w:t xml:space="preserve">grant into a</w:t>
            </w:r>
            <w:r>
              <w:t xml:space="preserve"> </w:t>
            </w:r>
            <w:r>
              <w:rPr>
                <w:rStyle w:val="VerbatimChar"/>
              </w:rPr>
              <w:t xml:space="preserve">DRIFT-AUTHZ</w:t>
            </w:r>
            <w:r>
              <w:t xml:space="preserve"> </w:t>
            </w:r>
            <w:r>
              <w:t xml:space="preserve">finding. This is an illustrative reading: UIAO</w:t>
            </w:r>
            <w:r>
              <w:t xml:space="preserve"> </w:t>
            </w:r>
            <w:r>
              <w:t xml:space="preserve">ships no Snowflake adapter, and Snowflake sits outside the GCC-Moderate</w:t>
            </w:r>
            <w:r>
              <w:t xml:space="preserve"> </w:t>
            </w:r>
            <w:r>
              <w:t xml:space="preserve">boundary.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Three steps that need no adapter: classify every Snowflake principal</w:t>
            </w:r>
            <w:r>
              <w:t xml:space="preserve"> </w:t>
            </w:r>
            <w:r>
              <w:t xml:space="preserve">by hand today, rotate stored key pairs on a defined cadence and track it as a</w:t>
            </w:r>
            <w:r>
              <w:t xml:space="preserve"> </w:t>
            </w:r>
            <w:r>
              <w:t xml:space="preserve">compliance signal, and settle the boundary question (a gating ADR in the</w:t>
            </w:r>
            <w:r>
              <w:t xml:space="preserve"> </w:t>
            </w:r>
            <w:r>
              <w:t xml:space="preserve">ADR-059/ADR-033 pattern, or</w:t>
            </w:r>
            <w:r>
              <w:t xml:space="preserve"> </w:t>
            </w:r>
            <w:r>
              <w:rPr>
                <w:rStyle w:val="VerbatimChar"/>
              </w:rPr>
              <w:t xml:space="preserve">commercial-general</w:t>
            </w:r>
            <w:r>
              <w:t xml:space="preserve"> </w:t>
            </w:r>
            <w:r>
              <w:t xml:space="preserve">per ADR-129) before the</w:t>
            </w:r>
            <w:r>
              <w:t xml:space="preserve"> </w:t>
            </w:r>
            <w:r>
              <w:t xml:space="preserve">automation question. See the Call to Action.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5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Before the doctrine discussion — three things you can do today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paper spends most of its length on how UIAO and OrgPath doctrine</w:t>
            </w:r>
            <w:r>
              <w:t xml:space="preserve"> </w:t>
            </w:r>
            <w:r>
              <w:rPr>
                <w:i/>
                <w:iCs/>
              </w:rPr>
              <w:t xml:space="preserve">would</w:t>
            </w:r>
            <w:r>
              <w:t xml:space="preserve"> </w:t>
            </w:r>
            <w:r>
              <w:t xml:space="preserve">extend to Snowflake if a boundary decision ever authorizes it.</w:t>
            </w:r>
            <w:r>
              <w:t xml:space="preserve"> </w:t>
            </w:r>
            <w:r>
              <w:t xml:space="preserve">None of that is required to act.</w:t>
            </w:r>
            <w:r>
              <w:t xml:space="preserve"> </w:t>
            </w:r>
            <w:r>
              <w:rPr>
                <w:b/>
                <w:bCs/>
              </w:rPr>
              <w:t xml:space="preserve">Classify every principal by hand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DESCRIBE USER</w:t>
            </w:r>
            <w:r>
              <w:t xml:space="preserve"> </w:t>
            </w:r>
            <w:r>
              <w:t xml:space="preserve">plus login history),</w:t>
            </w:r>
            <w:r>
              <w:t xml:space="preserve"> </w:t>
            </w:r>
            <w:r>
              <w:rPr>
                <w:b/>
                <w:bCs/>
              </w:rPr>
              <w:t xml:space="preserve">treat any stored key pair 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 bridge it is, not the destination</w:t>
            </w:r>
            <w:r>
              <w:t xml:space="preserve"> </w:t>
            </w:r>
            <w:r>
              <w:t xml:space="preserve">(rotate it on a defined</w:t>
            </w:r>
            <w:r>
              <w:t xml:space="preserve"> </w:t>
            </w:r>
            <w:r>
              <w:t xml:space="preserve">cadence now), and</w:t>
            </w:r>
            <w:r>
              <w:t xml:space="preserve"> </w:t>
            </w:r>
            <w:r>
              <w:rPr>
                <w:b/>
                <w:bCs/>
              </w:rPr>
              <w:t xml:space="preserve">settle the GCC-Moderate boundary question before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 automation question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ADR-059</w:t>
            </w:r>
            <w:r>
              <w:t xml:space="preserve">/</w:t>
            </w:r>
            <w:r>
              <w:rPr>
                <w:rStyle w:val="VerbatimChar"/>
              </w:rPr>
              <w:t xml:space="preserve">ADR-033</w:t>
            </w:r>
            <w:r>
              <w:t xml:space="preserve"> </w:t>
            </w:r>
            <w:r>
              <w:t xml:space="preserve">pattern, or</w:t>
            </w:r>
            <w:r>
              <w:t xml:space="preserve"> </w:t>
            </w:r>
            <w:r>
              <w:rPr>
                <w:rStyle w:val="VerbatimChar"/>
              </w:rPr>
              <w:t xml:space="preserve">commercial-general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ADR-129</w:t>
            </w:r>
            <w:r>
              <w:t xml:space="preserve"> </w:t>
            </w:r>
            <w:r>
              <w:t xml:space="preserve">for non-federal work). All three are</w:t>
            </w:r>
            <w:r>
              <w:t xml:space="preserve"> </w:t>
            </w:r>
            <w:r>
              <w:t xml:space="preserve">manual, adapter-independent, and executable with no UIAO product in</w:t>
            </w:r>
            <w:r>
              <w:t xml:space="preserve"> </w:t>
            </w:r>
            <w:r>
              <w:t xml:space="preserve">place — the full Call to Action, with citations, is at the end of this</w:t>
            </w:r>
            <w:r>
              <w:t xml:space="preserve"> </w:t>
            </w:r>
            <w:r>
              <w:t xml:space="preserve">document.</w:t>
            </w:r>
          </w:p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snowflake-diagram-02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18" name="Picture"/>
                  <ns2:graphic>
                    <ns2:graphicData uri="http://schemas.openxmlformats.org/drawingml/2006/picture">
                      <ns3:pic>
                        <ns3:nvPicPr>
                          <ns3:cNvPr descr="images/snowflake-keypair-vs-uiao-orgpath-diagram-02-three-narratives-comparison.png" id="19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Three narratives — one movement: credential journey across Snowflake, UIAO, and OrgPath lenses</w:t>
            </w:r>
          </w:p>
          <w:bookmarkEnd w:id="20"/>
        </w:tc>
      </w:tr>
    </w:tbl>
    <w:p>
      <w:pPr>
        <w:pStyle w:val="BodyText"/>
      </w:pPr>
      <w:r>
        <w:t xml:space="preserve">There are three narratives in this document, and the whole point is that they</w:t>
      </w:r>
      <w:r>
        <w:t xml:space="preserve"> </w:t>
      </w:r>
      <w:r>
        <w:t xml:space="preserve">are not the same story told three ways — they are three different altitudes of</w:t>
      </w:r>
      <w:r>
        <w:t xml:space="preserve"> </w:t>
      </w:r>
      <w:r>
        <w:t xml:space="preserve">the same migration.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Snowflake narrative</w:t>
      </w:r>
      <w:r>
        <w:t xml:space="preserve"> </w:t>
      </w:r>
      <w:r>
        <w:t xml:space="preserve">is a product-deprecation narrative: passwords are</w:t>
      </w:r>
      <w:r>
        <w:t xml:space="preserve"> </w:t>
      </w:r>
      <w:r>
        <w:t xml:space="preserve">being switched off on a published schedule, and every account has to land</w:t>
      </w:r>
      <w:r>
        <w:t xml:space="preserve"> </w:t>
      </w:r>
      <w:r>
        <w:t xml:space="preserve">somewhere else before the lights go out. Snowflake’s recommended landing spot</w:t>
      </w:r>
      <w:r>
        <w:t xml:space="preserve"> </w:t>
      </w:r>
      <w:r>
        <w:t xml:space="preserve">for the accounts that cannot do interactive multi-factor authentication — the</w:t>
      </w:r>
      <w:r>
        <w:t xml:space="preserve"> </w:t>
      </w:r>
      <w:r>
        <w:t xml:space="preserve">service accounts, the pipelines, the dbt jobs — is</w:t>
      </w:r>
      <w:r>
        <w:t xml:space="preserve"> </w:t>
      </w:r>
      <w:r>
        <w:rPr>
          <w:b/>
          <w:bCs/>
        </w:rPr>
        <w:t xml:space="preserve">key-pair authentication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“key-pair conversion”</w:t>
      </w:r>
      <w:r>
        <w:t xml:space="preserve"> </w:t>
      </w:r>
      <w:r>
        <w:t xml:space="preserve">is the project that gets you off the password and onto</w:t>
      </w:r>
      <w:r>
        <w:t xml:space="preserve"> </w:t>
      </w:r>
      <w:r>
        <w:t xml:space="preserve">an RSA key before the deadline.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UIAO narrative</w:t>
      </w:r>
      <w:r>
        <w:t xml:space="preserve"> </w:t>
      </w:r>
      <w:r>
        <w:t xml:space="preserve">is a credential-lifecycle narrative. UIAO does not see a</w:t>
      </w:r>
      <w:r>
        <w:t xml:space="preserve"> </w:t>
      </w:r>
      <w:r>
        <w:t xml:space="preserve">password and a key pair as two points on a security scale where the key pair is</w:t>
      </w:r>
      <w:r>
        <w:t xml:space="preserve"> </w:t>
      </w:r>
      <w:r>
        <w:t xml:space="preserve">simply</w:t>
      </w:r>
      <w:r>
        <w:t xml:space="preserve"> </w:t>
      </w:r>
      <w:r>
        <w:t xml:space="preserve">“more secure.”</w:t>
      </w:r>
      <w:r>
        <w:t xml:space="preserve"> </w:t>
      </w:r>
      <w:r>
        <w:t xml:space="preserve">It sees a</w:t>
      </w:r>
      <w:r>
        <w:t xml:space="preserve"> </w:t>
      </w:r>
      <w:r>
        <w:rPr>
          <w:i/>
          <w:iCs/>
        </w:rPr>
        <w:t xml:space="preserve">shared secret that must be eliminated</w:t>
      </w:r>
      <w:r>
        <w:t xml:space="preserve"> </w:t>
      </w:r>
      <w:r>
        <w:t xml:space="preserve">(the</w:t>
      </w:r>
      <w:r>
        <w:t xml:space="preserve"> </w:t>
      </w:r>
      <w:r>
        <w:t xml:space="preserve">password) and a</w:t>
      </w:r>
      <w:r>
        <w:t xml:space="preserve"> </w:t>
      </w:r>
      <w:r>
        <w:rPr>
          <w:i/>
          <w:iCs/>
        </w:rPr>
        <w:t xml:space="preserve">stored credential that should be a dated, compensated exception</w:t>
      </w:r>
      <w:r>
        <w:t xml:space="preserve"> </w:t>
      </w:r>
      <w:r>
        <w:t xml:space="preserve">(the raw key pair) on the way to a</w:t>
      </w:r>
      <w:r>
        <w:t xml:space="preserve"> </w:t>
      </w:r>
      <w:r>
        <w:rPr>
          <w:i/>
          <w:iCs/>
        </w:rPr>
        <w:t xml:space="preserve">credential-free steady state</w:t>
      </w:r>
      <w:r>
        <w:t xml:space="preserve"> </w:t>
      </w:r>
      <w:r>
        <w:t xml:space="preserve">(federation to</w:t>
      </w:r>
      <w:r>
        <w:t xml:space="preserve"> </w:t>
      </w:r>
      <w:r>
        <w:t xml:space="preserve">the identity provider, where no long-lived secret is stored anywhere). The</w:t>
      </w:r>
      <w:r>
        <w:t xml:space="preserve"> </w:t>
      </w:r>
      <w:r>
        <w:t xml:space="preserve">key-pair conversion is endorsed — but as Phase A of a longer move, not as the</w:t>
      </w:r>
      <w:r>
        <w:t xml:space="preserve"> </w:t>
      </w:r>
      <w:r>
        <w:t xml:space="preserve">finish line.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OrgPath narrative</w:t>
      </w:r>
      <w:r>
        <w:t xml:space="preserve"> </w:t>
      </w:r>
      <w:r>
        <w:t xml:space="preserve">is an access-authority narrative. It is not about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principal proves who they are (that is the authentication question UIAO</w:t>
      </w:r>
      <w:r>
        <w:t xml:space="preserve"> </w:t>
      </w:r>
      <w:r>
        <w:t xml:space="preserve">answers); it is about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principals may reach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Snowflake roles, and</w:t>
      </w:r>
      <w:r>
        <w:t xml:space="preserve"> </w:t>
      </w:r>
      <w:r>
        <w:t xml:space="preserve">whether that grant is computed from the organization’s own structure or</w:t>
      </w:r>
      <w:r>
        <w:t xml:space="preserve"> </w:t>
      </w:r>
      <w:r>
        <w:t xml:space="preserve">maintained by hand in a ticket queue. OrgPath is the coordinate system that</w:t>
      </w:r>
      <w:r>
        <w:t xml:space="preserve"> </w:t>
      </w:r>
      <w:r>
        <w:t xml:space="preserve">turns</w:t>
      </w:r>
      <w:r>
        <w:t xml:space="preserve"> </w:t>
      </w:r>
      <w:r>
        <w:t xml:space="preserve">“who should have access to the finance warehouse”</w:t>
      </w:r>
      <w:r>
        <w:t xml:space="preserve"> </w:t>
      </w:r>
      <w:r>
        <w:t xml:space="preserve">into a rule the</w:t>
      </w:r>
      <w:r>
        <w:t xml:space="preserve"> </w:t>
      </w:r>
      <w:r>
        <w:t xml:space="preserve">substrate evaluates continuously, and turns a stray grant into a drift event.</w:t>
      </w:r>
    </w:p>
    <w:p>
      <w:pPr>
        <w:pStyle w:val="BodyText"/>
      </w:pPr>
      <w:r>
        <w:t xml:space="preserve">Read together, the three describe one movement: Snowflake forces the credential</w:t>
      </w:r>
      <w:r>
        <w:t xml:space="preserve"> </w:t>
      </w:r>
      <w:r>
        <w:t xml:space="preserve">change; UIAO governs</w:t>
      </w:r>
      <w:r>
        <w:t xml:space="preserve"> </w:t>
      </w:r>
      <w:r>
        <w:rPr>
          <w:i/>
          <w:iCs/>
        </w:rPr>
        <w:t xml:space="preserve">what the credential becomes</w:t>
      </w:r>
      <w:r>
        <w:t xml:space="preserve">; OrgPath governs</w:t>
      </w:r>
      <w:r>
        <w:t xml:space="preserve"> </w:t>
      </w:r>
      <w:r>
        <w:rPr>
          <w:i/>
          <w:iCs/>
        </w:rPr>
        <w:t xml:space="preserve">who the</w:t>
      </w:r>
      <w:r>
        <w:rPr>
          <w:i/>
          <w:iCs/>
        </w:rPr>
        <w:t xml:space="preserve"> </w:t>
      </w:r>
      <w:r>
        <w:rPr>
          <w:i/>
          <w:iCs/>
        </w:rPr>
        <w:t xml:space="preserve">credential is for</w:t>
      </w:r>
      <w:r>
        <w:t xml:space="preserve">. This document takes each in turn, then puts them</w:t>
      </w:r>
      <w:r>
        <w:t xml:space="preserve"> </w:t>
      </w:r>
      <w:r>
        <w:t xml:space="preserve">side-by-side.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nowflake-diagram-01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22" name="Picture"/>
                  <ns2:graphic>
                    <ns2:graphicData uri="http://schemas.openxmlformats.org/drawingml/2006/picture">
                      <ns3:pic>
                        <ns3:nvPicPr>
                          <ns3:cNvPr descr="images/snowflake-keypair-vs-uiao-orgpath-diagram-01-five-moves-credential-journey.png" id="23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1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Credential journey — Password to Key Pair to Federation across three narratives</w:t>
            </w:r>
          </w:p>
          <w:bookmarkEnd w:id="24"/>
        </w:tc>
      </w:tr>
    </w:tbl>
    <w:bookmarkStart w:id="32" w:name="part-1-the-snowflake-narrative"/>
    <w:p>
      <w:pPr>
        <w:pStyle w:val="Heading2"/>
      </w:pPr>
      <w:r>
        <w:t xml:space="preserve">Part 1 — The Snowflake narrative</w:t>
      </w:r>
    </w:p>
    <w:bookmarkStart w:id="26" w:name="why-the-conversion-is-happening-at-all"/>
    <w:p>
      <w:pPr>
        <w:pStyle w:val="Heading3"/>
      </w:pPr>
      <w:r>
        <w:t xml:space="preserve">Why the conversion is happening at all</w:t>
      </w:r>
    </w:p>
    <w:p>
      <w:pPr>
        <w:pStyle w:val="FirstParagraph"/>
      </w:pPr>
      <w:r>
        <w:t xml:space="preserve">Snowflake is retiring single-factor password sign-ins on a published, phased</w:t>
      </w:r>
      <w:r>
        <w:t xml:space="preserve"> </w:t>
      </w:r>
      <w:r>
        <w:t xml:space="preserve">schedule. Human users on accounts without a custom authentication policy were</w:t>
      </w:r>
      <w:r>
        <w:t xml:space="preserve"> </w:t>
      </w:r>
      <w:r>
        <w:t xml:space="preserve">required to enroll in MFA the next time they signed in with a password</w:t>
      </w:r>
      <w:r>
        <w:t xml:space="preserve"> </w:t>
      </w:r>
      <w:r>
        <w:t xml:space="preserve">(beginning April 2025); MFA became mandatory for all password-based human</w:t>
      </w:r>
      <w:r>
        <w:t xml:space="preserve"> </w:t>
      </w:r>
      <w:r>
        <w:t xml:space="preserve">sign-ins regardless of policy (August 2025); and single-factor password sign-in</w:t>
      </w:r>
      <w:r>
        <w:t xml:space="preserve"> </w:t>
      </w:r>
      <w:r>
        <w:t xml:space="preserve">attempts are blocked outright thereafter, with the final enforcement phase</w:t>
      </w:r>
      <w:r>
        <w:t xml:space="preserve"> </w:t>
      </w:r>
      <w:r>
        <w:t xml:space="preserve">scheduled across 2026 (</w:t>
      </w:r>
      <w:hyperlink r:id="rId25">
        <w:r>
          <w:rPr>
            <w:rStyle w:val="Hyperlink"/>
          </w:rPr>
          <w:t xml:space="preserve">Snowflake —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Planning for the deprecation of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single-factor password sign-ins</w:t>
        </w:r>
      </w:hyperlink>
      <w:r>
        <w:t xml:space="preserve">).</w:t>
      </w:r>
      <w:r>
        <w:t xml:space="preserve"> </w:t>
      </w:r>
      <w:r>
        <w:t xml:space="preserve">The driver is the credential-theft reality of a SaaS data platform: a password</w:t>
      </w:r>
      <w:r>
        <w:t xml:space="preserve"> </w:t>
      </w:r>
      <w:r>
        <w:t xml:space="preserve">is a reusable secret, and a reused secret is the entire attack.</w:t>
      </w:r>
    </w:p>
    <w:p>
      <w:pPr>
        <w:pStyle w:val="BodyText"/>
      </w:pPr>
      <w:r>
        <w:t xml:space="preserve">The deprecation has a structural consequence that the human-MFA story tends to</w:t>
      </w:r>
      <w:r>
        <w:t xml:space="preserve"> </w:t>
      </w:r>
      <w:r>
        <w:t xml:space="preserve">bury.</w:t>
      </w:r>
      <w:r>
        <w:t xml:space="preserve"> </w:t>
      </w:r>
      <w:r>
        <w:rPr>
          <w:b/>
          <w:bCs/>
        </w:rPr>
        <w:t xml:space="preserve">MFA is not available to a non-interactive account.</w:t>
      </w:r>
      <w:r>
        <w:t xml:space="preserve"> </w:t>
      </w:r>
      <w:r>
        <w:t xml:space="preserve">A nightly ELT job,</w:t>
      </w:r>
      <w:r>
        <w:t xml:space="preserve"> </w:t>
      </w:r>
      <w:r>
        <w:t xml:space="preserve">a dbt run, an ingestion pipeline, a BI service connection — none of these can</w:t>
      </w:r>
      <w:r>
        <w:t xml:space="preserve"> </w:t>
      </w:r>
      <w:r>
        <w:t xml:space="preserve">answer a push prompt. So the password deprecation splits the estate in two:</w:t>
      </w:r>
      <w:r>
        <w:t xml:space="preserve"> </w:t>
      </w:r>
      <w:r>
        <w:t xml:space="preserve">human users move to MFA (or SSO), and</w:t>
      </w:r>
      <w:r>
        <w:t xml:space="preserve"> </w:t>
      </w:r>
      <w:r>
        <w:rPr>
          <w:b/>
          <w:bCs/>
        </w:rPr>
        <w:t xml:space="preserve">service users must move off passwords to</w:t>
      </w:r>
      <w:r>
        <w:rPr>
          <w:b/>
          <w:bCs/>
        </w:rPr>
        <w:t xml:space="preserve"> </w:t>
      </w:r>
      <w:r>
        <w:rPr>
          <w:b/>
          <w:bCs/>
        </w:rPr>
        <w:t xml:space="preserve">a non-interactive credential.</w:t>
      </w:r>
      <w:r>
        <w:t xml:space="preserve"> </w:t>
      </w:r>
      <w:r>
        <w:t xml:space="preserve">Snowflake names exactly which credentials remain</w:t>
      </w:r>
      <w:r>
        <w:t xml:space="preserve"> </w:t>
      </w:r>
      <w:r>
        <w:t xml:space="preserve">acceptable: the deprecation</w:t>
      </w:r>
      <w:r>
        <w:t xml:space="preserve"> </w:t>
      </w:r>
      <w:r>
        <w:t xml:space="preserve">“doesn’t apply to customers using key-pair</w:t>
      </w:r>
      <w:r>
        <w:t xml:space="preserve"> </w:t>
      </w:r>
      <w:r>
        <w:t xml:space="preserve">authentication or single sign-on users using … SAML or OAuth”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Snowflake —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security-mfa-rollout</w:t>
        </w:r>
      </w:hyperlink>
      <w:r>
        <w:t xml:space="preserve">).</w:t>
      </w:r>
      <w:r>
        <w:t xml:space="preserve"> </w:t>
      </w:r>
      <w:r>
        <w:t xml:space="preserve">That sentence is the whole map. There are three exits from the password, and the</w:t>
      </w:r>
      <w:r>
        <w:t xml:space="preserve"> </w:t>
      </w:r>
      <w:r>
        <w:t xml:space="preserve">“key-pair conversion”</w:t>
      </w:r>
      <w:r>
        <w:t xml:space="preserve"> </w:t>
      </w:r>
      <w:r>
        <w:t xml:space="preserve">is the first of them.</w:t>
      </w:r>
    </w:p>
    <w:bookmarkEnd w:id="26"/>
    <w:bookmarkStart w:id="28" w:name="what-the-key-pair-conversion-actually-is"/>
    <w:p>
      <w:pPr>
        <w:pStyle w:val="Heading3"/>
      </w:pPr>
      <w:r>
        <w:t xml:space="preserve">What the key-pair conversion actually is</w:t>
      </w:r>
    </w:p>
    <w:p>
      <w:pPr>
        <w:pStyle w:val="FirstParagraph"/>
      </w:pPr>
      <w:r>
        <w:t xml:space="preserve">Snowflake key-pair authentication assigns an RSA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key to a user with</w:t>
      </w:r>
      <w:r>
        <w:t xml:space="preserve"> </w:t>
      </w:r>
      <w:r>
        <w:rPr>
          <w:rStyle w:val="VerbatimChar"/>
        </w:rPr>
        <w:t xml:space="preserve">ALTER USER &lt;u&gt; SET RSA_PUBLIC_KEY='…'</w:t>
      </w:r>
      <w:r>
        <w:t xml:space="preserve">; the client holds the matching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key and authenticates by signing a JWT that Snowflake verifies</w:t>
      </w:r>
      <w:r>
        <w:t xml:space="preserve"> </w:t>
      </w:r>
      <w:r>
        <w:t xml:space="preserve">against the stored public key. The method requires a</w:t>
      </w:r>
      <w:r>
        <w:t xml:space="preserve"> </w:t>
      </w:r>
      <w:r>
        <w:rPr>
          <w:b/>
          <w:bCs/>
        </w:rPr>
        <w:t xml:space="preserve">2048-bit RSA key pair</w:t>
      </w:r>
      <w:r>
        <w:t xml:space="preserve"> </w:t>
      </w:r>
      <w:r>
        <w:t xml:space="preserve">as a minimum, and supports make-before-break rotation by allowing two active</w:t>
      </w:r>
      <w:r>
        <w:t xml:space="preserve"> </w:t>
      </w:r>
      <w:r>
        <w:t xml:space="preserve">public keys at once via the</w:t>
      </w:r>
      <w:r>
        <w:t xml:space="preserve"> </w:t>
      </w:r>
      <w:r>
        <w:rPr>
          <w:rStyle w:val="VerbatimChar"/>
        </w:rPr>
        <w:t xml:space="preserve">RSA_PUBLIC_KEY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RSA_PUBLIC_KEY_2</w:t>
      </w:r>
      <w:r>
        <w:t xml:space="preserve"> </w:t>
      </w:r>
      <w:r>
        <w:t xml:space="preserve">parameters:</w:t>
      </w:r>
      <w:r>
        <w:t xml:space="preserve"> </w:t>
      </w:r>
      <w:r>
        <w:t xml:space="preserve">generate a new pair, set the unused slot, cut the client over, then remove the</w:t>
      </w:r>
      <w:r>
        <w:t xml:space="preserve"> </w:t>
      </w:r>
      <w:r>
        <w:t xml:space="preserve">old key (</w:t>
      </w:r>
      <w:hyperlink r:id="rId27">
        <w:r>
          <w:rPr>
            <w:rStyle w:val="Hyperlink"/>
          </w:rPr>
          <w:t xml:space="preserve">Snowflake —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Key-pair authentication and key-pair rotation</w:t>
        </w:r>
      </w:hyperlink>
      <w:r>
        <w:t xml:space="preserve">).</w:t>
      </w:r>
    </w:p>
    <w:p>
      <w:pPr>
        <w:pStyle w:val="BodyText"/>
      </w:pPr>
      <w:r>
        <w:t xml:space="preserve">For service workloads, the modern target is</w:t>
      </w:r>
      <w:r>
        <w:t xml:space="preserve"> </w:t>
      </w:r>
      <w:r>
        <w:rPr>
          <w:rStyle w:val="VerbatimChar"/>
        </w:rPr>
        <w:t xml:space="preserve">TYPE = SERVICE</w:t>
      </w:r>
      <w:r>
        <w:t xml:space="preserve"> </w:t>
      </w:r>
      <w:r>
        <w:t xml:space="preserve">users, which cannot</w:t>
      </w:r>
      <w:r>
        <w:t xml:space="preserve"> </w:t>
      </w:r>
      <w:r>
        <w:t xml:space="preserve">hold passwords or do MFA and authenticate with key pair, OAuth, or workload</w:t>
      </w:r>
      <w:r>
        <w:t xml:space="preserve"> </w:t>
      </w:r>
      <w:r>
        <w:t xml:space="preserve">identity. The conversion project, in practice, is: inventory the password-bearing</w:t>
      </w:r>
      <w:r>
        <w:t xml:space="preserve"> </w:t>
      </w:r>
      <w:r>
        <w:t xml:space="preserve">service accounts, generate a key pair for each, register the public key, store</w:t>
      </w:r>
      <w:r>
        <w:t xml:space="preserve"> </w:t>
      </w:r>
      <w:r>
        <w:t xml:space="preserve">the private key where the workload can read it, and disable the password.</w:t>
      </w:r>
    </w:p>
    <w:bookmarkEnd w:id="28"/>
    <w:bookmarkStart w:id="31" w:name="X67ef7f375f5d408007d3095a8022baadcc10a20"/>
    <w:p>
      <w:pPr>
        <w:pStyle w:val="Heading3"/>
      </w:pPr>
      <w:r>
        <w:t xml:space="preserve">Where the Snowflake narrative quietly points next</w:t>
      </w:r>
    </w:p>
    <w:p>
      <w:pPr>
        <w:pStyle w:val="FirstParagraph"/>
      </w:pPr>
      <w:r>
        <w:t xml:space="preserve">Snowflake’s own documentation does not stop at the key pair. In August 2025 it</w:t>
      </w:r>
      <w:r>
        <w:t xml:space="preserve"> </w:t>
      </w:r>
      <w:r>
        <w:t xml:space="preserve">made</w:t>
      </w:r>
      <w:r>
        <w:t xml:space="preserve"> </w:t>
      </w:r>
      <w:r>
        <w:rPr>
          <w:b/>
          <w:bCs/>
        </w:rPr>
        <w:t xml:space="preserve">workload identity federation (WIF)</w:t>
      </w:r>
      <w:r>
        <w:t xml:space="preserve"> </w:t>
      </w:r>
      <w:r>
        <w:t xml:space="preserve">generally available, and it describes</w:t>
      </w:r>
      <w:r>
        <w:t xml:space="preserve"> </w:t>
      </w:r>
      <w:r>
        <w:t xml:space="preserve">WIF in terms that matter to this whole discussion: WIF lets workloads</w:t>
      </w:r>
      <w:r>
        <w:t xml:space="preserve"> </w:t>
      </w:r>
      <w:r>
        <w:t xml:space="preserve">authenticate</w:t>
      </w:r>
      <w:r>
        <w:t xml:space="preserve"> </w:t>
      </w:r>
      <w:r>
        <w:t xml:space="preserve">“using their cloud provider’s native identity system, such as AWS</w:t>
      </w:r>
      <w:r>
        <w:t xml:space="preserve"> </w:t>
      </w:r>
      <w:r>
        <w:t xml:space="preserve">IAM roles, Microsoft Entra ID, and Google Cloud service accounts,”</w:t>
      </w:r>
      <w:r>
        <w:t xml:space="preserve"> </w:t>
      </w:r>
      <w:r>
        <w:t xml:space="preserve">and — in</w:t>
      </w:r>
      <w:r>
        <w:t xml:space="preserve"> </w:t>
      </w:r>
      <w:r>
        <w:t xml:space="preserve">Snowflake’s own words —</w:t>
      </w:r>
      <w:r>
        <w:t xml:space="preserve"> </w:t>
      </w:r>
      <w:r>
        <w:rPr>
          <w:b/>
          <w:bCs/>
        </w:rPr>
        <w:t xml:space="preserve">“removes the need to manage and store long-lived</w:t>
      </w:r>
      <w:r>
        <w:rPr>
          <w:b/>
          <w:bCs/>
        </w:rPr>
        <w:t xml:space="preserve"> </w:t>
      </w:r>
      <w:r>
        <w:rPr>
          <w:b/>
          <w:bCs/>
        </w:rPr>
        <w:t xml:space="preserve">credentials such as passwords, API keys, key pairs, and programmatic access</w:t>
      </w:r>
      <w:r>
        <w:rPr>
          <w:b/>
          <w:bCs/>
        </w:rPr>
        <w:t xml:space="preserve"> </w:t>
      </w:r>
      <w:r>
        <w:rPr>
          <w:b/>
          <w:bCs/>
        </w:rPr>
        <w:t xml:space="preserve">tokens”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Snowflake —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Workload identity federation</w:t>
        </w:r>
      </w:hyperlink>
      <w:r>
        <w:t xml:space="preserve">;</w:t>
      </w:r>
      <w:r>
        <w:t xml:space="preserve"> </w:t>
      </w:r>
      <w:hyperlink r:id="rId30">
        <w:r>
          <w:rPr>
            <w:rStyle w:val="Hyperlink"/>
          </w:rPr>
          <w:t xml:space="preserve">GA announcement, 2025-08-14</w:t>
        </w:r>
      </w:hyperlink>
      <w:r>
        <w:t xml:space="preserve">).</w:t>
      </w:r>
    </w:p>
    <w:p>
      <w:pPr>
        <w:pStyle w:val="BodyText"/>
      </w:pPr>
      <w:r>
        <w:t xml:space="preserve">Read that list again: Snowflake places</w:t>
      </w:r>
      <w:r>
        <w:t xml:space="preserve"> </w:t>
      </w:r>
      <w:r>
        <w:rPr>
          <w:b/>
          <w:bCs/>
        </w:rPr>
        <w:t xml:space="preserve">key pairs in the same sentence as the</w:t>
      </w:r>
      <w:r>
        <w:rPr>
          <w:b/>
          <w:bCs/>
        </w:rPr>
        <w:t xml:space="preserve"> </w:t>
      </w:r>
      <w:r>
        <w:rPr>
          <w:b/>
          <w:bCs/>
        </w:rPr>
        <w:t xml:space="preserve">passwords it is deprecating</w:t>
      </w:r>
      <w:r>
        <w:t xml:space="preserve"> </w:t>
      </w:r>
      <w:r>
        <w:t xml:space="preserve">— both are long-lived credentials WIF exists to</w:t>
      </w:r>
      <w:r>
        <w:t xml:space="preserve"> </w:t>
      </w:r>
      <w:r>
        <w:t xml:space="preserve">eliminate. The vendor’s own roadmap therefore already contains the UIAO thesis.</w:t>
      </w:r>
      <w:r>
        <w:t xml:space="preserve"> </w:t>
      </w:r>
      <w:r>
        <w:t xml:space="preserve">The key-pair conversion is the move you make under deadline pressure; federation</w:t>
      </w:r>
      <w:r>
        <w:t xml:space="preserve"> </w:t>
      </w:r>
      <w:r>
        <w:t xml:space="preserve">is the move the platform tells you is the destination. The rest of this document</w:t>
      </w:r>
      <w:r>
        <w:t xml:space="preserve"> </w:t>
      </w:r>
      <w:r>
        <w:t xml:space="preserve">is about making that distinction governable rather than incidental.</w:t>
      </w:r>
    </w:p>
    <w:bookmarkEnd w:id="31"/>
    <w:bookmarkEnd w:id="32"/>
    <w:bookmarkStart w:id="33" w:name="part-2-how-the-doctrine-would-extend"/>
    <w:p>
      <w:pPr>
        <w:pStyle w:val="Heading2"/>
      </w:pPr>
      <w:r>
        <w:t xml:space="preserve">Part 2 — How the doctrine would extend</w:t>
      </w:r>
    </w:p>
    <w:p>
      <w:pPr>
        <w:pStyle w:val="FirstParagraph"/>
      </w:pPr>
      <w:r>
        <w:t xml:space="preserve">UIAO already has a doctrine for this exact problem shape — written for SQL</w:t>
      </w:r>
      <w:r>
        <w:t xml:space="preserve"> </w:t>
      </w:r>
      <w:r>
        <w:t xml:space="preserve">Server and for Kerberos/NTLM — and it transfers because the object classes</w:t>
      </w:r>
      <w:r>
        <w:t xml:space="preserve"> </w:t>
      </w:r>
      <w:r>
        <w:t xml:space="preserve">are the same everywhere: a shared secret, a stored credential, and a</w:t>
      </w:r>
      <w:r>
        <w:t xml:space="preserve"> </w:t>
      </w:r>
      <w:r>
        <w:t xml:space="preserve">federated identity. Reading the Snowflake conversion through that doctrine</w:t>
      </w:r>
      <w:r>
        <w:t xml:space="preserve"> </w:t>
      </w:r>
      <w:r>
        <w:t xml:space="preserve">compresses to four moves.</w:t>
      </w:r>
    </w:p>
    <w:p>
      <w:pPr>
        <w:pStyle w:val="BodyText"/>
      </w:pPr>
      <w:r>
        <w:rPr>
          <w:b/>
          <w:bCs/>
        </w:rPr>
        <w:t xml:space="preserve">The password is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type-S</w:t>
      </w:r>
      <w:r>
        <w:rPr>
          <w:b/>
          <w:bCs/>
        </w:rPr>
        <w:t xml:space="preserve"> </w:t>
      </w:r>
      <w:r>
        <w:rPr>
          <w:b/>
          <w:bCs/>
        </w:rPr>
        <w:t xml:space="preserve">login; it must end, not rotate.</w:t>
      </w:r>
      <w:r>
        <w:t xml:space="preserve"> </w:t>
      </w:r>
      <w:r>
        <w:rPr>
          <w:rStyle w:val="VerbatimChar"/>
        </w:rPr>
        <w:t xml:space="preserve">ADR-091</w:t>
      </w:r>
      <w:r>
        <w:t xml:space="preserve">’s</w:t>
      </w:r>
      <w:r>
        <w:t xml:space="preserve"> </w:t>
      </w:r>
      <w:r>
        <w:t xml:space="preserve">verdict on SQL Server passwords —</w:t>
      </w:r>
      <w:r>
        <w:t xml:space="preserve"> </w:t>
      </w:r>
      <w:r>
        <w:t xml:space="preserve">“produces no Entra ID sign-in events and</w:t>
      </w:r>
      <w:r>
        <w:t xml:space="preserve"> </w:t>
      </w:r>
      <w:r>
        <w:t xml:space="preserve">is invisible to Conditional Access and Defender for Identity; it is not an</w:t>
      </w:r>
      <w:r>
        <w:t xml:space="preserve"> </w:t>
      </w:r>
      <w:r>
        <w:t xml:space="preserve">acceptable steady-state credential”</w:t>
      </w:r>
      <w:r>
        <w:t xml:space="preserve"> </w:t>
      </w:r>
      <w:r>
        <w:t xml:space="preserve">— transfers to a Snowflake password</w:t>
      </w:r>
      <w:r>
        <w:t xml:space="preserve"> </w:t>
      </w:r>
      <w:r>
        <w:t xml:space="preserve">unmodified. UIAO and Snowflake’s own deprecation schedule agree completely</w:t>
      </w:r>
      <w:r>
        <w:t xml:space="preserve"> </w:t>
      </w:r>
      <w:r>
        <w:t xml:space="preserve">here; the conversion is endorsed without qualification.</w:t>
      </w:r>
    </w:p>
    <w:p>
      <w:pPr>
        <w:pStyle w:val="BodyText"/>
      </w:pPr>
      <w:r>
        <w:rPr>
          <w:b/>
          <w:bCs/>
        </w:rPr>
        <w:t xml:space="preserve">The raw key pair is the interim posture, not the destination.</w:t>
      </w:r>
      <w:r>
        <w:t xml:space="preserve"> </w:t>
      </w:r>
      <w:r>
        <w:t xml:space="preserve">Following</w:t>
      </w:r>
      <w:r>
        <w:t xml:space="preserve"> </w:t>
      </w:r>
      <w:r>
        <w:t xml:space="preserve">the pattern</w:t>
      </w:r>
      <w:r>
        <w:t xml:space="preserve"> </w:t>
      </w:r>
      <w:r>
        <w:rPr>
          <w:rStyle w:val="VerbatimChar"/>
        </w:rPr>
        <w:t xml:space="preserve">ADR-068</w:t>
      </w:r>
      <w:r>
        <w:t xml:space="preserve"> </w:t>
      </w:r>
      <w:r>
        <w:t xml:space="preserve">sets for Kerberos/NTLM and</w:t>
      </w:r>
      <w:r>
        <w:t xml:space="preserve"> </w:t>
      </w:r>
      <w:r>
        <w:rPr>
          <w:rStyle w:val="VerbatimChar"/>
        </w:rPr>
        <w:t xml:space="preserve">ADR-091 §4</w:t>
      </w:r>
      <w:r>
        <w:t xml:space="preserve"> </w:t>
      </w:r>
      <w:r>
        <w:t xml:space="preserve">carries</w:t>
      </w:r>
      <w:r>
        <w:t xml:space="preserve"> </w:t>
      </w:r>
      <w:r>
        <w:t xml:space="preserve">forward, a Snowflake RSA key pair is replay-resistant and public-key based</w:t>
      </w:r>
      <w:r>
        <w:t xml:space="preserve"> </w:t>
      </w:r>
      <w:r>
        <w:t xml:space="preserve">(pointing at IA-5(2) and IA-2(8)) — but authentication still terminates at</w:t>
      </w:r>
      <w:r>
        <w:t xml:space="preserve"> </w:t>
      </w:r>
      <w:r>
        <w:t xml:space="preserve">Snowflake, so Conditional Access never evaluates it. That makes it an</w:t>
      </w:r>
      <w:r>
        <w:t xml:space="preserve"> </w:t>
      </w:r>
      <w:r>
        <w:rPr>
          <w:b/>
          <w:bCs/>
        </w:rPr>
        <w:t xml:space="preserve">exception-register entry</w:t>
      </w:r>
      <w:r>
        <w:t xml:space="preserve">: an inability-to-federate reason, a</w:t>
      </w:r>
      <w:r>
        <w:t xml:space="preserve"> </w:t>
      </w:r>
      <w:r>
        <w:t xml:space="preserve">compensating control, and a sunset date, per the same</w:t>
      </w:r>
      <w:r>
        <w:t xml:space="preserve"> </w:t>
      </w:r>
      <w:r>
        <w:rPr>
          <w:rStyle w:val="VerbatimChar"/>
        </w:rPr>
        <w:t xml:space="preserve">ADR-068</w:t>
      </w:r>
      <w:r>
        <w:t xml:space="preserve">/</w:t>
      </w:r>
      <w:r>
        <w:rPr>
          <w:rStyle w:val="VerbatimChar"/>
        </w:rPr>
        <w:t xml:space="preserve">ADR-091 §4</w:t>
      </w:r>
      <w:r>
        <w:t xml:space="preserve"> </w:t>
      </w:r>
      <w:r>
        <w:t xml:space="preserve">exception process.</w:t>
      </w:r>
    </w:p>
    <w:p>
      <w:pPr>
        <w:pStyle w:val="BodyText"/>
      </w:pPr>
      <w:r>
        <w:rPr>
          <w:b/>
          <w:bCs/>
        </w:rPr>
        <w:t xml:space="preserve">The stored private key is a credential UIAO already rejected.</w:t>
      </w:r>
      <w:r>
        <w:t xml:space="preserve"> </w:t>
      </w:r>
      <w:r>
        <w:t xml:space="preserve">A</w:t>
      </w:r>
      <w:r>
        <w:t xml:space="preserve"> </w:t>
      </w:r>
      <w:r>
        <w:t xml:space="preserve">Snowflake</w:t>
      </w:r>
      <w:r>
        <w:t xml:space="preserve"> </w:t>
      </w:r>
      <w:r>
        <w:rPr>
          <w:rStyle w:val="VerbatimChar"/>
        </w:rPr>
        <w:t xml:space="preserve">.p8</w:t>
      </w:r>
      <w:r>
        <w:t xml:space="preserve"> </w:t>
      </w:r>
      <w:r>
        <w:t xml:space="preserve">private key is exportable software key material — the same</w:t>
      </w:r>
      <w:r>
        <w:t xml:space="preserve"> </w:t>
      </w:r>
      <w:r>
        <w:rPr>
          <w:i/>
          <w:iCs/>
        </w:rPr>
        <w:t xml:space="preserve">stored bootstrap credential</w:t>
      </w:r>
      <w:r>
        <w:t xml:space="preserve"> </w:t>
      </w:r>
      <w:r>
        <w:rPr>
          <w:rStyle w:val="VerbatimChar"/>
        </w:rPr>
        <w:t xml:space="preserve">ADR-004</w:t>
      </w:r>
      <w:r>
        <w:t xml:space="preserve"> </w:t>
      </w:r>
      <w:r>
        <w:t xml:space="preserve">(</w:t>
      </w:r>
      <w:r>
        <w:rPr>
          <w:b/>
          <w:bCs/>
        </w:rPr>
        <w:t xml:space="preserve">ACCEPTED</w:t>
      </w:r>
      <w:r>
        <w:t xml:space="preserve">) prohibits for new</w:t>
      </w:r>
      <w:r>
        <w:t xml:space="preserve"> </w:t>
      </w:r>
      <w:r>
        <w:t xml:space="preserve">integrations, permitting certificate-based auth</w:t>
      </w:r>
      <w:r>
        <w:t xml:space="preserve"> </w:t>
      </w:r>
      <w:r>
        <w:t xml:space="preserve">“only when the external</w:t>
      </w:r>
      <w:r>
        <w:t xml:space="preserve"> </w:t>
      </w:r>
      <w:r>
        <w:t xml:space="preserve">platform lacks OIDC issuer capability.”</w:t>
      </w:r>
      <w:r>
        <w:t xml:space="preserve"> </w:t>
      </w:r>
      <w:r>
        <w:t xml:space="preserve">Mapped onto Snowflake, the password</w:t>
      </w:r>
      <w:r>
        <w:t xml:space="preserve"> </w:t>
      </w:r>
      <w:r>
        <w:t xml:space="preserve">is the prohibited client secret, the RSA key pair is the certificate-based</w:t>
      </w:r>
      <w:r>
        <w:t xml:space="preserve"> </w:t>
      </w:r>
      <w:r>
        <w:t xml:space="preserve">fallback, and WIF is the default. The</w:t>
      </w:r>
      <w:r>
        <w:t xml:space="preserve"> </w:t>
      </w:r>
      <w:r>
        <w:t xml:space="preserve">“key-pair conversion”</w:t>
      </w:r>
      <w:r>
        <w:t xml:space="preserve"> </w:t>
      </w:r>
      <w:r>
        <w:t xml:space="preserve">relocates risk</w:t>
      </w:r>
      <w:r>
        <w:t xml:space="preserve"> </w:t>
      </w:r>
      <w:r>
        <w:t xml:space="preserve">from password-in-config to key-in-PEM; it does not leave the</w:t>
      </w:r>
      <w:r>
        <w:t xml:space="preserve"> </w:t>
      </w:r>
      <w:r>
        <w:t xml:space="preserve">stored-credential class UIAO already named and rejected.</w:t>
      </w:r>
    </w:p>
    <w:p>
      <w:pPr>
        <w:pStyle w:val="BodyText"/>
      </w:pPr>
      <w:r>
        <w:rPr>
          <w:b/>
          <w:bCs/>
        </w:rPr>
        <w:t xml:space="preserve">The destination is federation — no long-lived secret anywhere.</w:t>
      </w:r>
      <w:r>
        <w:t xml:space="preserve"> </w:t>
      </w:r>
      <w:r>
        <w:rPr>
          <w:rStyle w:val="VerbatimChar"/>
        </w:rPr>
        <w:t xml:space="preserve">ADR-002</w:t>
      </w:r>
      <w:r>
        <w:t xml:space="preserve"> </w:t>
      </w:r>
      <w:r>
        <w:t xml:space="preserve">makes the Managed Identity the credential-free destination and</w:t>
      </w:r>
      <w:r>
        <w:t xml:space="preserve"> </w:t>
      </w:r>
      <w:r>
        <w:rPr>
          <w:rStyle w:val="VerbatimChar"/>
        </w:rPr>
        <w:t xml:space="preserve">ADR-004</w:t>
      </w:r>
      <w:r>
        <w:t xml:space="preserve"> </w:t>
      </w:r>
      <w:r>
        <w:t xml:space="preserve">makes WIF the default for external-platform integrations. On Snowflake that</w:t>
      </w:r>
      <w:r>
        <w:t xml:space="preserve"> </w:t>
      </w:r>
      <w:r>
        <w:t xml:space="preserve">means human users land on Entra SSO (Conditional Access applies, per</w:t>
      </w:r>
      <w:r>
        <w:t xml:space="preserve"> </w:t>
      </w:r>
      <w:r>
        <w:rPr>
          <w:rStyle w:val="VerbatimChar"/>
        </w:rPr>
        <w:t xml:space="preserve">ADR-008</w:t>
      </w:r>
      <w:r>
        <w:t xml:space="preserve"> </w:t>
      </w:r>
      <w:r>
        <w:t xml:space="preserve">/ OMB M-22-09) and service users land on Snowflake’s own workload</w:t>
      </w:r>
      <w:r>
        <w:t xml:space="preserve"> </w:t>
      </w:r>
      <w:r>
        <w:t xml:space="preserve">identity federation — an Azure Managed Identity exchanged for a short-lived</w:t>
      </w:r>
      <w:r>
        <w:t xml:space="preserve"> </w:t>
      </w:r>
      <w:r>
        <w:t xml:space="preserve">token, with no RSA private key at rest. This is the Snowflake analogue of</w:t>
      </w:r>
      <w:r>
        <w:t xml:space="preserve"> </w:t>
      </w:r>
      <w:r>
        <w:t xml:space="preserve">“Managed Identity, not service-principal-with-secret,”</w:t>
      </w:r>
      <w:r>
        <w:t xml:space="preserve"> </w:t>
      </w:r>
      <w:r>
        <w:t xml:space="preserve">and it’s the same</w:t>
      </w:r>
      <w:r>
        <w:t xml:space="preserve"> </w:t>
      </w:r>
      <w:r>
        <w:t xml:space="preserve">move Snowflake’s own WIF documentation describes.</w:t>
      </w:r>
    </w:p>
    <w:p>
      <w:pPr>
        <w:pStyle w:val="BodyText"/>
      </w:pPr>
      <w:r>
        <w:t xml:space="preserve">Closure follows</w:t>
      </w:r>
      <w:r>
        <w:t xml:space="preserve"> </w:t>
      </w:r>
      <w:r>
        <w:rPr>
          <w:rStyle w:val="VerbatimChar"/>
        </w:rPr>
        <w:t xml:space="preserve">ADR-091</w:t>
      </w:r>
      <w:r>
        <w:t xml:space="preserve">’s continuous-verification standard: a reappearing</w:t>
      </w:r>
      <w:r>
        <w:t xml:space="preserve"> </w:t>
      </w:r>
      <w:r>
        <w:t xml:space="preserve">password or an over-age key is a live finding, not an annual-review note —</w:t>
      </w:r>
      <w:r>
        <w:t xml:space="preserve"> </w:t>
      </w:r>
      <w:r>
        <w:t xml:space="preserve">which is exactly where OrgPath picks up the thread.</w:t>
      </w:r>
    </w:p>
    <w:bookmarkEnd w:id="33"/>
    <w:bookmarkStart w:id="34" w:name="part-3-how-orgpath-would-extend"/>
    <w:p>
      <w:pPr>
        <w:pStyle w:val="Heading2"/>
      </w:pPr>
      <w:r>
        <w:t xml:space="preserve">Part 3 — How OrgPath would extend</w:t>
      </w:r>
    </w:p>
    <w:p>
      <w:pPr>
        <w:pStyle w:val="FirstParagraph"/>
      </w:pPr>
      <w:r>
        <w:t xml:space="preserve">Part 2 governs the credential; OrgPath governs the orthogonal axis —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principals reach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Snowflake roles, and whether that mapping is</w:t>
      </w:r>
      <w:r>
        <w:t xml:space="preserve"> </w:t>
      </w:r>
      <w:r>
        <w:t xml:space="preserve">computed or hand-maintained. A key-pair conversion that modernizes the</w:t>
      </w:r>
      <w:r>
        <w:t xml:space="preserve"> </w:t>
      </w:r>
      <w:r>
        <w:t xml:space="preserve">credential while leaving role membership in a spreadsheet has solved only</w:t>
      </w:r>
      <w:r>
        <w:t xml:space="preserve"> </w:t>
      </w:r>
      <w:r>
        <w:t xml:space="preserve">half the problem.</w:t>
      </w:r>
    </w:p>
    <w:p>
      <w:pPr>
        <w:pStyle w:val="BodyText"/>
      </w:pPr>
      <w:r>
        <w:t xml:space="preserve">The mechanism reuses the seam the SQL Server transformation already</w:t>
      </w:r>
      <w:r>
        <w:t xml:space="preserve"> </w:t>
      </w:r>
      <w:r>
        <w:t xml:space="preserve">consumes: OrgPath’s vendor-neutral facet schema (</w:t>
      </w:r>
      <w:r>
        <w:rPr>
          <w:rStyle w:val="VerbatimChar"/>
        </w:rPr>
        <w:t xml:space="preserve">ADR-078</w:t>
      </w:r>
      <w:r>
        <w:t xml:space="preserve">, bound to the</w:t>
      </w:r>
      <w:r>
        <w:t xml:space="preserve"> </w:t>
      </w:r>
      <w:r>
        <w:t xml:space="preserve">Codebook under</w:t>
      </w:r>
      <w:r>
        <w:t xml:space="preserve"> </w:t>
      </w:r>
      <w:r>
        <w:rPr>
          <w:rStyle w:val="VerbatimChar"/>
        </w:rPr>
        <w:t xml:space="preserve">ADR-035</w:t>
      </w:r>
      <w:r>
        <w:t xml:space="preserve">/</w:t>
      </w:r>
      <w:r>
        <w:rPr>
          <w:rStyle w:val="VerbatimChar"/>
        </w:rPr>
        <w:t xml:space="preserve">UIAO_151</w:t>
      </w:r>
      <w:r>
        <w:t xml:space="preserve">) drives</w:t>
      </w:r>
      <w:r>
        <w:t xml:space="preserve"> </w:t>
      </w:r>
      <w:r>
        <w:rPr>
          <w:b/>
          <w:bCs/>
        </w:rPr>
        <w:t xml:space="preserve">Entra dynamic security groups</w:t>
      </w:r>
      <w:r>
        <w:t xml:space="preserve"> </w:t>
      </w:r>
      <w:r>
        <w:t xml:space="preserve">(</w:t>
      </w:r>
      <w:r>
        <w:rPr>
          <w:rStyle w:val="VerbatimChar"/>
        </w:rPr>
        <w:t xml:space="preserve">ADR-036</w:t>
      </w:r>
      <w:r>
        <w:t xml:space="preserve">) instead of hand-authored membership; those groups federate into</w:t>
      </w:r>
      <w:r>
        <w:t xml:space="preserve"> </w:t>
      </w:r>
      <w:r>
        <w:t xml:space="preserve">Snowflake through the same SSO/SCIM path Part 2 stands up for</w:t>
      </w:r>
      <w:r>
        <w:t xml:space="preserve"> </w:t>
      </w:r>
      <w:r>
        <w:t xml:space="preserve">authentication, mapping to Snowflake</w:t>
      </w:r>
      <w:r>
        <w:t xml:space="preserve"> </w:t>
      </w:r>
      <w:r>
        <w:rPr>
          <w:b/>
          <w:bCs/>
        </w:rPr>
        <w:t xml:space="preserve">roles</w:t>
      </w:r>
      <w:r>
        <w:t xml:space="preserve">. A principal holds a role</w:t>
      </w:r>
      <w:r>
        <w:t xml:space="preserve"> </w:t>
      </w:r>
      <w:r>
        <w:t xml:space="preserve">because their HR-driven OrgPath facts say they belong there, and loses it</w:t>
      </w:r>
      <w:r>
        <w:t xml:space="preserve"> </w:t>
      </w:r>
      <w:r>
        <w:t xml:space="preserve">automatically when those facts change — a mover/leaver event re-renders the</w:t>
      </w:r>
      <w:r>
        <w:t xml:space="preserve"> </w:t>
      </w:r>
      <w:r>
        <w:t xml:space="preserve">group and the grant follows, no ticket required. Delegation rides the same</w:t>
      </w:r>
      <w:r>
        <w:t xml:space="preserve"> </w:t>
      </w:r>
      <w:r>
        <w:t xml:space="preserve">structure: an</w:t>
      </w:r>
      <w:r>
        <w:t xml:space="preserve"> </w:t>
      </w:r>
      <w:r>
        <w:rPr>
          <w:b/>
          <w:bCs/>
        </w:rPr>
        <w:t xml:space="preserve">Administrative Unit</w:t>
      </w:r>
      <w:r>
        <w:t xml:space="preserve"> </w:t>
      </w:r>
      <w:r>
        <w:t xml:space="preserve">(</w:t>
      </w:r>
      <w:r>
        <w:rPr>
          <w:rStyle w:val="VerbatimChar"/>
        </w:rPr>
        <w:t xml:space="preserve">ADR-037</w:t>
      </w:r>
      <w:r>
        <w:t xml:space="preserve">) scoped to an OrgPath</w:t>
      </w:r>
      <w:r>
        <w:t xml:space="preserve"> </w:t>
      </w:r>
      <w:r>
        <w:t xml:space="preserve">branch bounds who may edit those access groups.</w:t>
      </w:r>
    </w:p>
    <w:p>
      <w:pPr>
        <w:pStyle w:val="BodyText"/>
      </w:pPr>
      <w:r>
        <w:t xml:space="preserve">The drift engine (</w:t>
      </w:r>
      <w:r>
        <w:rPr>
          <w:rStyle w:val="VerbatimChar"/>
        </w:rPr>
        <w:t xml:space="preserve">ADR-040</w:t>
      </w:r>
      <w:r>
        <w:t xml:space="preserve">,</w:t>
      </w:r>
      <w:r>
        <w:t xml:space="preserve"> </w:t>
      </w:r>
      <w:r>
        <w:rPr>
          <w:rStyle w:val="VerbatimChar"/>
        </w:rPr>
        <w:t xml:space="preserve">UIAO_163</w:t>
      </w:r>
      <w:r>
        <w:t xml:space="preserve">) is what makes the closure claim</w:t>
      </w:r>
      <w:r>
        <w:t xml:space="preserve"> </w:t>
      </w:r>
      <w:r>
        <w:t xml:space="preserve">above operational rather than aspirational: it compares observed Snowflake</w:t>
      </w:r>
      <w:r>
        <w:t xml:space="preserve"> </w:t>
      </w:r>
      <w:r>
        <w:t xml:space="preserve">state — password-enabled users, key age, role membership — against the</w:t>
      </w:r>
      <w:r>
        <w:t xml:space="preserve"> </w:t>
      </w:r>
      <w:r>
        <w:t xml:space="preserve">OrgPath-computed desired state, and treats a reappeared password, an</w:t>
      </w:r>
      <w:r>
        <w:t xml:space="preserve"> </w:t>
      </w:r>
      <w:r>
        <w:t xml:space="preserve">unrotated key, or an out-of-rule grant as a typed</w:t>
      </w:r>
      <w:r>
        <w:t xml:space="preserve"> </w:t>
      </w:r>
      <w:r>
        <w:rPr>
          <w:rStyle w:val="VerbatimChar"/>
        </w:rPr>
        <w:t xml:space="preserve">DRIFT-IDENTITY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DRIFT-AUTHZ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DRIFT-PROVENANCE</w:t>
      </w:r>
      <w:r>
        <w:t xml:space="preserve"> </w:t>
      </w:r>
      <w:r>
        <w:t xml:space="preserve">finding, not a question for the next</w:t>
      </w:r>
      <w:r>
        <w:t xml:space="preserve"> </w:t>
      </w:r>
      <w:r>
        <w:t xml:space="preserve">quarterly review.</w:t>
      </w:r>
    </w:p>
    <w:bookmarkEnd w:id="34"/>
    <w:bookmarkStart w:id="35" w:name="the-three-narratives-side-by-side"/>
    <w:p>
      <w:pPr>
        <w:pStyle w:val="Heading2"/>
      </w:pPr>
      <w:r>
        <w:t xml:space="preserve">The three narratives, side by side</w:t>
      </w:r>
    </w:p>
    <w:p>
      <w:pPr>
        <w:pStyle w:val="FirstParagraph"/>
      </w:pPr>
      <w:r>
        <w:t xml:space="preserve">The Snowflake narrative is correct about the destination for humans (SSO)</w:t>
      </w:r>
      <w:r>
        <w:t xml:space="preserve"> </w:t>
      </w:r>
      <w:r>
        <w:t xml:space="preserve">and correct that key-pair is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valid exit; UIAO and OrgPath add the</w:t>
      </w:r>
      <w:r>
        <w:t xml:space="preserve"> </w:t>
      </w:r>
      <w:r>
        <w:t xml:space="preserve">altitude that turns a deadline-driven credential swap into a governed</w:t>
      </w:r>
      <w:r>
        <w:t xml:space="preserve"> </w:t>
      </w:r>
      <w:r>
        <w:t xml:space="preserve">end-state.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Snowflake narrative</w:t>
            </w:r>
          </w:p>
        </w:tc>
        <w:tc>
          <w:tcPr/>
          <w:p>
            <w:pPr>
              <w:pStyle w:val="Compact"/>
            </w:pPr>
            <w:r>
              <w:t xml:space="preserve">UIAO + OrgPath reading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Deprecated on a schedule</w:t>
            </w:r>
          </w:p>
        </w:tc>
        <w:tc>
          <w:tcPr/>
          <w:p>
            <w:pPr>
              <w:pStyle w:val="Compact"/>
            </w:pPr>
            <w:r>
              <w:t xml:space="preserve">Eliminated (</w:t>
            </w:r>
            <w:r>
              <w:rPr>
                <w:rStyle w:val="VerbatimChar"/>
              </w:rPr>
              <w:t xml:space="preserve">ADR-091</w:t>
            </w:r>
            <w:r>
              <w:t xml:space="preserve">), not rotated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pair</w:t>
            </w:r>
          </w:p>
        </w:tc>
        <w:tc>
          <w:tcPr/>
          <w:p>
            <w:pPr>
              <w:pStyle w:val="Compact"/>
            </w:pPr>
            <w:r>
              <w:t xml:space="preserve">Accepted, exempt service-account exit</w:t>
            </w:r>
          </w:p>
        </w:tc>
        <w:tc>
          <w:tcPr/>
          <w:p>
            <w:pPr>
              <w:pStyle w:val="Compact"/>
            </w:pPr>
            <w:r>
              <w:t xml:space="preserve">Authorized interim posture — exception-register entry with sunset (</w:t>
            </w:r>
            <w:r>
              <w:rPr>
                <w:rStyle w:val="VerbatimChar"/>
              </w:rPr>
              <w:t xml:space="preserve">ADR-068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ADR-091 §4</w:t>
            </w:r>
            <w:r>
              <w:t xml:space="preserve">); a stored credential</w:t>
            </w:r>
            <w:r>
              <w:t xml:space="preserve"> </w:t>
            </w:r>
            <w:r>
              <w:rPr>
                <w:rStyle w:val="VerbatimChar"/>
              </w:rPr>
              <w:t xml:space="preserve">ADR-004</w:t>
            </w:r>
            <w:r>
              <w:t xml:space="preserve"> </w:t>
            </w:r>
            <w:r>
              <w:t xml:space="preserve">rejects as a</w:t>
            </w:r>
            <w:r>
              <w:t xml:space="preserve"> </w:t>
            </w:r>
            <w:r>
              <w:rPr>
                <w:i/>
                <w:iCs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Steady state</w:t>
            </w:r>
          </w:p>
        </w:tc>
        <w:tc>
          <w:tcPr/>
          <w:p>
            <w:pPr>
              <w:pStyle w:val="Compact"/>
            </w:pPr>
            <w:r>
              <w:t xml:space="preserve">Key pair, OAuth, or WIF</w:t>
            </w:r>
          </w:p>
        </w:tc>
        <w:tc>
          <w:tcPr/>
          <w:p>
            <w:pPr>
              <w:pStyle w:val="Compact"/>
            </w:pPr>
            <w:r>
              <w:t xml:space="preserve">WIF / Managed Identity, no stored secret (</w:t>
            </w:r>
            <w:r>
              <w:rPr>
                <w:rStyle w:val="VerbatimChar"/>
              </w:rPr>
              <w:t xml:space="preserve">ADR-004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ADR-002</w:t>
            </w:r>
            <w:r>
              <w:t xml:space="preserve">); role membership computed from OrgPath facets (</w:t>
            </w:r>
            <w:r>
              <w:rPr>
                <w:rStyle w:val="VerbatimChar"/>
              </w:rPr>
              <w:t xml:space="preserve">ADR-036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ADR-078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gets which role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GRANT ROLE</w:t>
            </w:r>
            <w:r>
              <w:t xml:space="preserve">, or SCIM</w:t>
            </w:r>
          </w:p>
        </w:tc>
        <w:tc>
          <w:tcPr/>
          <w:p>
            <w:pPr>
              <w:pStyle w:val="Compact"/>
            </w:pPr>
            <w:r>
              <w:t xml:space="preserve">Computed continuously from per-facet predicates, SCIM-federated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Closure</w:t>
            </w:r>
          </w:p>
        </w:tc>
        <w:tc>
          <w:tcPr/>
          <w:p>
            <w:pPr>
              <w:pStyle w:val="Compact"/>
            </w:pPr>
            <w:r>
              <w:t xml:space="preserve">Deadline passes; project closed</w:t>
            </w:r>
          </w:p>
        </w:tc>
        <w:tc>
          <w:tcPr/>
          <w:p>
            <w:pPr>
              <w:pStyle w:val="Compact"/>
            </w:pPr>
            <w:r>
              <w:t xml:space="preserve">Continuously verified; drift engine emits typed findings (</w:t>
            </w:r>
            <w:r>
              <w:rPr>
                <w:rStyle w:val="VerbatimChar"/>
              </w:rPr>
              <w:t xml:space="preserve">ADR-040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UIAO_163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For a single password-bearing service account, the governed sequence</w:t>
      </w:r>
      <w:r>
        <w:t xml:space="preserve"> </w:t>
      </w:r>
      <w:r>
        <w:t xml:space="preserve">compresses to three moves:</w:t>
      </w:r>
      <w:r>
        <w:t xml:space="preserve"> </w:t>
      </w:r>
      <w:r>
        <w:rPr>
          <w:b/>
          <w:bCs/>
        </w:rPr>
        <w:t xml:space="preserve">classify</w:t>
      </w:r>
      <w:r>
        <w:t xml:space="preserve"> </w:t>
      </w:r>
      <w:r>
        <w:t xml:space="preserve">it (OrgPath surfaces it as a</w:t>
      </w:r>
      <w:r>
        <w:t xml:space="preserve"> </w:t>
      </w:r>
      <w:r>
        <w:rPr>
          <w:rStyle w:val="VerbatimChar"/>
        </w:rPr>
        <w:t xml:space="preserve">DRIFT-IDENTITY</w:t>
      </w:r>
      <w:r>
        <w:t xml:space="preserve"> </w:t>
      </w:r>
      <w:r>
        <w:t xml:space="preserve">finding),</w:t>
      </w:r>
      <w:r>
        <w:t xml:space="preserve"> </w:t>
      </w:r>
      <w:r>
        <w:rPr>
          <w:b/>
          <w:bCs/>
        </w:rPr>
        <w:t xml:space="preserve">convert</w:t>
      </w:r>
      <w:r>
        <w:t xml:space="preserve"> </w:t>
      </w:r>
      <w:r>
        <w:t xml:space="preserve">to key pair under the exception</w:t>
      </w:r>
      <w:r>
        <w:t xml:space="preserve"> </w:t>
      </w:r>
      <w:r>
        <w:t xml:space="preserve">register as an interim bridge, and</w:t>
      </w:r>
      <w:r>
        <w:t xml:space="preserve"> </w:t>
      </w:r>
      <w:r>
        <w:rPr>
          <w:b/>
          <w:bCs/>
        </w:rPr>
        <w:t xml:space="preserve">federate</w:t>
      </w:r>
      <w:r>
        <w:t xml:space="preserve"> </w:t>
      </w:r>
      <w:r>
        <w:t xml:space="preserve">to retire the exception</w:t>
      </w:r>
      <w:r>
        <w:t xml:space="preserve"> </w:t>
      </w:r>
      <w:r>
        <w:t xml:space="preserve">permanently — with role membership computed from OrgPath facets throughout,</w:t>
      </w:r>
      <w:r>
        <w:t xml:space="preserve"> </w:t>
      </w:r>
      <w:r>
        <w:t xml:space="preserve">never falling back to a manual grant. A pure Snowflake project stops at the</w:t>
      </w:r>
      <w:r>
        <w:t xml:space="preserve"> </w:t>
      </w:r>
      <w:r>
        <w:t xml:space="preserve">conversion step and calls it done; the UIAO/OrgPath reading treats it as a</w:t>
      </w:r>
      <w:r>
        <w:t xml:space="preserve"> </w:t>
      </w:r>
      <w:r>
        <w:t xml:space="preserve">bridge and keeps closure continuous.</w:t>
      </w:r>
    </w:p>
    <w:bookmarkEnd w:id="35"/>
    <w:bookmarkStart w:id="36" w:name="where-this-would-sit-in-the-substrate"/>
    <w:p>
      <w:pPr>
        <w:pStyle w:val="Heading2"/>
      </w:pPr>
      <w:r>
        <w:t xml:space="preserve">Where this would sit in the substrate</w:t>
      </w:r>
    </w:p>
    <w:p>
      <w:pPr>
        <w:pStyle w:val="FirstParagraph"/>
      </w:pPr>
      <w:r>
        <w:t xml:space="preserve">This section is a</w:t>
      </w:r>
      <w:r>
        <w:t xml:space="preserve"> </w:t>
      </w:r>
      <w:r>
        <w:rPr>
          <w:i/>
          <w:iCs/>
        </w:rPr>
        <w:t xml:space="preserve">placement sketch</w:t>
      </w:r>
      <w:r>
        <w:t xml:space="preserve">, not an authorization to build.</w:t>
      </w:r>
    </w:p>
    <w:p>
      <w:pPr>
        <w:pStyle w:val="BodyText"/>
      </w:pPr>
      <w:r>
        <w:t xml:space="preserve">Snowflake is</w:t>
      </w:r>
      <w:r>
        <w:t xml:space="preserve"> </w:t>
      </w:r>
      <w:r>
        <w:rPr>
          <w:b/>
          <w:bCs/>
        </w:rPr>
        <w:t xml:space="preserve">Commercial-cloud SaaS, outside the current GCC-Moderate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 boundary</w:t>
      </w:r>
      <w:r>
        <w:t xml:space="preserve">, and it is not one of the named Commercial exceptions</w:t>
      </w:r>
      <w:r>
        <w:t xml:space="preserve"> </w:t>
      </w:r>
      <w:r>
        <w:t xml:space="preserve">(Amazon Connect, SailPoint). Before any Snowflake adapter could exist, the</w:t>
      </w:r>
      <w:r>
        <w:t xml:space="preserve"> </w:t>
      </w:r>
      <w:r>
        <w:t xml:space="preserve">boundary question is a</w:t>
      </w:r>
      <w:r>
        <w:t xml:space="preserve"> </w:t>
      </w:r>
      <w:r>
        <w:rPr>
          <w:b/>
          <w:bCs/>
        </w:rPr>
        <w:t xml:space="preserve">gating ADR decision</w:t>
      </w:r>
      <w:r>
        <w:t xml:space="preserve">. For a GCC-Moderate federal</w:t>
      </w:r>
      <w:r>
        <w:t xml:space="preserve"> </w:t>
      </w:r>
      <w:r>
        <w:t xml:space="preserve">deployment, a Snowflake exception would need its own</w:t>
      </w:r>
      <w:r>
        <w:t xml:space="preserve"> </w:t>
      </w:r>
      <w:r>
        <w:rPr>
          <w:rStyle w:val="VerbatimChar"/>
        </w:rPr>
        <w:t xml:space="preserve">gcc-boundary</w:t>
      </w:r>
      <w:r>
        <w:t xml:space="preserve"> </w:t>
      </w:r>
      <w:r>
        <w:t xml:space="preserve">enum value</w:t>
      </w:r>
      <w:r>
        <w:t xml:space="preserve"> </w:t>
      </w:r>
      <w:r>
        <w:t xml:space="preserve">added in lockstep with an authorizing ADR — the pattern</w:t>
      </w:r>
      <w:r>
        <w:t xml:space="preserve"> </w:t>
      </w:r>
      <w:r>
        <w:rPr>
          <w:rStyle w:val="VerbatimChar"/>
        </w:rPr>
        <w:t xml:space="preserve">ADR-059</w:t>
      </w:r>
      <w:r>
        <w:t xml:space="preserve"> </w:t>
      </w:r>
      <w:r>
        <w:t xml:space="preserve">set for</w:t>
      </w:r>
      <w:r>
        <w:t xml:space="preserve"> </w:t>
      </w:r>
      <w:r>
        <w:t xml:space="preserve">SailPoint and</w:t>
      </w:r>
      <w:r>
        <w:t xml:space="preserve"> </w:t>
      </w:r>
      <w:r>
        <w:rPr>
          <w:rStyle w:val="VerbatimChar"/>
        </w:rPr>
        <w:t xml:space="preserve">ADR-033</w:t>
      </w:r>
      <w:r>
        <w:t xml:space="preserve"> </w:t>
      </w:r>
      <w:r>
        <w:t xml:space="preserve">defines for boundary drift. Since this paper was first</w:t>
      </w:r>
      <w:r>
        <w:t xml:space="preserve"> </w:t>
      </w:r>
      <w:r>
        <w:t xml:space="preserve">drafted, the enum has also gained</w:t>
      </w:r>
      <w:r>
        <w:t xml:space="preserve"> </w:t>
      </w:r>
      <w:r>
        <w:rPr>
          <w:rStyle w:val="VerbatimChar"/>
        </w:rPr>
        <w:t xml:space="preserve">commercial-general</w:t>
      </w:r>
      <w:r>
        <w:t xml:space="preserve"> </w:t>
      </w:r>
      <w:r>
        <w:t xml:space="preserve">(ADR-129) and</w:t>
      </w:r>
      <w:r>
        <w:t xml:space="preserve"> </w:t>
      </w:r>
      <w:r>
        <w:rPr>
          <w:rStyle w:val="VerbatimChar"/>
        </w:rPr>
        <w:t xml:space="preserve">state-local</w:t>
      </w:r>
      <w:r>
        <w:t xml:space="preserve"> </w:t>
      </w:r>
      <w:r>
        <w:t xml:space="preserve">(ADR-133); a non-federal Snowflake engagement would register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commercial-general</w:t>
      </w:r>
      <w:r>
        <w:t xml:space="preserve"> </w:t>
      </w:r>
      <w:r>
        <w:t xml:space="preserve">rather than minting a new value, but the</w:t>
      </w:r>
      <w:r>
        <w:t xml:space="preserve"> </w:t>
      </w:r>
      <w:r>
        <w:t xml:space="preserve">authorizing-ADR requirement stands either way. Nothing in this whitepaper</w:t>
      </w:r>
      <w:r>
        <w:t xml:space="preserve"> </w:t>
      </w:r>
      <w:r>
        <w:t xml:space="preserve">authorizes that step.</w:t>
      </w:r>
    </w:p>
    <w:p>
      <w:pPr>
        <w:pStyle w:val="BodyText"/>
      </w:pPr>
      <w:r>
        <w:rPr>
          <w:i/>
          <w:iCs/>
        </w:rPr>
        <w:t xml:space="preserve">If</w:t>
      </w:r>
      <w:r>
        <w:t xml:space="preserve"> </w:t>
      </w:r>
      <w:r>
        <w:t xml:space="preserve">authorized, the natural shape follows the existing adapter taxonomy</w:t>
      </w:r>
      <w:r>
        <w:t xml:space="preserve"> </w:t>
      </w:r>
      <w:r>
        <w:t xml:space="preserve">(UIAO_003): a</w:t>
      </w:r>
      <w:r>
        <w:t xml:space="preserve"> </w:t>
      </w:r>
      <w:r>
        <w:rPr>
          <w:b/>
          <w:bCs/>
        </w:rPr>
        <w:t xml:space="preserve">modernization / identity</w:t>
      </w:r>
      <w:r>
        <w:t xml:space="preserve"> </w:t>
      </w:r>
      <w:r>
        <w:t xml:space="preserve">adapter that reads the Snowflake user</w:t>
      </w:r>
      <w:r>
        <w:t xml:space="preserve"> </w:t>
      </w:r>
      <w:r>
        <w:t xml:space="preserve">inventory and each user’s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and authentication policy, classifies every</w:t>
      </w:r>
      <w:r>
        <w:t xml:space="preserve"> </w:t>
      </w:r>
      <w:r>
        <w:t xml:space="preserve">principal as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keypair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federated</w:t>
      </w:r>
      <w:r>
        <w:t xml:space="preserve">, plans the conversion, and</w:t>
      </w:r>
      <w:r>
        <w:t xml:space="preserve"> </w:t>
      </w:r>
      <w:r>
        <w:t xml:space="preserve">(dry-run by default, like every OrgPath writer) applies the</w:t>
      </w:r>
      <w:r>
        <w:t xml:space="preserve"> </w:t>
      </w:r>
      <w:r>
        <w:rPr>
          <w:rStyle w:val="VerbatimChar"/>
        </w:rPr>
        <w:t xml:space="preserve">ALTER USER</w:t>
      </w:r>
      <w:r>
        <w:t xml:space="preserve"> </w:t>
      </w:r>
      <w:r>
        <w:t xml:space="preserve">changes. A read-only conformance-axis counterpart would assess posture without</w:t>
      </w:r>
      <w:r>
        <w:t xml:space="preserve"> </w:t>
      </w:r>
      <w:r>
        <w:t xml:space="preserve">writing. The drift surface, the KSI family (key-rotation cadence + password</w:t>
      </w:r>
      <w:r>
        <w:t xml:space="preserve"> </w:t>
      </w:r>
      <w:r>
        <w:t xml:space="preserve">elimination, shaped like the existing KSI families), and the evidence binding to</w:t>
      </w:r>
      <w:r>
        <w:t xml:space="preserve"> </w:t>
      </w:r>
      <w:r>
        <w:rPr>
          <w:b/>
          <w:bCs/>
        </w:rPr>
        <w:t xml:space="preserve">IA-5(2)</w:t>
      </w:r>
      <w:r>
        <w:t xml:space="preserve">,</w:t>
      </w:r>
      <w:r>
        <w:t xml:space="preserve"> </w:t>
      </w:r>
      <w:r>
        <w:rPr>
          <w:b/>
          <w:bCs/>
        </w:rPr>
        <w:t xml:space="preserve">IA-2(8)</w:t>
      </w:r>
      <w:r>
        <w:t xml:space="preserve">, and</w:t>
      </w:r>
      <w:r>
        <w:t xml:space="preserve"> </w:t>
      </w:r>
      <w:r>
        <w:rPr>
          <w:b/>
          <w:bCs/>
        </w:rPr>
        <w:t xml:space="preserve">IA-2 / AC-17</w:t>
      </w:r>
      <w:r>
        <w:t xml:space="preserve"> </w:t>
      </w:r>
      <w:r>
        <w:t xml:space="preserve">(the OMB M-22-09 zero-trust</w:t>
      </w:r>
      <w:r>
        <w:t xml:space="preserve"> </w:t>
      </w:r>
      <w:r>
        <w:t xml:space="preserve">anchor) would all reuse machinery the substrate already has.</w:t>
      </w:r>
    </w:p>
    <w:bookmarkEnd w:id="36"/>
    <w:bookmarkStart w:id="37" w:name="what-this-document-does-not-claim"/>
    <w:p>
      <w:pPr>
        <w:pStyle w:val="Heading2"/>
      </w:pPr>
      <w:r>
        <w:t xml:space="preserve">What this document does not claim</w:t>
      </w:r>
    </w:p>
    <w:p>
      <w:pPr>
        <w:pStyle w:val="FirstParagraph"/>
      </w:pPr>
      <w:r>
        <w:t xml:space="preserve">For the avoidance of doubt, and in keeping with the substrate’s provenance</w:t>
      </w:r>
      <w:r>
        <w:t xml:space="preserve"> </w:t>
      </w:r>
      <w:r>
        <w:t xml:space="preserve">discipline:</w:t>
      </w:r>
    </w:p>
    <w:p>
      <w:pPr>
        <w:pStyle w:val="Compact"/>
        <w:numPr>
          <w:ilvl w:val="0"/>
          <w:numId w:val="1001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UIAO ships a Snowflake adapter or governs a Snowflake</w:t>
      </w:r>
      <w:r>
        <w:t xml:space="preserve"> </w:t>
      </w:r>
      <w:r>
        <w:t xml:space="preserve">estate today. This is an architecture comparison.</w:t>
      </w:r>
    </w:p>
    <w:p>
      <w:pPr>
        <w:pStyle w:val="Compact"/>
        <w:numPr>
          <w:ilvl w:val="0"/>
          <w:numId w:val="1001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Snowflake is inside the GCC-Moderate boundary or is an</w:t>
      </w:r>
      <w:r>
        <w:t xml:space="preserve"> </w:t>
      </w:r>
      <w:r>
        <w:t xml:space="preserve">authorized exception. Bringing it in-boundary is a gating-ADR decision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ADR-059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ADR-033</w:t>
      </w:r>
      <w:r>
        <w:t xml:space="preserve"> </w:t>
      </w:r>
      <w:r>
        <w:t xml:space="preserve">pattern) this document does not make.</w:t>
      </w:r>
    </w:p>
    <w:p>
      <w:pPr>
        <w:pStyle w:val="Compact"/>
        <w:numPr>
          <w:ilvl w:val="0"/>
          <w:numId w:val="1001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key-pair authentication is insecure or wrong. It is a</w:t>
      </w:r>
      <w:r>
        <w:t xml:space="preserve"> </w:t>
      </w:r>
      <w:r>
        <w:t xml:space="preserve">correct, replay-resistant, public-key credential and a legitimate interim</w:t>
      </w:r>
      <w:r>
        <w:t xml:space="preserve"> </w:t>
      </w:r>
      <w:r>
        <w:t xml:space="preserve">posture; the only claim is that a</w:t>
      </w:r>
      <w:r>
        <w:t xml:space="preserve"> </w:t>
      </w:r>
      <w:r>
        <w:rPr>
          <w:i/>
          <w:iCs/>
        </w:rPr>
        <w:t xml:space="preserve">stored</w:t>
      </w:r>
      <w:r>
        <w:t xml:space="preserve"> </w:t>
      </w:r>
      <w:r>
        <w:t xml:space="preserve">key pair is a bridge, not the</w:t>
      </w:r>
      <w:r>
        <w:t xml:space="preserve"> </w:t>
      </w:r>
      <w:r>
        <w:t xml:space="preserve">credential-free destination</w:t>
      </w:r>
      <w:r>
        <w:t xml:space="preserve"> </w:t>
      </w:r>
      <w:r>
        <w:rPr>
          <w:rStyle w:val="VerbatimChar"/>
        </w:rPr>
        <w:t xml:space="preserve">ADR-004</w:t>
      </w:r>
      <w:r>
        <w:t xml:space="preserve"> </w:t>
      </w:r>
      <w:r>
        <w:t xml:space="preserve">makes the default.</w:t>
      </w:r>
    </w:p>
    <w:p>
      <w:pPr>
        <w:pStyle w:val="Compact"/>
        <w:numPr>
          <w:ilvl w:val="0"/>
          <w:numId w:val="1001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prescribe hand-authored Snowflake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 </w:t>
      </w:r>
      <w:r>
        <w:t xml:space="preserve">statements as the way</w:t>
      </w:r>
      <w:r>
        <w:t xml:space="preserve"> </w:t>
      </w:r>
      <w:r>
        <w:t xml:space="preserve">to assign access. The governed path renders access from OrgPath facets</w:t>
      </w:r>
      <w:r>
        <w:t xml:space="preserve"> </w:t>
      </w:r>
      <w:r>
        <w:t xml:space="preserve">(</w:t>
      </w:r>
      <w:r>
        <w:rPr>
          <w:rStyle w:val="VerbatimChar"/>
        </w:rPr>
        <w:t xml:space="preserve">ADR-036</w:t>
      </w:r>
      <w:r>
        <w:t xml:space="preserve">) and federates it via SCIM.</w:t>
      </w:r>
    </w:p>
    <w:bookmarkEnd w:id="37"/>
    <w:bookmarkStart w:id="43" w:name="companion-canon"/>
    <w:p>
      <w:pPr>
        <w:pStyle w:val="Heading2"/>
      </w:pPr>
      <w:r>
        <w:t xml:space="preserve">Companion canon</w:t>
      </w:r>
    </w:p>
    <w:p>
      <w:pPr>
        <w:pStyle w:val="FirstParagraph"/>
      </w:pPr>
      <w:r>
        <w:t xml:space="preserve">For the normative decisions this whitepaper reads Snowflake against: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ADR-004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Workload Identity Federation as Default for External Integrations (</w:t>
      </w:r>
      <w:r>
        <w:rPr>
          <w:i/>
          <w:iCs/>
        </w:rPr>
        <w:t xml:space="preserve">ACCEPTED</w:t>
      </w:r>
      <w:r>
        <w:t xml:space="preserve">);</w:t>
      </w:r>
      <w:r>
        <w:t xml:space="preserve"> </w:t>
      </w:r>
      <w:r>
        <w:t xml:space="preserve">the credential-free destination and the prohibition on stored secrets for new</w:t>
      </w:r>
      <w:r>
        <w:t xml:space="preserve"> </w:t>
      </w:r>
      <w:r>
        <w:t xml:space="preserve">integrations.</w:t>
      </w:r>
    </w:p>
    <w:p>
      <w:pPr>
        <w:pStyle w:val="Compact"/>
        <w:numPr>
          <w:ilvl w:val="0"/>
          <w:numId w:val="1002"/>
        </w:numPr>
      </w:pPr>
      <w:hyperlink r:id="rId39">
        <w:r>
          <w:rPr>
            <w:rStyle w:val="Hyperlink"/>
          </w:rPr>
          <w:t xml:space="preserve">ADR-091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SQL Server Engine Authentication Transformation;</w:t>
      </w:r>
      <w:r>
        <w:t xml:space="preserve"> </w:t>
      </w:r>
      <w:r>
        <w:rPr>
          <w:rStyle w:val="VerbatimChar"/>
        </w:rPr>
        <w:t xml:space="preserve">type-S</w:t>
      </w:r>
      <w:r>
        <w:t xml:space="preserve"> </w:t>
      </w:r>
      <w:r>
        <w:t xml:space="preserve">elimination, interim</w:t>
      </w:r>
      <w:r>
        <w:t xml:space="preserve"> </w:t>
      </w:r>
      <w:r>
        <w:t xml:space="preserve">posture, and continuous closure (the platform-analogous template;</w:t>
      </w:r>
      <w:r>
        <w:t xml:space="preserve"> </w:t>
      </w:r>
      <w:r>
        <w:rPr>
          <w:b/>
          <w:bCs/>
        </w:rPr>
        <w:t xml:space="preserve">PROPOSED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ADR-068</w:t>
        </w:r>
      </w:hyperlink>
      <w:r>
        <w:t xml:space="preserve"> </w:t>
      </w:r>
      <w:r>
        <w:t xml:space="preserve">— Kerberos / NTLM</w:t>
      </w:r>
      <w:r>
        <w:t xml:space="preserve"> </w:t>
      </w:r>
      <w:r>
        <w:t xml:space="preserve">Elimination; the interim-posture pattern and exception register.</w:t>
      </w:r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ADR-002</w:t>
        </w:r>
      </w:hyperlink>
      <w:r>
        <w:t xml:space="preserve"> </w:t>
      </w:r>
      <w:r>
        <w:t xml:space="preserve">— the</w:t>
      </w:r>
      <w:r>
        <w:t xml:space="preserve"> </w:t>
      </w:r>
      <w:r>
        <w:t xml:space="preserve">credential-free Managed Identity destination.</w:t>
      </w:r>
    </w:p>
    <w:p>
      <w:pPr>
        <w:pStyle w:val="Compact"/>
        <w:numPr>
          <w:ilvl w:val="0"/>
          <w:numId w:val="1002"/>
        </w:numPr>
      </w:pPr>
      <w:hyperlink r:id="rId42">
        <w:r>
          <w:rPr>
            <w:rStyle w:val="Hyperlink"/>
          </w:rPr>
          <w:t xml:space="preserve">ADR-008</w:t>
        </w:r>
      </w:hyperlink>
      <w:r>
        <w:t xml:space="preserve"> </w:t>
      </w:r>
      <w:r>
        <w:t xml:space="preserve">— Zero-Trust Identity</w:t>
      </w:r>
      <w:r>
        <w:t xml:space="preserve"> </w:t>
      </w:r>
      <w:r>
        <w:t xml:space="preserve">(Conditional Access; OMB M-22-09 anchor).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ADR-036</w:t>
      </w:r>
      <w:r>
        <w:t xml:space="preserve"> </w:t>
      </w:r>
      <w:r>
        <w:t xml:space="preserve">— Dynamic Group Provisioning (OrgPath-driven Entra access groups).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ADR-037</w:t>
      </w:r>
      <w:r>
        <w:t xml:space="preserve"> </w:t>
      </w:r>
      <w:r>
        <w:t xml:space="preserve">— Administrative Unit Provisioning (the delegation surface).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ADR-078</w:t>
      </w:r>
      <w:r>
        <w:t xml:space="preserve"> </w:t>
      </w:r>
      <w:r>
        <w:t xml:space="preserve">— OrgPath 15-facet Attribute Schema;</w:t>
      </w:r>
      <w:r>
        <w:t xml:space="preserve"> </w:t>
      </w:r>
      <w:r>
        <w:rPr>
          <w:rStyle w:val="VerbatimChar"/>
        </w:rPr>
        <w:t xml:space="preserve">ADR-035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UIAO_151</w:t>
      </w:r>
      <w:r>
        <w:t xml:space="preserve"> </w:t>
      </w:r>
      <w:r>
        <w:t xml:space="preserve">— the</w:t>
      </w:r>
      <w:r>
        <w:t xml:space="preserve"> </w:t>
      </w:r>
      <w:r>
        <w:t xml:space="preserve">Codebook binding.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ADR-040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UIAO_163</w:t>
      </w:r>
      <w:r>
        <w:t xml:space="preserve"> </w:t>
      </w:r>
      <w:r>
        <w:t xml:space="preserve">— the drift engine that makes a re-introduced password</w:t>
      </w:r>
      <w:r>
        <w:t xml:space="preserve"> </w:t>
      </w:r>
      <w:r>
        <w:t xml:space="preserve">or an out-of-rule grant a compliance signal.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ADR-059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ADR-033</w:t>
      </w:r>
      <w:r>
        <w:t xml:space="preserve"> </w:t>
      </w:r>
      <w:r>
        <w:t xml:space="preserve">— the Commercial-exception boundary pattern any real</w:t>
      </w:r>
      <w:r>
        <w:t xml:space="preserve"> </w:t>
      </w:r>
      <w:r>
        <w:t xml:space="preserve">Snowflake coverage would have to follow.</w:t>
      </w:r>
    </w:p>
    <w:bookmarkEnd w:id="43"/>
    <w:bookmarkStart w:id="47" w:name="companion-series"/>
    <w:p>
      <w:pPr>
        <w:pStyle w:val="Heading2"/>
      </w:pPr>
      <w:r>
        <w:t xml:space="preserve">Companion series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SQL Server Identity Transformation</w:t>
        </w:r>
      </w:hyperlink>
      <w:r>
        <w:t xml:space="preserve"> </w:t>
      </w:r>
      <w:r>
        <w:t xml:space="preserve">— the</w:t>
      </w:r>
      <w:r>
        <w:t xml:space="preserve"> </w:t>
      </w:r>
      <w:r>
        <w:t xml:space="preserve">same authentication-transformation doctrine worked end-to-end on a different</w:t>
      </w:r>
      <w:r>
        <w:t xml:space="preserve"> </w:t>
      </w:r>
      <w:r>
        <w:t xml:space="preserve">platform; the closest structural sibling to this whitepaper.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UIAO OrgPath</w:t>
        </w:r>
      </w:hyperlink>
      <w:r>
        <w:t xml:space="preserve"> </w:t>
      </w:r>
      <w:r>
        <w:t xml:space="preserve">— the substrate this document’s</w:t>
      </w:r>
      <w:r>
        <w:t xml:space="preserve"> </w:t>
      </w:r>
      <w:r>
        <w:t xml:space="preserve">Part 3 consumes.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OrgPath × SQL Server — The Integration Bridge</w:t>
        </w:r>
      </w:hyperlink>
      <w:r>
        <w:t xml:space="preserve"> </w:t>
      </w:r>
      <w:r>
        <w:t xml:space="preserve">— the seam model this whitepaper reuses for Snowflake.</w:t>
      </w:r>
    </w:p>
    <w:bookmarkEnd w:id="47"/>
    <w:bookmarkStart w:id="49" w:name="sources-snowflake-product-facts"/>
    <w:p>
      <w:pPr>
        <w:pStyle w:val="Heading2"/>
      </w:pPr>
      <w:r>
        <w:t xml:space="preserve">Sources (Snowflake product facts)</w:t>
      </w:r>
    </w:p>
    <w:p>
      <w:pPr>
        <w:pStyle w:val="FirstParagraph"/>
      </w:pPr>
      <w:r>
        <w:t xml:space="preserve">External facts about Snowflake’s behavior are cited directly to Snowflake’s</w:t>
      </w:r>
      <w:r>
        <w:t xml:space="preserve"> </w:t>
      </w:r>
      <w:r>
        <w:t xml:space="preserve">documentation, current as of June 2026; verify against the live pages before</w:t>
      </w:r>
      <w:r>
        <w:t xml:space="preserve"> </w:t>
      </w:r>
      <w:r>
        <w:t xml:space="preserve">relying on specific dates or parameter names, as vendor schedules move.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Planning for the deprecation of single-factor password sign-ins</w:t>
        </w:r>
      </w:hyperlink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Key-pair authentication and key-pair rotation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Workload identity federation</w:t>
        </w:r>
      </w:hyperlink>
      <w:r>
        <w:t xml:space="preserve"> </w:t>
      </w:r>
      <w:r>
        <w:t xml:space="preserve">and its</w:t>
      </w:r>
      <w:r>
        <w:t xml:space="preserve"> </w:t>
      </w:r>
      <w:hyperlink r:id="rId30">
        <w:r>
          <w:rPr>
            <w:rStyle w:val="Hyperlink"/>
          </w:rPr>
          <w:t xml:space="preserve">GA announcement (2025-08-14)</w:t>
        </w:r>
      </w:hyperlink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Overview of Snowflake authentication</w:t>
        </w:r>
      </w:hyperlink>
    </w:p>
    <w:bookmarkEnd w:id="49"/>
    <w:bookmarkStart w:id="52" w:name="call-to-action"/>
    <w:p>
      <w:pPr>
        <w:pStyle w:val="Heading2"/>
      </w:pPr>
      <w:r>
        <w:t xml:space="preserve">Call to Action</w:t>
      </w:r>
    </w:p>
    <w:p>
      <w:pPr>
        <w:pStyle w:val="FirstParagraph"/>
      </w:pPr>
      <w:r>
        <w:t xml:space="preserve">This paper is a reading, not a roadmap — nothing here is blocked on</w:t>
      </w:r>
      <w:r>
        <w:t xml:space="preserve"> </w:t>
      </w:r>
      <w:r>
        <w:t xml:space="preserve">UIAO shipping a Snowflake adapter. The classify/convert/federate</w:t>
      </w:r>
      <w:r>
        <w:t xml:space="preserve"> </w:t>
      </w:r>
      <w:r>
        <w:t xml:space="preserve">discipline in Parts 2-3 can be applied by hand today; only its</w:t>
      </w:r>
      <w:r>
        <w:t xml:space="preserve"> </w:t>
      </w:r>
      <w:r>
        <w:rPr>
          <w:i/>
          <w:iCs/>
        </w:rPr>
        <w:t xml:space="preserve">automation</w:t>
      </w:r>
      <w:r>
        <w:t xml:space="preserve"> </w:t>
      </w:r>
      <w:r>
        <w:t xml:space="preserve">depends on the boundary decision below.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5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5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Three steps that don’t require a new adapter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Classify every Snowflake principal today, manually.</w:t>
            </w:r>
            <w:r>
              <w:t xml:space="preserve"> </w:t>
            </w:r>
            <w:r>
              <w:rPr>
                <w:rStyle w:val="VerbatimChar"/>
              </w:rPr>
              <w:t xml:space="preserve">DESCRIBE USER</w:t>
            </w:r>
            <w:r>
              <w:t xml:space="preserve"> </w:t>
            </w:r>
            <w:r>
              <w:t xml:space="preserve">and the account-level login-history views answer the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keypair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federated</w:t>
            </w:r>
            <w:r>
              <w:t xml:space="preserve"> </w:t>
            </w:r>
            <w:r>
              <w:t xml:space="preserve">classification Part 2 would</w:t>
            </w:r>
            <w:r>
              <w:t xml:space="preserve"> </w:t>
            </w:r>
            <w:r>
              <w:t xml:space="preserve">otherwise automate — the same inventory step the platform-analogous</w:t>
            </w:r>
            <w:r>
              <w:t xml:space="preserve"> </w:t>
            </w:r>
            <w:r>
              <w:t xml:space="preserve">SQL Server transformation (</w:t>
            </w:r>
            <w:r>
              <w:rPr>
                <w:rStyle w:val="VerbatimChar"/>
              </w:rPr>
              <w:t xml:space="preserve">ADR-091</w:t>
            </w:r>
            <w:r>
              <w:t xml:space="preserve">) starts with.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 a stored key pair as the bridge it is, not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destination.</w:t>
            </w:r>
            <w:r>
              <w:t xml:space="preserve"> </w:t>
            </w:r>
            <w:r>
              <w:t xml:space="preserve">Rotate on a defined cadence and track rotation as a</w:t>
            </w:r>
            <w:r>
              <w:t xml:space="preserve"> </w:t>
            </w:r>
            <w:r>
              <w:t xml:space="preserve">compliance signal now, even without a drift engine watching it —</w:t>
            </w:r>
            <w:r>
              <w:t xml:space="preserve"> </w:t>
            </w:r>
            <w:r>
              <w:t xml:space="preserve">key-pair auth is correct and replay-resistant, but</w:t>
            </w:r>
            <w:r>
              <w:t xml:space="preserve"> </w:t>
            </w:r>
            <w:r>
              <w:rPr>
                <w:rStyle w:val="VerbatimChar"/>
              </w:rPr>
              <w:t xml:space="preserve">ADR-004</w:t>
            </w:r>
            <w:r>
              <w:t xml:space="preserve">’s</w:t>
            </w:r>
            <w:r>
              <w:t xml:space="preserve"> </w:t>
            </w:r>
            <w:r>
              <w:t xml:space="preserve">credential-free destination is still the target.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Answer the boundary question before the automation question.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Snowflake is in scope for a GCC-Moderate deployment, the first real</w:t>
            </w:r>
            <w:r>
              <w:t xml:space="preserve"> </w:t>
            </w:r>
            <w:r>
              <w:t xml:space="preserve">decision is not</w:t>
            </w:r>
            <w:r>
              <w:t xml:space="preserve"> </w:t>
            </w:r>
            <w:r>
              <w:t xml:space="preserve">“build the adapter”</w:t>
            </w:r>
            <w:r>
              <w:t xml:space="preserve"> </w:t>
            </w:r>
            <w:r>
              <w:t xml:space="preserve">— it’s the gating-ADR</w:t>
            </w:r>
            <w:r>
              <w:t xml:space="preserve"> </w:t>
            </w:r>
            <w:r>
              <w:t xml:space="preserve">conversation (</w:t>
            </w:r>
            <w:r>
              <w:rPr>
                <w:rStyle w:val="VerbatimChar"/>
              </w:rPr>
              <w:t xml:space="preserve">ADR-059</w:t>
            </w:r>
            <w:r>
              <w:t xml:space="preserve">/</w:t>
            </w:r>
            <w:r>
              <w:rPr>
                <w:rStyle w:val="VerbatimChar"/>
              </w:rPr>
              <w:t xml:space="preserve">ADR-033</w:t>
            </w:r>
            <w:r>
              <w:t xml:space="preserve"> </w:t>
            </w:r>
            <w:r>
              <w:t xml:space="preserve">pattern) that would classify it</w:t>
            </w:r>
            <w:r>
              <w:t xml:space="preserve"> </w:t>
            </w:r>
            <w:r>
              <w:t xml:space="preserve">under a</w:t>
            </w:r>
            <w:r>
              <w:t xml:space="preserve"> </w:t>
            </w:r>
            <w:r>
              <w:rPr>
                <w:rStyle w:val="VerbatimChar"/>
              </w:rPr>
              <w:t xml:space="preserve">gcc-boundary</w:t>
            </w:r>
            <w:r>
              <w:t xml:space="preserve"> </w:t>
            </w:r>
            <w:r>
              <w:t xml:space="preserve">value, or under</w:t>
            </w:r>
            <w:r>
              <w:t xml:space="preserve"> </w:t>
            </w:r>
            <w:r>
              <w:rPr>
                <w:rStyle w:val="VerbatimChar"/>
              </w:rPr>
              <w:t xml:space="preserve">commercial-general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ADR-129</w:t>
            </w:r>
            <w:r>
              <w:t xml:space="preserve">) for a non-federal engagement. That conversation can start</w:t>
            </w:r>
            <w:r>
              <w:t xml:space="preserve"> </w:t>
            </w:r>
            <w:r>
              <w:t xml:space="preserve">independently of any engineering work.</w:t>
            </w:r>
          </w:p>
          <w:p/>
        </w:tc>
      </w:tr>
    </w:tbl>
    <w:p>
      <w:pPr>
        <w:pStyle w:val="FirstParagraph"/>
      </w:pPr>
      <w:r>
        <w:t xml:space="preserve">If and when that boundary decision authorizes it, the adapter shape in</w:t>
      </w:r>
      <w:r>
        <w:t xml:space="preserve"> </w:t>
      </w:r>
      <w:r>
        <w:t xml:space="preserve">Part 2 and the OrgPath-rendered access model in Part 3 are already</w:t>
      </w:r>
      <w:r>
        <w:t xml:space="preserve"> </w:t>
      </w:r>
      <w:r>
        <w:t xml:space="preserve">worked out — this document is the design sketch waiting on that</w:t>
      </w:r>
      <w:r>
        <w:t xml:space="preserve"> </w:t>
      </w:r>
      <w:r>
        <w:t xml:space="preserve">decision, not a blocker to today’s manual discipline.</w:t>
      </w:r>
    </w:p>
    <w:bookmarkEnd w:id="52"/>
    <w:bookmarkEnd w:id="53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14:53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1" Target="media/rId21.png" /><Relationship Type="http://schemas.openxmlformats.org/officeDocument/2006/relationships/image" Id="rId17" Target="media/rId17.png" /><Relationship Type="http://schemas.openxmlformats.org/officeDocument/2006/relationships/hyperlink" Id="rId30" Target="https://docs.snowflake.com/en/release-notes/2025/other/2025-08-14-wif" TargetMode="External" /><Relationship Type="http://schemas.openxmlformats.org/officeDocument/2006/relationships/hyperlink" Id="rId27" Target="https://docs.snowflake.com/en/user-guide/key-pair-auth" TargetMode="External" /><Relationship Type="http://schemas.openxmlformats.org/officeDocument/2006/relationships/hyperlink" Id="rId48" Target="https://docs.snowflake.com/en/user-guide/security-authentication-overview" TargetMode="External" /><Relationship Type="http://schemas.openxmlformats.org/officeDocument/2006/relationships/hyperlink" Id="rId25" Target="https://docs.snowflake.com/en/user-guide/security-mfa-rollout" TargetMode="External" /><Relationship Type="http://schemas.openxmlformats.org/officeDocument/2006/relationships/hyperlink" Id="rId29" Target="https://docs.snowflake.com/en/user-guide/workload-identity-federation" TargetMode="External" /><Relationship Type="http://schemas.openxmlformats.org/officeDocument/2006/relationships/hyperlink" Id="rId41" Target="https://whalermike.github.io/uiao/adr/adr-002-arc-entra-join-no-domain-join.html" TargetMode="External" /><Relationship Type="http://schemas.openxmlformats.org/officeDocument/2006/relationships/hyperlink" Id="rId38" Target="https://whalermike.github.io/uiao/adr/adr-004-workload-identity-federation-default.html" TargetMode="External" /><Relationship Type="http://schemas.openxmlformats.org/officeDocument/2006/relationships/hyperlink" Id="rId42" Target="https://whalermike.github.io/uiao/adr/adr-008-zero-trust-identity.html" TargetMode="External" /><Relationship Type="http://schemas.openxmlformats.org/officeDocument/2006/relationships/hyperlink" Id="rId40" Target="https://whalermike.github.io/uiao/adr/adr-068-kerberos-ntlm-elimination.html" TargetMode="External" /><Relationship Type="http://schemas.openxmlformats.org/officeDocument/2006/relationships/hyperlink" Id="rId39" Target="https://whalermike.github.io/uiao/adr/adr-091-sql-server-authentication-transformation.html" TargetMode="External" /><Relationship Type="http://schemas.openxmlformats.org/officeDocument/2006/relationships/hyperlink" Id="rId45" Target="https://whalermike.github.io/uiao/customer-documents/orgpath-narrative/index.html" TargetMode="External" /><Relationship Type="http://schemas.openxmlformats.org/officeDocument/2006/relationships/hyperlink" Id="rId46" Target="https://whalermike.github.io/uiao/customer-documents/sql-server-narrative/bridge-orgpath-sql.html" TargetMode="External" /><Relationship Type="http://schemas.openxmlformats.org/officeDocument/2006/relationships/hyperlink" Id="rId44" Target="https://whalermike.github.io/uiao/customer-documents/sql-server-narrative/index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cs.snowflake.com/en/release-notes/2025/other/2025-08-14-wif" TargetMode="External" /><Relationship Type="http://schemas.openxmlformats.org/officeDocument/2006/relationships/hyperlink" Id="rId27" Target="https://docs.snowflake.com/en/user-guide/key-pair-auth" TargetMode="External" /><Relationship Type="http://schemas.openxmlformats.org/officeDocument/2006/relationships/hyperlink" Id="rId48" Target="https://docs.snowflake.com/en/user-guide/security-authentication-overview" TargetMode="External" /><Relationship Type="http://schemas.openxmlformats.org/officeDocument/2006/relationships/hyperlink" Id="rId25" Target="https://docs.snowflake.com/en/user-guide/security-mfa-rollout" TargetMode="External" /><Relationship Type="http://schemas.openxmlformats.org/officeDocument/2006/relationships/hyperlink" Id="rId29" Target="https://docs.snowflake.com/en/user-guide/workload-identity-federation" TargetMode="External" /><Relationship Type="http://schemas.openxmlformats.org/officeDocument/2006/relationships/hyperlink" Id="rId41" Target="https://whalermike.github.io/uiao/adr/adr-002-arc-entra-join-no-domain-join.html" TargetMode="External" /><Relationship Type="http://schemas.openxmlformats.org/officeDocument/2006/relationships/hyperlink" Id="rId38" Target="https://whalermike.github.io/uiao/adr/adr-004-workload-identity-federation-default.html" TargetMode="External" /><Relationship Type="http://schemas.openxmlformats.org/officeDocument/2006/relationships/hyperlink" Id="rId42" Target="https://whalermike.github.io/uiao/adr/adr-008-zero-trust-identity.html" TargetMode="External" /><Relationship Type="http://schemas.openxmlformats.org/officeDocument/2006/relationships/hyperlink" Id="rId40" Target="https://whalermike.github.io/uiao/adr/adr-068-kerberos-ntlm-elimination.html" TargetMode="External" /><Relationship Type="http://schemas.openxmlformats.org/officeDocument/2006/relationships/hyperlink" Id="rId39" Target="https://whalermike.github.io/uiao/adr/adr-091-sql-server-authentication-transformation.html" TargetMode="External" /><Relationship Type="http://schemas.openxmlformats.org/officeDocument/2006/relationships/hyperlink" Id="rId45" Target="https://whalermike.github.io/uiao/customer-documents/orgpath-narrative/index.html" TargetMode="External" /><Relationship Type="http://schemas.openxmlformats.org/officeDocument/2006/relationships/hyperlink" Id="rId46" Target="https://whalermike.github.io/uiao/customer-documents/sql-server-narrative/bridge-orgpath-sql.html" TargetMode="External" /><Relationship Type="http://schemas.openxmlformats.org/officeDocument/2006/relationships/hyperlink" Id="rId44" Target="https://whalermike.github.io/uiao/customer-documents/sql-server-narrativ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Snowflake Key-Pair Conversion — the UIAO and OrgPath Reading</dc:title>
  <dc:creator>Michael Stratton</dc:creator>
  <cp:keywords/>
  <dcterms:created xsi:type="dcterms:W3CDTF">2026-09-16T14:53:31Z</dcterms:created>
  <dcterms:modified xsi:type="dcterms:W3CDTF">2026-09-16T14:53:31Z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source">
    <vt:lpwstr>src/uiao/canon/adr/adr-004-workload-identity-federation-default.md + src/uiao/canon/adr/adr-091-sql-server-authentication-transformation.md</vt:lpwstr>
  </property>
  <property fmtid="{D5CDD505-2E9C-101B-9397-08002B2CF9AE}" pid="7" name="created-at">
    <vt:lpwstr>2026-06-07</vt:lpwstr>
  </property>
  <property fmtid="{D5CDD505-2E9C-101B-9397-08002B2CF9AE}" pid="8" name="date">
    <vt:lpwstr>2026-06-01</vt:lpwstr>
  </property>
  <property fmtid="{D5CDD505-2E9C-101B-9397-08002B2CF9AE}" pid="9" name="doc-type">
    <vt:lpwstr>whitepaper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fecycle">
    <vt:lpwstr>draft</vt:lpwstr>
  </property>
  <property fmtid="{D5CDD505-2E9C-101B-9397-08002B2CF9AE}" pid="15" name="lifecycle_review">
    <vt:lpwstr>2026-12-22</vt:lpwstr>
  </property>
  <property fmtid="{D5CDD505-2E9C-101B-9397-08002B2CF9AE}" pid="16" name="mermaid">
    <vt:lpwstr/>
  </property>
  <property fmtid="{D5CDD505-2E9C-101B-9397-08002B2CF9AE}" pid="17" name="repo-path">
    <vt:lpwstr>docs/customer-documents/whitepapers/snowflake-keypair-vs-uiao-orgpath.qmd</vt:lpwstr>
  </property>
  <property fmtid="{D5CDD505-2E9C-101B-9397-08002B2CF9AE}" pid="18" name="status">
    <vt:lpwstr>Draft</vt:lpwstr>
  </property>
  <property fmtid="{D5CDD505-2E9C-101B-9397-08002B2CF9AE}" pid="19" name="subtitle">
    <vt:lpwstr>How a governance substrate would run the password→key-pair migration Snowflake is forcing, and why the key pair is the bridge, not the destination</vt:lpwstr>
  </property>
  <property fmtid="{D5CDD505-2E9C-101B-9397-08002B2CF9AE}" pid="20" name="tiers_adopted">
    <vt:lpwstr/>
  </property>
  <property fmtid="{D5CDD505-2E9C-101B-9397-08002B2CF9AE}" pid="21" name="toc-title">
    <vt:lpwstr>Table of contents</vt:lpwstr>
  </property>
  <property fmtid="{D5CDD505-2E9C-101B-9397-08002B2CF9AE}" pid="22" name="updated-at">
    <vt:lpwstr>2026-09-16</vt:lpwstr>
  </property>
  <property fmtid="{D5CDD505-2E9C-101B-9397-08002B2CF9AE}" pid="23" name="version">
    <vt:lpwstr>1.4</vt:lpwstr>
  </property>
</Properties>
</file>