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9.png" ContentType="image/png"/>
  <Override PartName="/word/media/rId30.png" ContentType="image/png"/>
  <Override PartName="/word/media/rId16.png" ContentType="image/png"/>
  <Override PartName="/word/media/rId42.png" ContentType="image/png"/>
  <Override PartName="/word/media/rId49.png" ContentType="image/png"/>
  <Override PartName="/word/media/rId54.png" ContentType="image/png"/>
  <Override PartName="/word/media/rId66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Ticket-to-Machine, Not Ticket-to-Human: Why Changing State Isn’t Compliance Evidence</w:t>
      </w:r>
    </w:p>
    <w:p>
      <w:pPr>
        <w:pStyle w:val="Subtitle"/>
      </w:pPr>
      <w:r>
        <w:t xml:space="preserve">Azure, AWS, and VMware’s own tools remediate; ServiceNow — with SailPoint ISC Governance feeding it for access governance — supplies the owner, the clock, and the evidence NIST, CISA, and FedRAMP actually require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2026-07-01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5" w:name="Xbf62e7cd58d39e9e9b22264e9a22119908a71ab"/>
    <w:p>
      <w:pPr>
        <w:pStyle w:val="Heading1"/>
      </w:pPr>
      <w:r>
        <w:t xml:space="preserve">Ticket-to-Machine, Not Ticket-to-Human: Why Changing State Isn’t Compliance Evidence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Azure Policy, AWS Config, and vSphere Configuration Profiles</w:t>
            </w:r>
            <w:r>
              <w:t xml:space="preserve"> </w:t>
            </w:r>
            <w:r>
              <w:t xml:space="preserve">genuinely remediate; none can answer the four questions an assessor asks about</w:t>
            </w:r>
            <w:r>
              <w:t xml:space="preserve"> </w:t>
            </w:r>
            <w:r>
              <w:t xml:space="preserve">a finding — who owns it, by when, under whose approval, with what evidence.</w:t>
            </w:r>
            <w:r>
              <w:t xml:space="preserve"> </w:t>
            </w:r>
            <w:r>
              <w:t xml:space="preserve">CM-6 is</w:t>
            </w:r>
            <w:r>
              <w:t xml:space="preserve"> </w:t>
            </w:r>
            <w:r>
              <w:rPr>
                <w:rStyle w:val="VerbatimChar"/>
              </w:rPr>
              <w:t xml:space="preserve">Tool-attestable: No</w:t>
            </w:r>
            <w:r>
              <w:t xml:space="preserve"> </w:t>
            </w:r>
            <w:r>
              <w:t xml:space="preserve">on every platform surveyed. And raising a ticket</w:t>
            </w:r>
            <w:r>
              <w:t xml:space="preserve"> </w:t>
            </w:r>
            <w:r>
              <w:t xml:space="preserve">does not fix that if a human still logs into the console because the ticket</w:t>
            </w:r>
            <w:r>
              <w:t xml:space="preserve"> </w:t>
            </w:r>
            <w:r>
              <w:t xml:space="preserve">told them to.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A coordination layer — ServiceNow, with SailPoint ISC Governance</w:t>
            </w:r>
            <w:r>
              <w:t xml:space="preserve"> </w:t>
            </w:r>
            <w:r>
              <w:t xml:space="preserve">feeding it for the access-governance domain — in front of the native tools,</w:t>
            </w:r>
            <w:r>
              <w:t xml:space="preserve"> </w:t>
            </w:r>
            <w:r>
              <w:t xml:space="preserve">where the ticket authorizes a</w:t>
            </w:r>
            <w:r>
              <w:t xml:space="preserve"> </w:t>
            </w:r>
            <w:r>
              <w:rPr>
                <w:i/>
                <w:iCs/>
              </w:rPr>
              <w:t xml:space="preserve">machine</w:t>
            </w:r>
            <w:r>
              <w:t xml:space="preserve"> </w:t>
            </w:r>
            <w:r>
              <w:t xml:space="preserve">to execute under a service identity</w:t>
            </w:r>
            <w:r>
              <w:t xml:space="preserve"> </w:t>
            </w:r>
            <w:r>
              <w:t xml:space="preserve">and the human’s role stops at approval. Where no machine actuator exists yet</w:t>
            </w:r>
            <w:r>
              <w:t xml:space="preserve"> </w:t>
            </w:r>
            <w:r>
              <w:t xml:space="preserve">(VMware/vCenter), the closure is a declared exception through a recorded</w:t>
            </w:r>
            <w:r>
              <w:t xml:space="preserve"> </w:t>
            </w:r>
            <w:r>
              <w:t xml:space="preserve">CyberArk PSM session, not a silent one. The OrgComp Day-2 kit is the working</w:t>
            </w:r>
            <w:r>
              <w:t xml:space="preserve"> </w:t>
            </w:r>
            <w:r>
              <w:t xml:space="preserve">reference implementation.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§14: confirm, row by row, whether the agency’s ServiceNow contract</w:t>
            </w:r>
            <w:r>
              <w:t xml:space="preserve"> </w:t>
            </w:r>
            <w:r>
              <w:t xml:space="preserve">entitles the IntegrationHub spokes each platform needs — Entra ID, Azure, AWS,</w:t>
            </w:r>
            <w:r>
              <w:t xml:space="preserve"> </w:t>
            </w:r>
            <w:r>
              <w:t xml:space="preserve">VMware — and where it does not, license the integration or book a declared</w:t>
            </w:r>
            <w:r>
              <w:t xml:space="preserve"> </w:t>
            </w:r>
            <w:r>
              <w:t xml:space="preserve">exception with a named compensating control. Never route the gap through a</w:t>
            </w:r>
            <w:r>
              <w:t xml:space="preserve"> </w:t>
            </w:r>
            <w:r>
              <w:t xml:space="preserve">human at the console.</w:t>
            </w:r>
          </w:p>
          <w:p/>
        </w:tc>
      </w:tr>
    </w:tbl>
    <w:bookmarkStart w:id="14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question this paper answers:</w:t>
      </w:r>
      <w:r>
        <w:t xml:space="preserve"> </w:t>
      </w:r>
      <w:r>
        <w:rPr>
          <w:b/>
          <w:bCs/>
        </w:rPr>
        <w:t xml:space="preserve">if the agency already has Azure Portal, the AWS Console, vCenter/CPS, and a ServiceNow + SailPoint stack, why not just let the native tools handle compliance directly?</w:t>
      </w:r>
    </w:p>
    <w:p>
      <w:pPr>
        <w:pStyle w:val="BodyText"/>
      </w:pPr>
      <w:r>
        <w:t xml:space="preserve">The short answer is that native cloud and virtualization consoles are excellent at one job — changing state — and structurally incapable of a second, different job: producing the evidence an assessor can trace. Azure Policy, AWS Config, and VMware’s vSphere Configuration Profiles all genuinely remediate. None of them, on their own, can answer the four questions a FedRAMP assessor or an authorizing official actually asks about a finding:</w:t>
      </w:r>
      <w:r>
        <w:t xml:space="preserve"> </w:t>
      </w:r>
      <w:r>
        <w:rPr>
          <w:b/>
          <w:bCs/>
        </w:rPr>
        <w:t xml:space="preserve">who owns it, by when, under whose approval, and with what evidence.</w:t>
      </w:r>
      <w:r>
        <w:t xml:space="preserve"> </w:t>
      </w:r>
      <w:r>
        <w:t xml:space="preserve">That is not a criticism of the native tools — it is a recognition that</w:t>
      </w:r>
      <w:r>
        <w:t xml:space="preserve"> </w:t>
      </w:r>
      <w:r>
        <w:t xml:space="preserve">“the console shows green”</w:t>
      </w:r>
      <w:r>
        <w:t xml:space="preserve"> </w:t>
      </w:r>
      <w:r>
        <w:t xml:space="preserve">and</w:t>
      </w:r>
      <w:r>
        <w:t xml:space="preserve"> </w:t>
      </w:r>
      <w:r>
        <w:t xml:space="preserve">“the authorization package has a traceable, owned, evidenced record”</w:t>
      </w:r>
      <w:r>
        <w:t xml:space="preserve"> </w:t>
      </w:r>
      <w:r>
        <w:t xml:space="preserve">are different claims, and only one of them is what NIST SP 800-53, CISA directives, and FedRAMP require.</w:t>
      </w:r>
    </w:p>
    <w:p>
      <w:pPr>
        <w:pStyle w:val="BodyText"/>
      </w:pPr>
      <w:r>
        <w:rPr>
          <w:b/>
          <w:bCs/>
        </w:rPr>
        <w:t xml:space="preserve">A ticket alone does not close that gap either — this is the point this paper exists to make.</w:t>
      </w:r>
      <w:r>
        <w:t xml:space="preserve"> </w:t>
      </w:r>
      <w:r>
        <w:t xml:space="preserve">The default shape of change management in most estates today is</w:t>
      </w:r>
      <w:r>
        <w:t xml:space="preserve"> </w:t>
      </w:r>
      <w:r>
        <w:rPr>
          <w:i/>
          <w:iCs/>
        </w:rPr>
        <w:t xml:space="preserve">ticket → a human opens the console (or runs a script) because the ticket told them to → replies</w:t>
      </w:r>
      <w:r>
        <w:rPr>
          <w:i/>
          <w:iCs/>
        </w:rPr>
        <w:t xml:space="preserve"> </w:t>
      </w:r>
      <w:r>
        <w:rPr>
          <w:i/>
          <w:iCs/>
        </w:rPr>
        <w:t xml:space="preserve">“done.”</w:t>
      </w:r>
      <w:r>
        <w:t xml:space="preserve"> </w:t>
      </w:r>
      <w:r>
        <w:t xml:space="preserve">Adding a ServiceNow ticket in front of that does not change who is at the keyboard. §4 states this plainly: the ticket has to authorize a machine to execute, not a person to click through the same console the ticket was raised about — that distinction, not merely</w:t>
      </w:r>
      <w:r>
        <w:t xml:space="preserve"> </w:t>
      </w:r>
      <w:r>
        <w:t xml:space="preserve">“have a ticketing system,”</w:t>
      </w:r>
      <w:r>
        <w:t xml:space="preserve"> </w:t>
      </w:r>
      <w:r>
        <w:t xml:space="preserve">is what this paper is actually recommending.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2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Finding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Across every platform examined in this paper — Microsoft 365, Azure, AWS, and VMware — the OrgComp series’ own control-closure tables mark</w:t>
            </w:r>
            <w:r>
              <w:t xml:space="preserve"> </w:t>
            </w:r>
            <w:r>
              <w:rPr>
                <w:b/>
                <w:bCs/>
              </w:rPr>
              <w:t xml:space="preserve">CM-6 (Configuration Settings)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Tool-attestable: No</w:t>
            </w:r>
            <w:r>
              <w:t xml:space="preserve">, without exception, regardless of vendor; the three IaaS/hybrid platforms (Azure, AWS, VMware) additionally carry</w:t>
            </w:r>
            <w:r>
              <w:t xml:space="preserve"> </w:t>
            </w:r>
            <w:r>
              <w:rPr>
                <w:b/>
                <w:bCs/>
              </w:rPr>
              <w:t xml:space="preserve">RA-5 (Vulnerability Monitoring and Scanning)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SI-2 (Flaw Remediation)</w:t>
            </w:r>
            <w:r>
              <w:t xml:space="preserve"> </w:t>
            </w:r>
            <w:r>
              <w:t xml:space="preserve">with the same verdict — M365 is Microsoft-managed SaaS and never reaches a control-closure table for those two at all. This is not an oversight or a gap waiting to be closed by the next product release — it is the structural finding of this paper: no native console, by itself, produces the ownership/clock/approval/evidence record FedRAMP evidence requires. That record comes from a coordination layer — ServiceNow, with SailPoint ISC Governance feeding it detection findings for the adjacent access-governance domain — sitting in front of the native tools, not replacing them.</w:t>
            </w:r>
          </w:p>
          <w:p/>
        </w:tc>
      </w:tr>
    </w:tbl>
    <w:bookmarkEnd w:id="14"/>
    <w:bookmarkStart w:id="15" w:name="the-question-precisely"/>
    <w:p>
      <w:pPr>
        <w:pStyle w:val="Heading2"/>
      </w:pPr>
      <w:r>
        <w:t xml:space="preserve">2. The Question, Precisely</w:t>
      </w:r>
    </w:p>
    <w:p>
      <w:pPr>
        <w:pStyle w:val="FirstParagraph"/>
      </w:pPr>
      <w:r>
        <w:t xml:space="preserve">“Does the native cloud portal already do this?”</w:t>
      </w:r>
      <w:r>
        <w:t xml:space="preserve"> </w:t>
      </w:r>
      <w:r>
        <w:t xml:space="preserve">is really three separate questions that get collapsed into one: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 the native tool detect drift and change state?</w:t>
      </w:r>
      <w:r>
        <w:t xml:space="preserve"> </w:t>
      </w:r>
      <w:r>
        <w:t xml:space="preserve">Yes — this paper does not dispute that Azure Policy, AWS Config, and vSphere Configuration Profiles genuinely remediate.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 the native tool’s own dashboard show current compliance posture?</w:t>
      </w:r>
      <w:r>
        <w:t xml:space="preserve"> </w:t>
      </w:r>
      <w:r>
        <w:t xml:space="preserve">Yes, for its own boundary — Defender for Cloud, Security Hub, and VCF Operations all show a live posture picture.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 the native tool’s dashboard, by itself, serve as the evidence artifact an assessor relies on for an ATO decision?</w:t>
      </w:r>
      <w:r>
        <w:t xml:space="preserve"> </w:t>
      </w:r>
      <w:r>
        <w:t xml:space="preserve">No. This is the question this paper is actually about, and the answer is the same across every platform surveyed.</w:t>
      </w:r>
    </w:p>
    <w:p>
      <w:pPr>
        <w:pStyle w:val="FirstParagraph"/>
      </w:pPr>
      <w:r>
        <w:t xml:space="preserve">The reason the answer is uniformly</w:t>
      </w:r>
      <w:r>
        <w:t xml:space="preserve"> </w:t>
      </w:r>
      <w:r>
        <w:t xml:space="preserve">“no”</w:t>
      </w:r>
      <w:r>
        <w:t xml:space="preserve"> </w:t>
      </w:r>
      <w:r>
        <w:t xml:space="preserve">is not a per-vendor product gap; it is structural. A console shows</w:t>
      </w:r>
      <w:r>
        <w:t xml:space="preserve"> </w:t>
      </w:r>
      <w:r>
        <w:rPr>
          <w:i/>
          <w:iCs/>
        </w:rPr>
        <w:t xml:space="preserve">current state</w:t>
      </w:r>
      <w:r>
        <w:t xml:space="preserve">. An evidence record has to show</w:t>
      </w:r>
      <w:r>
        <w:t xml:space="preserve"> </w:t>
      </w:r>
      <w:r>
        <w:rPr>
          <w:i/>
          <w:iCs/>
        </w:rPr>
        <w:t xml:space="preserve">who owns the finding, the clock they are working against, the approval trail for any exception, and a re-test that proves closure</w:t>
      </w:r>
      <w:r>
        <w:t xml:space="preserve"> </w:t>
      </w:r>
      <w:r>
        <w:t xml:space="preserve">— a governance wrapper, not a dashboard, and none of the three platforms’ native consoles are built to be a system of record for ownership and approval across an organization’s workflow.</w:t>
      </w:r>
    </w:p>
    <w:bookmarkEnd w:id="15"/>
    <w:bookmarkStart w:id="21" w:name="one-coordination-pattern-four-platforms"/>
    <w:p>
      <w:pPr>
        <w:pStyle w:val="Heading2"/>
      </w:pPr>
      <w:r>
        <w:t xml:space="preserve">3. One Coordination Pattern, Four Platforms</w:t>
      </w:r>
    </w:p>
    <w:p>
      <w:pPr>
        <w:pStyle w:val="FirstParagraph"/>
      </w:pPr>
      <w:r>
        <w:t xml:space="preserve">The OrgComp series documents this pattern once and applies it identically across Microsoft 365 (Vol VII Book 02), Azure (Book 03), AWS (Book 06), and VMware (Book 07) — the same five-step loop over each platform’s native control engines:</w:t>
      </w:r>
    </w:p>
    <w:p>
      <w:pPr>
        <w:pStyle w:val="BodyText"/>
      </w:pPr>
      <w:r>
        <w:rPr>
          <w:b/>
          <w:bCs/>
        </w:rPr>
        <w:t xml:space="preserve">Test → Detect drift → Raise a typed task against the reconciled CI → Actuate on the native surface → Close with evidence.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orgcomp-loop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17" name="Picture"/>
                  <ns2:graphic>
                    <ns2:graphicData uri="http://schemas.openxmlformats.org/drawingml/2006/picture">
                      <ns3:pic>
                        <ns3:nvPicPr>
                          <ns3:cNvPr descr="images/orgcomp-vs-native-cloud-consoles-diagram-01-five-step-loop.png" id="1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6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compliance loop, identical across M365, Azure, AWS, and VMware — actuation always stays platform-native</w:t>
            </w:r>
          </w:p>
          <w:bookmarkEnd w:id="19"/>
        </w:tc>
      </w:tr>
    </w:tbl>
    <w:p>
      <w:pPr>
        <w:pStyle w:val="BodyText"/>
      </w:pPr>
      <w:r>
        <w:t xml:space="preserve">Actuation always stays platform-native. ServiceNow’s role is never to write the configuration, apply the patch, or fix the firewall rule — it is to make sure every drift becomes an owned, clocked, approved, evidenced piece of work, whichever native engine ultimately does the actuating.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Native engines (actuate)</w:t>
            </w:r>
          </w:p>
        </w:tc>
        <w:tc>
          <w:tcPr/>
          <w:p>
            <w:pPr>
              <w:pStyle w:val="Compact"/>
            </w:pPr>
            <w:r>
              <w:t xml:space="preserve">Controls covered</w:t>
            </w:r>
          </w:p>
        </w:tc>
        <w:tc>
          <w:tcPr/>
          <w:p>
            <w:pPr>
              <w:pStyle w:val="Compact"/>
            </w:pPr>
            <w:r>
              <w:t xml:space="preserve">What the console alone cannot show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Conditional Access, Purview</w:t>
            </w:r>
          </w:p>
        </w:tc>
        <w:tc>
          <w:tcPr/>
          <w:p>
            <w:pPr>
              <w:pStyle w:val="Compact"/>
            </w:pPr>
            <w:r>
              <w:t xml:space="preserve">CM-6</w:t>
            </w:r>
          </w:p>
        </w:tc>
        <w:tc>
          <w:tcPr/>
          <w:p>
            <w:pPr>
              <w:pStyle w:val="Compact"/>
            </w:pPr>
            <w:r>
              <w:t xml:space="preserve">Owner, SLA, approval trail, exception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Azure Policy, Defender for Cloud, MDVM, Update Manager (+ Arc for hybrid)</w:t>
            </w:r>
          </w:p>
        </w:tc>
        <w:tc>
          <w:tcPr/>
          <w:p>
            <w:pPr>
              <w:pStyle w:val="Compact"/>
            </w:pPr>
            <w:r>
              <w:t xml:space="preserve">CM-6, RA-5, SI-2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AWS Config, Security Hub CSPM (+ GuardDuty, Inspector), Systems Manager Patch Manager</w:t>
            </w:r>
          </w:p>
        </w:tc>
        <w:tc>
          <w:tcPr/>
          <w:p>
            <w:pPr>
              <w:pStyle w:val="Compact"/>
            </w:pPr>
            <w:r>
              <w:t xml:space="preserve">CM-2/CM-6, CM-6/RA-5, SI-2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VMware</w:t>
            </w:r>
          </w:p>
        </w:tc>
        <w:tc>
          <w:tcPr/>
          <w:p>
            <w:pPr>
              <w:pStyle w:val="Compact"/>
            </w:pPr>
            <w:r>
              <w:t xml:space="preserve">vSphere Configuration Profiles, VCF Operations + NSX Distributed Firewall, vSphere Lifecycle Manager (vLCM)</w:t>
            </w:r>
          </w:p>
        </w:tc>
        <w:tc>
          <w:tcPr/>
          <w:p>
            <w:pPr>
              <w:pStyle w:val="Compact"/>
            </w:pPr>
            <w:r>
              <w:t xml:space="preserve">CM-2/CM-6, CM-6/RA-5, SI-2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M365’s row is shorter than the other three for a structural reason, not an omission: it is Microsoft-managed SaaS, so there is no customer-facing vulnerability-scanning or patch-management surface the way the IaaS/hybrid platforms have (Defender for Cloud + MDVM + Update Manager, Security Hub + GuardDuty + Inspector + Patch Manager, VCF Operations + NSX + vLCM) — Microsoft owns that layer, so RA-5 and SI-2 never reach the tenant’s own control-closure table in the first place.</w:t>
      </w:r>
      <w:r>
        <w:t xml:space="preserve"> </w:t>
      </w:r>
      <w:hyperlink r:id="rId20">
        <w:r>
          <w:rPr>
            <w:rStyle w:val="Hyperlink"/>
          </w:rPr>
          <w:t xml:space="preserve">Vol VII Book 02</w:t>
        </w:r>
      </w:hyperlink>
      <w:r>
        <w:t xml:space="preserve">’s own generated Authorities Closed Here table has exactly three rows — AC-2, CA-7, CM-6 — confirming this, not asserting it.</w:t>
      </w:r>
    </w:p>
    <w:p>
      <w:pPr>
        <w:pStyle w:val="BodyText"/>
      </w:pPr>
      <w:r>
        <w:t xml:space="preserve">VMware is worth calling out specifically, because it breaks the pattern people expect: unlike M365, Azure, and AWS — boundaries reached over a cloud provider’s API — VMware is the agency’s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on-premises or agency-operated virtualization estate, racked and patched directly. The same evidence gap exists anyway. Owning the hardware does not produce an owner, a clock, or an approval trail any more than renting a CSP subscription does; vCenter’s own console shows green on exactly the same terms Azure’s and AWS’s consoles do.</w:t>
      </w:r>
    </w:p>
    <w:bookmarkEnd w:id="21"/>
    <w:bookmarkStart w:id="29" w:name="Xf2367187fddc0be850193a84d0d2390990f6433"/>
    <w:p>
      <w:pPr>
        <w:pStyle w:val="Heading2"/>
      </w:pPr>
      <w:r>
        <w:t xml:space="preserve">4. Who Actuates: Ticket-to-Machine, Not Ticket-to-Human</w:t>
      </w:r>
    </w:p>
    <w:p>
      <w:pPr>
        <w:pStyle w:val="FirstParagraph"/>
      </w:pPr>
      <w:r>
        <w:t xml:space="preserve">The gap described above has an obvious-looking fix that is itself a trap: raise a ServiceNow ticket for every finding and call the gap closed. It isn’t, if what happens next is still a human logging into the Azure Portal, the AWS Console, or vCenter — or running a script by hand — because the ticket told them to. That is the default shape of change management in most estates today:</w:t>
      </w:r>
      <w:r>
        <w:t xml:space="preserve"> </w:t>
      </w:r>
      <w:r>
        <w:rPr>
          <w:i/>
          <w:iCs/>
        </w:rPr>
        <w:t xml:space="preserve">ticket → a human opens a console or runs a script → replies</w:t>
      </w:r>
      <w:r>
        <w:rPr>
          <w:i/>
          <w:iCs/>
        </w:rPr>
        <w:t xml:space="preserve"> </w:t>
      </w:r>
      <w:r>
        <w:rPr>
          <w:i/>
          <w:iCs/>
        </w:rPr>
        <w:t xml:space="preserve">“done.”</w:t>
      </w:r>
      <w:r>
        <w:t xml:space="preserve"> </w:t>
      </w:r>
      <w:r>
        <w:t xml:space="preserve">This paper’s coordination-layer argument does not automatically fix that pattern; it can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fixed while execution stays exactly where it always was, at a keyboard. Closing that gap — not merely adding a ticketing system in front of the same manual process — is this paper’s central recommendation.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22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2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Recommendation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The ticket should authorize a machine, not a person, wherever a machine can reach the surface.</w:t>
            </w:r>
            <w:r>
              <w:t xml:space="preserve"> </w:t>
            </w:r>
            <w:r>
              <w:t xml:space="preserve">A human approves the change in ServiceNow; Azure Policy, AWS Config, vSphere Configuration Profiles, an orchestration runbook, or the ServiceNow MID Server itself executes it under a service identity. The human’s role stops at approval — the platform, not the person, is the actuator. This is the same</w:t>
            </w:r>
            <w:r>
              <w:t xml:space="preserve"> </w:t>
            </w:r>
            <w:r>
              <w:t xml:space="preserve">“actuation always stays platform-native”</w:t>
            </w:r>
            <w:r>
              <w:t xml:space="preserve"> </w:t>
            </w:r>
            <w:r>
              <w:t xml:space="preserve">claim from §3, stated as a rule about</w:t>
            </w:r>
            <w:r>
              <w:t xml:space="preserve"> </w:t>
            </w:r>
            <w:r>
              <w:rPr>
                <w:i/>
                <w:iCs/>
              </w:rPr>
              <w:t xml:space="preserve">who</w:t>
            </w:r>
            <w:r>
              <w:t xml:space="preserve"> </w:t>
            </w:r>
            <w:r>
              <w:t xml:space="preserve">touches the keyboard, not only about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console shows the change.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Why a machine actuator, specifically.</w:t>
      </w:r>
      <w:r>
        <w:t xml:space="preserve"> </w:t>
      </w:r>
      <w:r>
        <w:t xml:space="preserve">Running a change through an orchestrator produces, automatically, everything a 3PAO or authorizing official actually checks for: the change traces to a prior approval, the artifact that ran is version-controlled and access-restricted, the execution is logged and attributable to the task rather than to a person’s memory, and the result is a re-testable, reproducible record rather than a</w:t>
      </w:r>
      <w:r>
        <w:t xml:space="preserve"> </w:t>
      </w:r>
      <w:r>
        <w:t xml:space="preserve">“trust me”</w:t>
      </w:r>
      <w:r>
        <w:t xml:space="preserve"> </w:t>
      </w:r>
      <w:r>
        <w:t xml:space="preserve">reply. A human at a console produces none of that unless every one of those properties is separately, manually reconstructed — a real cost, paid every time, that a machine actuator pays once, in the orchestrator’s own design.</w:t>
      </w:r>
    </w:p>
    <w:p>
      <w:pPr>
        <w:pStyle w:val="BodyText"/>
      </w:pPr>
      <w:r>
        <w:rPr>
          <w:b/>
          <w:bCs/>
        </w:rPr>
        <w:t xml:space="preserve">This is a strong recommendation, not a citable prohibition — and this paper says so plainly rather than overstating it.</w:t>
      </w:r>
      <w:r>
        <w:t xml:space="preserve"> </w:t>
      </w:r>
      <w:r>
        <w:t xml:space="preserve">No NIST SP 800-53 control bars a human from executing an approved change, and FedRAMP’s own KSI-CMT-RMV (redeploy version-controlled resources rather than modify directly) is itself qualified</w:t>
      </w:r>
      <w:r>
        <w:t xml:space="preserve"> </w:t>
      </w:r>
      <w:r>
        <w:t xml:space="preserve">“wherever reasonable”</w:t>
      </w:r>
      <w:r>
        <w:t xml:space="preserve"> </w:t>
      </w:r>
      <w:r>
        <w:t xml:space="preserve">— an engineering preference with a documented-exception path, not a ban.</w:t>
      </w:r>
      <w:r>
        <w:t xml:space="preserve"> </w:t>
      </w:r>
      <w:hyperlink r:id="rId24">
        <w:r>
          <w:rPr>
            <w:rStyle w:val="Hyperlink"/>
          </w:rPr>
          <w:t xml:space="preserve">Vol VII Book 07</w:t>
        </w:r>
      </w:hyperlink>
      <w:r>
        <w:t xml:space="preserve"> </w:t>
      </w:r>
      <w:r>
        <w:t xml:space="preserve">works the full derivation and citations — CM-3/CM-3(2)/CM-5/CM-7/CM-11/CM-14, AU-2/AU-12/AC-6(9), KSI-CMT-RMV/VTD/RVP, and the specific FedRAMP Rev 5 Moderate baseline enhancements that actually mandate automation (CM-3(2), CM-5(1), CM-6(1), SI-2(2)), each checked directly against FedRAMP’s own published baseline profile rather than asserted. That check was run a second time against an independently-authored citation review that also proposed CM-3(5), AU-12(3), and mischaracterized glosses of AC-6(9) and IA-5(2) for this argument — none of which held up against the same primary sources, and none of which are cited here; Book 07 documents why, so the rejected citations don’t quietly resurface later. This paper states the conclusion once, for the reader who wants the claim without the control-by-control case.</w:t>
      </w:r>
    </w:p>
    <w:p>
      <w:pPr>
        <w:pStyle w:val="BodyText"/>
      </w:pPr>
      <w:r>
        <w:rPr>
          <w:b/>
          <w:bCs/>
        </w:rPr>
        <w:t xml:space="preserve">The anti-pattern gets worse, not better, when detection is automated.</w:t>
      </w:r>
      <w:r>
        <w:t xml:space="preserve"> </w:t>
      </w:r>
      <w:r>
        <w:t xml:space="preserve">SailPoint flags an over-privileged entitlement, or a posture engine flags a drifted setting — and instead of opening the ServiceNow task this paper’s whole architecture depends on, the finding goes out as an email with a script attached, and a human runs it directly against the console. That path never touches ServiceNow at all: no owner, no clock, no approval trail, no re-test evidence — the exact console-only failure mode §10 describes, just reached by a different door. A notification email, if one exists, announces that work is needed; it is never the approval and never the record.</w:t>
      </w:r>
    </w:p>
    <w:p>
      <w:pPr>
        <w:pStyle w:val="BodyText"/>
      </w:pPr>
      <w:r>
        <w:rPr>
          <w:b/>
          <w:bCs/>
        </w:rPr>
        <w:t xml:space="preserve">Where no machine actuator exists yet, the fallback is a declared exception, not a silent one.</w:t>
      </w:r>
      <w:r>
        <w:t xml:space="preserve"> </w:t>
      </w:r>
      <w:r>
        <w:t xml:space="preserve">VMware/vCenter is the recurring case in this series: no confirmed orchestrator today runs a signed script against vCenter under a service identity. The compensating control is a CyberArk Privileged Session Manager (PSM) session — approved first in ServiceNow, then time-boxed, proxied, and recorded — with the recording itself as the evidence artifact. That closure is booked honestly as a</w:t>
      </w:r>
      <w:r>
        <w:t xml:space="preserve"> </w:t>
      </w:r>
      <w:r>
        <w:rPr>
          <w:b/>
          <w:bCs/>
        </w:rPr>
        <w:t xml:space="preserve">documented-process</w:t>
      </w:r>
      <w:r>
        <w:t xml:space="preserve"> </w:t>
      </w:r>
      <w:r>
        <w:t xml:space="preserve">closure, not represented as automated validation it cannot provide.</w:t>
      </w:r>
    </w:p>
    <w:p>
      <w:pPr>
        <w:pStyle w:val="BodyText"/>
      </w:pPr>
      <w:r>
        <w:rPr>
          <w:b/>
          <w:bCs/>
        </w:rPr>
        <w:t xml:space="preserve">A working reference implementation exists for this pattern — it is not only a design recommendation — with one leg still catching up to its own design intent.</w:t>
      </w:r>
      <w:r>
        <w:t xml:space="preserve"> </w:t>
      </w:r>
      <w:r>
        <w:t xml:space="preserve">The OrgComp Day-2 Automation Kit (</w:t>
      </w:r>
      <w:r>
        <w:rPr>
          <w:rStyle w:val="VerbatimChar"/>
        </w:rPr>
        <w:t xml:space="preserve">docs/customer-documents/orgcomp-series/servicenow-day2/</w:t>
      </w:r>
      <w:r>
        <w:t xml:space="preserve">), a deployable ServiceNow scoped application rather than a design document, is designed to implement ticket-to-machine actuation for the AD/Entra joiner-mover-leaver and credential-lifecycle surface — and does so on the cloud-only Graph leg. The AD leg carries the identical design intent but not yet the identical guarantees; see the callout immediately below.</w:t>
      </w:r>
      <w:r>
        <w:t xml:space="preserve"> </w:t>
      </w:r>
      <w:r>
        <w:rPr>
          <w:rStyle w:val="VerbatimChar"/>
        </w:rPr>
        <w:t xml:space="preserve">AdHybridClient.js</w:t>
      </w:r>
      <w:r>
        <w:t xml:space="preserve"> </w:t>
      </w:r>
      <w:r>
        <w:t xml:space="preserve">is intended to dispatch every synced-object AD write (</w:t>
      </w:r>
      <w:r>
        <w:rPr>
          <w:rStyle w:val="VerbatimChar"/>
        </w:rPr>
        <w:t xml:space="preserve">New-ADUser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Disable-ADAccount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Set-ADAccountPassword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Add-ADGroupMember</w:t>
      </w:r>
      <w:r>
        <w:t xml:space="preserve">) through a domain-joined, in-boundary MID Server under a delegated, least-privilege service account —</w:t>
      </w:r>
      <w:r>
        <w:t xml:space="preserve"> </w:t>
      </w:r>
      <w:r>
        <w:rPr>
          <w:i/>
          <w:iCs/>
        </w:rPr>
        <w:t xml:space="preserve">“NEVER Domain Admin,”</w:t>
      </w:r>
      <w:r>
        <w:t xml:space="preserve"> </w:t>
      </w:r>
      <w:r>
        <w:t xml:space="preserve">per the script’s own header — never through an operator’s interactive session; that delegation claim is asserted in comments and has not itself been verified (an effective-permissions dump is still an open item). The kit’s ServiceNow-side actuator states the same doctrine in its own words, written independently of this paper:</w:t>
      </w:r>
      <w:r>
        <w:t xml:space="preserve"> </w:t>
      </w:r>
      <w:r>
        <w:rPr>
          <w:i/>
          <w:iCs/>
        </w:rPr>
        <w:t xml:space="preserve">“ServiceNow raises, routes and evidences; it NEVER writes to the estate”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Day2NativeActuator.js</w:t>
      </w:r>
      <w:r>
        <w:t xml:space="preserve">) — a statement scoped to that script include specifically (it writes only ServiceNow’s own workflow records); the Graph and AD clients in the same app, including</w:t>
      </w:r>
      <w:r>
        <w:t xml:space="preserve"> </w:t>
      </w:r>
      <w:r>
        <w:rPr>
          <w:rStyle w:val="VerbatimChar"/>
        </w:rPr>
        <w:t xml:space="preserve">AdHybridClient</w:t>
      </w:r>
      <w:r>
        <w:t xml:space="preserve"> </w:t>
      </w:r>
      <w:r>
        <w:t xml:space="preserve">above, are the ones that actuate the tenant, always under a delegated service identity, never as</w:t>
      </w:r>
      <w:r>
        <w:t xml:space="preserve"> </w:t>
      </w:r>
      <w:r>
        <w:t xml:space="preserve">“ServiceNow”</w:t>
      </w:r>
      <w:r>
        <w:t xml:space="preserve"> </w:t>
      </w:r>
      <w:r>
        <w:t xml:space="preserve">acting with standing tenant access. The admin-initiated password-reset path is explicitly commented as</w:t>
      </w:r>
      <w:r>
        <w:t xml:space="preserve"> </w:t>
      </w:r>
      <w:r>
        <w:rPr>
          <w:i/>
          <w:iCs/>
        </w:rPr>
        <w:t xml:space="preserve">“the approver-gated fallback”</w:t>
      </w:r>
      <w:r>
        <w:t xml:space="preserve"> </w:t>
      </w:r>
      <w:r>
        <w:t xml:space="preserve">behind self-service reset, and the daily morning sync-health check — RDP-to-the-sync-host in the series’ own documented</w:t>
      </w:r>
      <w:r>
        <w:t xml:space="preserve"> </w:t>
      </w:r>
      <w:r>
        <w:t xml:space="preserve">“as-found”</w:t>
      </w:r>
      <w:r>
        <w:t xml:space="preserve"> </w:t>
      </w:r>
      <w:r>
        <w:t xml:space="preserve">anti-pattern (</w:t>
      </w:r>
      <w:r>
        <w:rPr>
          <w:rStyle w:val="VerbatimChar"/>
        </w:rPr>
        <w:t xml:space="preserve">OrgComp_Operator_Runbook_Day2_Compliant.qmd</w:t>
      </w:r>
      <w:r>
        <w:t xml:space="preserve">, Task 6) — is already closed in this kit as a read-only automated reconciliation job.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26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caution.png" id="27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5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Verified, then remediated — the AD leg’s P0s are closed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external adversarial security review (2026-07-29) read the same two files this assessment sampled —</w:t>
            </w:r>
            <w:r>
              <w:t xml:space="preserve"> </w:t>
            </w:r>
            <w:r>
              <w:rPr>
                <w:rStyle w:val="VerbatimChar"/>
              </w:rPr>
              <w:t xml:space="preserve">AdHybridClient.js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Day2NativeActuator.js</w:t>
            </w:r>
            <w:r>
              <w:t xml:space="preserve"> </w:t>
            </w:r>
            <w:r>
              <w:t xml:space="preserve">— plus the orchestrator, the gate, and the SAM inbound endpoint, and found the AD leg unsafe to run against a live directory. Four findings, verified directly against the shipped code at the time: parameter</w:t>
            </w:r>
            <w:r>
              <w:t xml:space="preserve"> </w:t>
            </w:r>
            <w:r>
              <w:rPr>
                <w:i/>
                <w:iCs/>
              </w:rPr>
              <w:t xml:space="preserve">names</w:t>
            </w:r>
            <w:r>
              <w:t xml:space="preserve"> </w:t>
            </w:r>
            <w:r>
              <w:t xml:space="preserve">(not just values) reached a rendered PowerShell command unescaped, so a hostile attribute key could drive arbitrary cmdlet execution on the MID Server (</w:t>
            </w:r>
            <w:r>
              <w:rPr>
                <w:rStyle w:val="VerbatimChar"/>
              </w:rPr>
              <w:t xml:space="preserve">AdHybridClient.js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_render</w:t>
            </w:r>
            <w:r>
              <w:t xml:space="preserve">); a caller-supplied attribute bag could override the approved write target through merge precedence (</w:t>
            </w:r>
            <w:r>
              <w:rPr>
                <w:rStyle w:val="VerbatimChar"/>
              </w:rPr>
              <w:t xml:space="preserve">_merge</w:t>
            </w:r>
            <w:r>
              <w:t xml:space="preserve">); a temporary password transited the platform’s</w:t>
            </w:r>
            <w:r>
              <w:t xml:space="preserve"> </w:t>
            </w:r>
            <w:r>
              <w:rPr>
                <w:rStyle w:val="VerbatimChar"/>
              </w:rPr>
              <w:t xml:space="preserve">ecc_queue</w:t>
            </w:r>
            <w:r>
              <w:t xml:space="preserve"> </w:t>
            </w:r>
            <w:r>
              <w:t xml:space="preserve">table in cleartext (</w:t>
            </w:r>
            <w:r>
              <w:rPr>
                <w:rStyle w:val="VerbatimChar"/>
              </w:rPr>
              <w:t xml:space="preserve">setPasswordAd</w:t>
            </w:r>
            <w:r>
              <w:t xml:space="preserve">); and the AD leg had no post-state read-back at all — a write was recorded as closed the moment the asynchronous dispatch was</w:t>
            </w:r>
            <w:r>
              <w:t xml:space="preserve"> </w:t>
            </w:r>
            <w:r>
              <w:rPr>
                <w:i/>
                <w:iCs/>
              </w:rPr>
              <w:t xml:space="preserve">queued</w:t>
            </w:r>
            <w:r>
              <w:t xml:space="preserve">, never having observed AD. None of this was exercised by the kit’s own ATF suite:</w:t>
            </w:r>
            <w:r>
              <w:t xml:space="preserve"> </w:t>
            </w:r>
            <w:r>
              <w:rPr>
                <w:rStyle w:val="VerbatimChar"/>
              </w:rPr>
              <w:t xml:space="preserve">test_mode</w:t>
            </w:r>
            <w:r>
              <w:t xml:space="preserve"> </w:t>
            </w:r>
            <w:r>
              <w:t xml:space="preserve">short-circuited every method before the vulnerable code path ran, so all 12 specs passed while the injection path had never executed.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All four P0s are fixed, as of commit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7d2423c74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(2026-07-30) — the day after the review.</w:t>
            </w:r>
            <w:r>
              <w:t xml:space="preserve"> </w:t>
            </w:r>
            <w:r>
              <w:rPr>
                <w:rStyle w:val="VerbatimChar"/>
              </w:rPr>
              <w:t xml:space="preserve">_render()</w:t>
            </w:r>
            <w:r>
              <w:t xml:space="preserve">’s string interpolation is gone;</w:t>
            </w:r>
            <w:r>
              <w:t xml:space="preserve"> </w:t>
            </w:r>
            <w:r>
              <w:rPr>
                <w:rStyle w:val="VerbatimChar"/>
              </w:rPr>
              <w:t xml:space="preserve">_dispatch()</w:t>
            </w:r>
            <w:r>
              <w:t xml:space="preserve"> </w:t>
            </w:r>
            <w:r>
              <w:t xml:space="preserve">now emits a structured JSON payload the MID Server binds via splatting, so nothing caller-supplied is ever concatenated into executable text (P0-1). Reserved parameters are rejected outright rather than merged from caller input (P0-2).</w:t>
            </w:r>
            <w:r>
              <w:t xml:space="preserve"> </w:t>
            </w:r>
            <w:r>
              <w:rPr>
                <w:rStyle w:val="VerbatimChar"/>
              </w:rPr>
              <w:t xml:space="preserve">setPasswordAd()</w:t>
            </w:r>
            <w:r>
              <w:t xml:space="preserve"> </w:t>
            </w:r>
            <w:r>
              <w:t xml:space="preserve">no longer accepts or transports a password at all — the MID Server generates it and</w:t>
            </w:r>
            <w:r>
              <w:t xml:space="preserve"> </w:t>
            </w:r>
            <w:r>
              <w:rPr>
                <w:rStyle w:val="VerbatimChar"/>
              </w:rPr>
              <w:t xml:space="preserve">ecc_queue</w:t>
            </w:r>
            <w:r>
              <w:t xml:space="preserve"> </w:t>
            </w:r>
            <w:r>
              <w:t xml:space="preserve">never holds secret material (P0-3). Read-back methods (</w:t>
            </w:r>
            <w:r>
              <w:rPr>
                <w:rStyle w:val="VerbatimChar"/>
              </w:rPr>
              <w:t xml:space="preserve">getUserAd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getGroupMembersAd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isGroupMemberAd</w:t>
            </w:r>
            <w:r>
              <w:t xml:space="preserve">) now exist, and a write returns</w:t>
            </w:r>
            <w:r>
              <w:t xml:space="preserve"> </w:t>
            </w:r>
            <w:r>
              <w:rPr>
                <w:rStyle w:val="VerbatimChar"/>
              </w:rPr>
              <w:t xml:space="preserve">{ok, dispatched, ecc_sys_id}</w:t>
            </w:r>
            <w:r>
              <w:t xml:space="preserve"> </w:t>
            </w:r>
            <w:r>
              <w:t xml:space="preserve">without ever asserting post-state (P0-4).</w:t>
            </w:r>
            <w:r>
              <w:t xml:space="preserve"> </w:t>
            </w:r>
            <w:r>
              <w:rPr>
                <w:rStyle w:val="VerbatimChar"/>
              </w:rPr>
              <w:t xml:space="preserve">test_mode</w:t>
            </w:r>
            <w:r>
              <w:t xml:space="preserve"> </w:t>
            </w:r>
            <w:r>
              <w:t xml:space="preserve">now refuses outright on a production instance rather than silently short-circuiting the vulnerable path (P0-5) — the gap that let the injection path go unexercised is itself closed, and a dedicated negative test (</w:t>
            </w:r>
            <w:r>
              <w:rPr>
                <w:rStyle w:val="VerbatimChar"/>
              </w:rPr>
              <w:t xml:space="preserve">atf-negative-ad-parameter-injection.xml</w:t>
            </w:r>
            <w:r>
              <w:t xml:space="preserve">,</w:t>
            </w:r>
            <w:r>
              <w:t xml:space="preserve"> </w:t>
            </w:r>
            <w:r>
              <w:t xml:space="preserve">“hostile AD parameter names and reserved keys are refused”</w:t>
            </w:r>
            <w:r>
              <w:t xml:space="preserve">) now exercises exactly the path the original review found untested.</w:t>
            </w:r>
            <w:r>
              <w:t xml:space="preserve"> </w:t>
            </w:r>
            <w:r>
              <w:rPr>
                <w:b/>
                <w:bCs/>
              </w:rPr>
              <w:t xml:space="preserve">The AD leg is safe to run against a live directory on this basis;</w:t>
            </w:r>
            <w:r>
              <w:rPr>
                <w:b/>
                <w:bCs/>
              </w:rPr>
              <w:t xml:space="preserve"> </w:t>
            </w:r>
            <w:hyperlink r:id="rId28">
              <w:r>
                <w:rPr>
                  <w:rStyle w:val="Hyperlink"/>
                  <w:b/>
                  <w:bCs/>
                </w:rPr>
                <w:t xml:space="preserve">Appendix A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describes the current, remediated code, not the reviewed snapshot.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What is still open, honestly:</w:t>
            </w:r>
            <w:r>
              <w:t xml:space="preserve"> </w:t>
            </w:r>
            <w:r>
              <w:t xml:space="preserve">the header’s own</w:t>
            </w:r>
            <w:r>
              <w:t xml:space="preserve"> </w:t>
            </w:r>
            <w:r>
              <w:t xml:space="preserve">“NEVER Domain Admin”</w:t>
            </w:r>
            <w:r>
              <w:t xml:space="preserve"> </w:t>
            </w:r>
            <w:r>
              <w:t xml:space="preserve">delegation claim is asserted in comments and has not itself been independently verified — an effective-permissions dump against the service account remains an open item, unchanged by this remediation. The kit is AD/Entra-scoped and does not touch vCenter, so it also does not exercise this section’s own PSM exception path above; that path remains a documented recommendation without a sampled reference implementation as of this writing.</w:t>
            </w:r>
          </w:p>
          <w:p/>
        </w:tc>
      </w:tr>
    </w:tbl>
    <w:bookmarkEnd w:id="29"/>
    <w:bookmarkStart w:id="41" w:name="X8915a3fe67ec2b1e0365987cb7f10b2931983d6"/>
    <w:p>
      <w:pPr>
        <w:pStyle w:val="Heading2"/>
      </w:pPr>
      <w:r>
        <w:t xml:space="preserve">5. Closure Necessity — the Argument, in the Vendors’ Own Terms</w:t>
      </w:r>
    </w:p>
    <w:p>
      <w:pPr>
        <w:pStyle w:val="FirstParagraph"/>
      </w:pPr>
      <w:r>
        <w:t xml:space="preserve">Each platform book states the same finding, in the same words, changing only the vendor name. Quoting all three side by side makes the structural (not vendor-specific) nature of the claim concrete: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31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tip.png" id="3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0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Azure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“Azure Policy remediates, Defender recommends, Update Manager patches — the native stack is genuinely sufficient to</w:t>
            </w:r>
            <w:r>
              <w:t xml:space="preserve"> </w:t>
            </w:r>
            <w:r>
              <w:rPr>
                <w:i/>
                <w:iCs/>
              </w:rPr>
              <w:t xml:space="preserve">change state</w:t>
            </w:r>
            <w:r>
              <w:t xml:space="preserve">. What it does not supply is the governance wrapper: who owns this finding, by when, under whose approval, with what evidence. Strip the coordination layer and Azure’s own consoles show green while the authorization package has no owned-and-evidenced record an assessor can trace.”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Vol VII Book 03</w:t>
              </w:r>
            </w:hyperlink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34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tip.png" id="3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0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AWS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“AWS Config remediates, Security Hub CSPM surfaces, Patch Manager patches — the native stack is genuinely sufficient to</w:t>
            </w:r>
            <w:r>
              <w:t xml:space="preserve"> </w:t>
            </w:r>
            <w:r>
              <w:rPr>
                <w:i/>
                <w:iCs/>
              </w:rPr>
              <w:t xml:space="preserve">change state</w:t>
            </w:r>
            <w:r>
              <w:t xml:space="preserve">. What it does not supply is the governance wrapper… Strip the coordination layer and AWS’s own consoles show green while the authorization package has no owned-and-evidenced record an assessor can trace.”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Vol VII Book 06</w:t>
              </w:r>
            </w:hyperlink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37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tip.png" id="3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0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VMware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“vSphere Configuration Profiles remediates, VCF Operations and NSX DFW surface, vLCM patches — the native stack is genuinely sufficient to</w:t>
            </w:r>
            <w:r>
              <w:t xml:space="preserve"> </w:t>
            </w:r>
            <w:r>
              <w:rPr>
                <w:i/>
                <w:iCs/>
              </w:rPr>
              <w:t xml:space="preserve">change state</w:t>
            </w:r>
            <w:r>
              <w:t xml:space="preserve">, on the agency’s own hardware exactly as it is on a hyperscaler’s. What it does not supply is the governance wrapper… Strip the coordination layer and vCenter’s own console shows green while the authorization package has no owned-and-evidenced record an assessor can trace.”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Vol VII Book 07</w:t>
              </w:r>
            </w:hyperlink>
          </w:p>
          <w:p/>
        </w:tc>
      </w:tr>
    </w:tbl>
    <w:p>
      <w:pPr>
        <w:pStyle w:val="BodyText"/>
      </w:pPr>
      <w:r>
        <w:t xml:space="preserve">In each case:</w:t>
      </w:r>
      <w:r>
        <w:t xml:space="preserve"> </w:t>
      </w:r>
      <w:r>
        <w:rPr>
          <w:b/>
          <w:bCs/>
        </w:rPr>
        <w:t xml:space="preserve">CM-6, SI-2, and RA-5 are closed by the platform; they are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operated</w:t>
      </w:r>
      <w:r>
        <w:rPr>
          <w:b/>
          <w:bCs/>
        </w:rPr>
        <w:t xml:space="preserve"> </w:t>
      </w:r>
      <w:r>
        <w:rPr>
          <w:b/>
          <w:bCs/>
        </w:rPr>
        <w:t xml:space="preserve">— owned, clocked, evidenced — by the coordination layer.</w:t>
      </w:r>
    </w:p>
    <w:bookmarkStart w:id="40" w:name="X009379b09e3e80d84fffbc1ba873f0b439255d2"/>
    <w:p>
      <w:pPr>
        <w:pStyle w:val="Heading3"/>
      </w:pPr>
      <w:r>
        <w:t xml:space="preserve">5.1 The Argument, Made Concrete — the Day-2 Kit as a Working Reference Implementation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ServiceNow Day-2 Automation Kit</w:t>
      </w:r>
      <w:r>
        <w:t xml:space="preserve"> </w:t>
      </w:r>
      <w:r>
        <w:t xml:space="preserve">(Volume IX of this series) is buildable ServiceNow source — Script Includes, ATF test specs, build-time gates — implementing this paper’s same five-step Closure Necessity loop for a different control family: AC-2/AC-3/AC-6 identity lifecycle, rather than CM-6/RA-5/SI-2 configuration drift. Its</w:t>
      </w:r>
      <w:r>
        <w:t xml:space="preserve"> </w:t>
      </w:r>
      <w:r>
        <w:rPr>
          <w:rStyle w:val="VerbatimChar"/>
        </w:rPr>
        <w:t xml:space="preserve">MacdrOrchestrator.js</w:t>
      </w:r>
      <w:r>
        <w:t xml:space="preserve"> </w:t>
      </w:r>
      <w:r>
        <w:t xml:space="preserve">Script Include runs every governed identity request through five ordered MACD-R clauses; all five are now enforced, including clause 1 (Origin) —</w:t>
      </w:r>
      <w:r>
        <w:t xml:space="preserve"> </w:t>
      </w:r>
      <w:r>
        <w:rPr>
          <w:rStyle w:val="VerbatimChar"/>
        </w:rPr>
        <w:t xml:space="preserve">_clauseOrigin()</w:t>
      </w:r>
      <w:r>
        <w:t xml:space="preserve"> </w:t>
      </w:r>
      <w:r>
        <w:t xml:space="preserve">resolves the origin record and refuses when it cannot, closing the gap an external adversarial security review (2026-07-29, disclosed above in §4) found and that a dedicated negative test (</w:t>
      </w:r>
      <w:r>
        <w:rPr>
          <w:rStyle w:val="VerbatimChar"/>
        </w:rPr>
        <w:t xml:space="preserve">atf-negative-no-origin.xml</w:t>
      </w:r>
      <w:r>
        <w:t xml:space="preserve">) now exercises. The Graph/cloud leg re-reads post-state before closing a task; the AD leg now does too, per §4’s remediation record.</w:t>
      </w:r>
    </w:p>
    <w:p>
      <w:pPr>
        <w:pStyle w:val="BodyText"/>
      </w:pPr>
      <w:r>
        <w:t xml:space="preserve">The full code walkthrough — the clause-by-clause table, the ATF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gap that leaves the AD leg’s vulnerable code path unexercised, and the build-time gates — is reproduced in</w:t>
      </w:r>
      <w:r>
        <w:t xml:space="preserve"> </w:t>
      </w:r>
      <w:hyperlink r:id="rId28">
        <w:r>
          <w:rPr>
            <w:rStyle w:val="Hyperlink"/>
            <w:b/>
            <w:bCs/>
          </w:rPr>
          <w:t xml:space="preserve">Appendix A — Day-2 Kit Code Review</w:t>
        </w:r>
      </w:hyperlink>
      <w:r>
        <w:t xml:space="preserve">, including the same disclosed security findings §4 states above. Read against</w:t>
      </w:r>
      <w:r>
        <w:t xml:space="preserve"> </w:t>
      </w:r>
      <w:hyperlink r:id="rId39">
        <w:r>
          <w:rPr>
            <w:rStyle w:val="Hyperlink"/>
          </w:rPr>
          <w:t xml:space="preserve">Appendix B</w:t>
        </w:r>
      </w:hyperlink>
      <w:r>
        <w:t xml:space="preserve">’s extension into access governance, the kit is where that domain’s coordination loop is not only argued but actually implemented and testable end to end.</w:t>
      </w:r>
    </w:p>
    <w:bookmarkEnd w:id="40"/>
    <w:bookmarkEnd w:id="41"/>
    <w:bookmarkStart w:id="47" w:name="the-rollup-every-platform-same-verdict"/>
    <w:p>
      <w:pPr>
        <w:pStyle w:val="Heading2"/>
      </w:pPr>
      <w:r>
        <w:t xml:space="preserve">6. The Rollup — Every Platform, Same Verdict</w:t>
      </w:r>
    </w:p>
    <w:p>
      <w:pPr>
        <w:pStyle w:val="FirstParagraph"/>
      </w:pPr>
      <w:r>
        <w:t xml:space="preserve">The table below consolidates the</w:t>
      </w:r>
      <w:r>
        <w:t xml:space="preserve"> </w:t>
      </w:r>
      <w:r>
        <w:rPr>
          <w:rStyle w:val="VerbatimChar"/>
        </w:rPr>
        <w:t xml:space="preserve">Tool-attestable?</w:t>
      </w:r>
      <w:r>
        <w:t xml:space="preserve"> </w:t>
      </w:r>
      <w:r>
        <w:t xml:space="preserve">column verbatim from each book’s generated</w:t>
      </w:r>
      <w:r>
        <w:t xml:space="preserve"> </w:t>
      </w:r>
      <w:r>
        <w:t xml:space="preserve">“Authorities Closed Here”</w:t>
      </w:r>
      <w:r>
        <w:t xml:space="preserve"> </w:t>
      </w:r>
      <w:r>
        <w:t xml:space="preserve">table (source:</w:t>
      </w:r>
      <w:r>
        <w:t xml:space="preserve"> </w:t>
      </w:r>
      <w:r>
        <w:rPr>
          <w:rStyle w:val="VerbatimChar"/>
        </w:rPr>
        <w:t xml:space="preserve">orgcomp-compliance-spine.yml</w:t>
      </w:r>
      <w:r>
        <w:t xml:space="preserve">), plus the attestation-stage controls from Book 04. Every row reads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 not because the tooling is immature, but because</w:t>
      </w:r>
      <w:r>
        <w:t xml:space="preserve"> </w:t>
      </w:r>
      <w:r>
        <w:t xml:space="preserve">“tool-attestable”</w:t>
      </w:r>
      <w:r>
        <w:t xml:space="preserve"> </w:t>
      </w:r>
      <w:r>
        <w:t xml:space="preserve">and</w:t>
      </w:r>
      <w:r>
        <w:t xml:space="preserve"> </w:t>
      </w:r>
      <w:r>
        <w:t xml:space="preserve">“evidence the platform console alone can produce”</w:t>
      </w:r>
      <w:r>
        <w:t xml:space="preserve"> </w:t>
      </w:r>
      <w:r>
        <w:t xml:space="preserve">are the same test, applied consistently.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Platforms it recurs across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CM-2 / CM-6</w:t>
            </w:r>
          </w:p>
        </w:tc>
        <w:tc>
          <w:tcPr/>
          <w:p>
            <w:pPr>
              <w:pStyle w:val="Compact"/>
            </w:pPr>
            <w:r>
              <w:t xml:space="preserve">Baseline Configuration / Configuration Settings</w:t>
            </w:r>
          </w:p>
        </w:tc>
        <w:tc>
          <w:tcPr/>
          <w:p>
            <w:pPr>
              <w:pStyle w:val="Compact"/>
            </w:pPr>
            <w:r>
              <w:t xml:space="preserve">M365, Azure, AWS, VMware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RA-5</w:t>
            </w:r>
          </w:p>
        </w:tc>
        <w:tc>
          <w:tcPr/>
          <w:p>
            <w:pPr>
              <w:pStyle w:val="Compact"/>
            </w:pPr>
            <w:r>
              <w:t xml:space="preserve">Vulnerability Monitoring and Scanning</w:t>
            </w:r>
          </w:p>
        </w:tc>
        <w:tc>
          <w:tcPr/>
          <w:p>
            <w:pPr>
              <w:pStyle w:val="Compact"/>
            </w:pPr>
            <w:r>
              <w:t xml:space="preserve">Azure, AWS, VMware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SI-2</w:t>
            </w:r>
          </w:p>
        </w:tc>
        <w:tc>
          <w:tcPr/>
          <w:p>
            <w:pPr>
              <w:pStyle w:val="Compact"/>
            </w:pPr>
            <w:r>
              <w:t xml:space="preserve">Flaw Remediation</w:t>
            </w:r>
          </w:p>
        </w:tc>
        <w:tc>
          <w:tcPr/>
          <w:p>
            <w:pPr>
              <w:pStyle w:val="Compact"/>
            </w:pPr>
            <w:r>
              <w:t xml:space="preserve">Azure, AWS, VMware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CA-2</w:t>
            </w:r>
          </w:p>
        </w:tc>
        <w:tc>
          <w:tcPr/>
          <w:p>
            <w:pPr>
              <w:pStyle w:val="Compact"/>
            </w:pPr>
            <w:r>
              <w:t xml:space="preserve">Control Assessments</w:t>
            </w:r>
          </w:p>
        </w:tc>
        <w:tc>
          <w:tcPr/>
          <w:p>
            <w:pPr>
              <w:pStyle w:val="Compact"/>
            </w:pPr>
            <w:r>
              <w:t xml:space="preserve">Attestation layer (Book 04), fed by all four platforms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CA-5</w:t>
            </w:r>
          </w:p>
        </w:tc>
        <w:tc>
          <w:tcPr/>
          <w:p>
            <w:pPr>
              <w:pStyle w:val="Compact"/>
            </w:pPr>
            <w:r>
              <w:t xml:space="preserve">Plan of Action and Milestones</w:t>
            </w:r>
          </w:p>
        </w:tc>
        <w:tc>
          <w:tcPr/>
          <w:p>
            <w:pPr>
              <w:pStyle w:val="Compact"/>
            </w:pPr>
            <w:r>
              <w:t xml:space="preserve">Attestation layer (Book 04)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CA-7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t xml:space="preserve">Attestation layer (Book 04)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orgcomp-rollup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43" name="Picture"/>
                  <ns2:graphic>
                    <ns2:graphicData uri="http://schemas.openxmlformats.org/drawingml/2006/picture">
                      <ns3:pic>
                        <ns3:nvPicPr>
                          <ns3:cNvPr descr="images/orgcomp-vs-native-cloud-consoles-diagram-02-platform-rollup.png" id="4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4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Four platforms, one verdict — every native engine actuates, every control still reads Tool-attestable: No</w:t>
            </w:r>
          </w:p>
          <w:bookmarkEnd w:id="45"/>
        </w:tc>
      </w:tr>
    </w:tbl>
    <w:p>
      <w:pPr>
        <w:pStyle w:val="BodyText"/>
      </w:pPr>
      <w:r>
        <w:t xml:space="preserve">Four different vendors, four different native stacks, one identical column of verdicts. That consistency demonstrates the corpus doesn’t contradict itself across four platform books — a single-source-of-truth check, not four independent confirmations of the underlying structural claim. §11’s external validation — now</w:t>
      </w:r>
      <w:r>
        <w:t xml:space="preserve"> </w:t>
      </w:r>
      <w:hyperlink r:id="rId46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— is the actual independent corroboration for that claim.</w:t>
      </w:r>
    </w:p>
    <w:bookmarkEnd w:id="47"/>
    <w:bookmarkStart w:id="58" w:name="X2600c32997f2290f0c4a68b8c3546dcf5efa467"/>
    <w:p>
      <w:pPr>
        <w:pStyle w:val="Heading2"/>
      </w:pPr>
      <w:r>
        <w:t xml:space="preserve">7. The Front Door: What ServiceNow Actually Supplies</w:t>
      </w:r>
    </w:p>
    <w:p>
      <w:pPr>
        <w:pStyle w:val="FirstParagraph"/>
      </w:pPr>
      <w:r>
        <w:t xml:space="preserve">Books 02, 03, 06, and 07 all reconcile into the identical ServiceNow-side pattern, deployable today as the scoped app</w:t>
      </w:r>
      <w:r>
        <w:t xml:space="preserve"> </w:t>
      </w:r>
      <w:r>
        <w:rPr>
          <w:rStyle w:val="VerbatimChar"/>
        </w:rPr>
        <w:t xml:space="preserve">x_fed_compliance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Vol VII Book 05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ComplianceIngest</w:t>
      </w:r>
      <w:r>
        <w:t xml:space="preserve"> </w:t>
      </w:r>
      <w:r>
        <w:t xml:space="preserve">reads each platform’s native control state (Graph/SCuBA/Purview for M365; Resource Graph/Defender/Update Manager for Azure; Config/Security Hub/Patch Manager for AWS; equivalent VMware APIs) through an in-boundary MID Server — read-only against the ATO boundary.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ComplianceReconcile</w:t>
      </w:r>
      <w:r>
        <w:t xml:space="preserve"> </w:t>
      </w:r>
      <w:r>
        <w:t xml:space="preserve">matches every finding to the authoritative CMDB CI before a task is raised, so nothing routes to an orphaned or unowned asset.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ComplianceGate</w:t>
      </w:r>
      <w:r>
        <w:t xml:space="preserve"> </w:t>
      </w:r>
      <w:r>
        <w:t xml:space="preserve">re-reads the native surface after actuation and stamps the re-test evidence on the task — the mechanism that makes</w:t>
      </w:r>
      <w:r>
        <w:t xml:space="preserve"> </w:t>
      </w:r>
      <w:r>
        <w:t xml:space="preserve">“closed”</w:t>
      </w:r>
      <w:r>
        <w:t xml:space="preserve"> </w:t>
      </w:r>
      <w:r>
        <w:t xml:space="preserve">mean</w:t>
      </w:r>
      <w:r>
        <w:t xml:space="preserve"> </w:t>
      </w:r>
      <w:r>
        <w:t xml:space="preserve">“verified,”</w:t>
      </w:r>
      <w:r>
        <w:t xml:space="preserve"> </w:t>
      </w:r>
      <w:r>
        <w:t xml:space="preserve">not</w:t>
      </w:r>
      <w:r>
        <w:t xml:space="preserve"> </w:t>
      </w:r>
      <w:r>
        <w:t xml:space="preserve">“claimed.”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orgcomp-servicenow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50" name="Picture"/>
                  <ns2:graphic>
                    <ns2:graphicData uri="http://schemas.openxmlformats.org/drawingml/2006/picture">
                      <ns3:pic>
                        <ns3:nvPicPr>
                          <ns3:cNvPr descr="images/orgcomp-vs-native-cloud-consoles-diagram-03-servicenow-coordination.png" id="5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4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ServiceNow front door — Ingest, Reconcile, and Gate sit between the native platforms and the governed record; actuation never moves into ServiceNow</w:t>
            </w:r>
          </w:p>
          <w:bookmarkEnd w:id="52"/>
        </w:tc>
      </w:tr>
    </w:tbl>
    <w:p>
      <w:pPr>
        <w:pStyle w:val="BodyText"/>
      </w:pPr>
      <w:r>
        <w:t xml:space="preserve">Actuation never moves into ServiceNow. The native platform still remediates; ServiceNow’s entire job is the four things a console cannot do — assign an owner, attach a clock (the FedRAMP PAIN-rating SLA table, keyed to exploitability and internet-reachability, drives the SLA class), require an approval on anything that changes state or grants an exception, and capture the re-test as the evidence record.</w:t>
      </w:r>
    </w:p>
    <w:p>
      <w:pPr>
        <w:pStyle w:val="BodyText"/>
      </w:pPr>
      <w:r>
        <w:t xml:space="preserve">From there,</w:t>
      </w:r>
      <w:r>
        <w:t xml:space="preserve"> </w:t>
      </w:r>
      <w:hyperlink r:id="rId53">
        <w:r>
          <w:rPr>
            <w:rStyle w:val="Hyperlink"/>
          </w:rPr>
          <w:t xml:space="preserve">Vol VII Book 04</w:t>
        </w:r>
      </w:hyperlink>
      <w:r>
        <w:t xml:space="preserve"> </w:t>
      </w:r>
      <w:r>
        <w:t xml:space="preserve">lifts the closed task stream into an</w:t>
      </w:r>
      <w:r>
        <w:t xml:space="preserve"> </w:t>
      </w:r>
      <w:r>
        <w:rPr>
          <w:i/>
          <w:iCs/>
        </w:rPr>
        <w:t xml:space="preserve">assessed</w:t>
      </w:r>
      <w:r>
        <w:t xml:space="preserve"> </w:t>
      </w:r>
      <w:r>
        <w:t xml:space="preserve">control: a scheduled IRM/GRC control test reads the actioned posture and renders pass/fail/partial with evidence attached (CA-2); any fail becomes an owned POA&amp;M item (CA-5); the roll-up is emitted as OSCAL assessment-results and FedRAMP 20x KSI evidence (CA-7) into the authorization package.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orgcomp-attestation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55" name="Picture"/>
                  <ns2:graphic>
                    <ns2:graphicData uri="http://schemas.openxmlformats.org/drawingml/2006/picture">
                      <ns3:pic>
                        <ns3:nvPicPr>
                          <ns3:cNvPr descr="images/orgcomp-vs-native-cloud-consoles-diagram-04-attestation-pipeline.png" id="5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5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From task stream to assessed control — Map, Test, Gap to POA&amp;M, Emit — feeding the authorization package</w:t>
            </w:r>
          </w:p>
          <w:bookmarkEnd w:id="57"/>
        </w:tc>
      </w:tr>
    </w:tbl>
    <w:p>
      <w:pPr>
        <w:pStyle w:val="BodyText"/>
      </w:pPr>
      <w:r>
        <w:rPr>
          <w:b/>
          <w:bCs/>
        </w:rPr>
        <w:t xml:space="preserve">A closed remediation task is operational hygiene; an assessed control is what an authorizing official signs</w:t>
      </w:r>
      <w:r>
        <w:t xml:space="preserve"> </w:t>
      </w:r>
      <w:r>
        <w:t xml:space="preserve">— the distinction Book 04 exists to close.</w:t>
      </w:r>
    </w:p>
    <w:bookmarkEnd w:id="58"/>
    <w:bookmarkStart w:id="62" w:name="Xe3428e86157c2097b1e234df5468cbfa5ce0c8b"/>
    <w:p>
      <w:pPr>
        <w:pStyle w:val="Heading2"/>
      </w:pPr>
      <w:r>
        <w:t xml:space="preserve">8. The Adjacent Domain: Access Governance and SailPoint ISC Governance</w:t>
      </w:r>
    </w:p>
    <w:p>
      <w:pPr>
        <w:pStyle w:val="FirstParagraph"/>
      </w:pPr>
      <w:r>
        <w:t xml:space="preserve">Everything above concerns configuration, vulnerability, and patch controls (CM-6, RA-5, SI-2) — the domain the ServiceNow-fronting pattern is built and deployed for today. The same structural argument extends to a second domain,</w:t>
      </w:r>
      <w:r>
        <w:t xml:space="preserve"> </w:t>
      </w:r>
      <w:r>
        <w:rPr>
          <w:b/>
          <w:bCs/>
        </w:rPr>
        <w:t xml:space="preserve">access governance</w:t>
      </w:r>
      <w:r>
        <w:t xml:space="preserve"> </w:t>
      </w:r>
      <w:r>
        <w:t xml:space="preserve">(AC-2, AC-3, AC-6): a native IAM console can inspect and even remediate Azure RBAC or AWS IAM policy, but a role binding is not, by itself, a record of who requested it, who approved it, and when it was last reviewed.</w:t>
      </w:r>
      <w:r>
        <w:t xml:space="preserve"> </w:t>
      </w:r>
      <w:r>
        <w:rPr>
          <w:b/>
          <w:bCs/>
        </w:rPr>
        <w:t xml:space="preserve">SailPoint ISC Governance (the CIEM add-on)</w:t>
      </w:r>
      <w:r>
        <w:t xml:space="preserve"> </w:t>
      </w:r>
      <w:r>
        <w:t xml:space="preserve">supplies that detection function natively across Azure, AWS, and GCP;</w:t>
      </w:r>
      <w:r>
        <w:t xml:space="preserve"> </w:t>
      </w:r>
      <w:hyperlink r:id="rId59">
        <w:r>
          <w:rPr>
            <w:rStyle w:val="Hyperlink"/>
          </w:rPr>
          <w:t xml:space="preserve">ADR-135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Vol VII Book 08</w:t>
        </w:r>
      </w:hyperlink>
      <w:r>
        <w:t xml:space="preserve"> </w:t>
      </w:r>
      <w:r>
        <w:t xml:space="preserve">ratify this and close AC-2/AC-3/AC-6 using the same test → detect → raise → actuate-native → close-with-evidence loop as Books 03/06/07 — one front door, not a second SailPoint-fronted coordination layer. VMware/vCenter identity governance remains a genuinely open gap: no evidence was found that SailPoint’s CIEM add-on reaches vCenter permissions.</w:t>
      </w:r>
    </w:p>
    <w:p>
      <w:pPr>
        <w:pStyle w:val="BodyText"/>
      </w:pPr>
      <w:r>
        <w:rPr>
          <w:b/>
          <w:bCs/>
        </w:rPr>
        <w:t xml:space="preserve">Two SailPoint products, not one.</w:t>
      </w:r>
      <w:r>
        <w:t xml:space="preserve"> </w:t>
      </w:r>
      <w:r>
        <w:t xml:space="preserve">The agency also runs</w:t>
      </w:r>
      <w:r>
        <w:t xml:space="preserve"> </w:t>
      </w:r>
      <w:r>
        <w:rPr>
          <w:b/>
          <w:bCs/>
        </w:rPr>
        <w:t xml:space="preserve">SAM (Systems Access Management)</w:t>
      </w:r>
      <w:r>
        <w:t xml:space="preserve"> </w:t>
      </w:r>
      <w:r>
        <w:t xml:space="preserve">— its internal brand for a</w:t>
      </w:r>
      <w:r>
        <w:t xml:space="preserve"> </w:t>
      </w:r>
      <w:r>
        <w:rPr>
          <w:b/>
          <w:bCs/>
        </w:rPr>
        <w:t xml:space="preserve">SailPoint IdentityIQ</w:t>
      </w:r>
      <w:r>
        <w:t xml:space="preserve"> </w:t>
      </w:r>
      <w:r>
        <w:t xml:space="preserve">deployment, and the access-request and certification front end its users actually see. SAM is not ISC under another name, and the distinction is load-bearing: IdentityIQ is customer-hosted on agency infrastructure with a versioned on-premises integration surface (SCIM 2.0 plus a core REST API tied to the installed release), while ISC is SailPoint-hosted SaaS on a continuously-versioned cloud REST API. Canon holds them in separate slots for exactly that reason —</w:t>
      </w:r>
      <w:r>
        <w:t xml:space="preserve"> </w:t>
      </w:r>
      <w:r>
        <w:rPr>
          <w:rStyle w:val="VerbatimChar"/>
        </w:rPr>
        <w:t xml:space="preserve">sailpoint-isc-governance</w:t>
      </w:r>
      <w:r>
        <w:t xml:space="preserve"> </w:t>
      </w:r>
      <w:r>
        <w:t xml:space="preserve">per</w:t>
      </w:r>
      <w:r>
        <w:t xml:space="preserve"> </w:t>
      </w:r>
      <w:hyperlink r:id="rId59">
        <w:r>
          <w:rPr>
            <w:rStyle w:val="Hyperlink"/>
          </w:rPr>
          <w:t xml:space="preserve">ADR-135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sailpoint-iiq-governance</w:t>
      </w:r>
      <w:r>
        <w:t xml:space="preserve"> </w:t>
      </w:r>
      <w:r>
        <w:t xml:space="preserve">per</w:t>
      </w:r>
      <w:r>
        <w:t xml:space="preserve"> </w:t>
      </w:r>
      <w:hyperlink r:id="rId61">
        <w:r>
          <w:rPr>
            <w:rStyle w:val="Hyperlink"/>
          </w:rPr>
          <w:t xml:space="preserve">ADR-136</w:t>
        </w:r>
      </w:hyperlink>
      <w:r>
        <w:t xml:space="preserve"> </w:t>
      </w:r>
      <w:r>
        <w:t xml:space="preserve">— and the deployment model, not the vendor, sets the boundary cost: ISC had to buy its slot with a Commercial exception, whereas IdentityIQ needs none because it already sits inside the GCC-Moderate boundary. They also enter the front door from opposite directions. ISC pushes</w:t>
      </w:r>
      <w:r>
        <w:t xml:space="preserve"> </w:t>
      </w:r>
      <w:r>
        <w:rPr>
          <w:i/>
          <w:iCs/>
        </w:rPr>
        <w:t xml:space="preserve">detection findings</w:t>
      </w:r>
      <w:r>
        <w:t xml:space="preserve"> </w:t>
      </w:r>
      <w:r>
        <w:t xml:space="preserve">in, as one more engine alongside Security Hub and Defender; SAM pushes an</w:t>
      </w:r>
      <w:r>
        <w:t xml:space="preserve"> </w:t>
      </w:r>
      <w:r>
        <w:rPr>
          <w:i/>
          <w:iCs/>
        </w:rPr>
        <w:t xml:space="preserve">approved access request</w:t>
      </w:r>
      <w:r>
        <w:t xml:space="preserve"> </w:t>
      </w:r>
      <w:r>
        <w:t xml:space="preserve">in, correlated to a RITM, with closure written back. Two products, two directions, one front door — this paper’s claim survives the distinction, and collapsing them would bind SAM work to the wrong product, the wrong contract, and the wrong boundary value. The side-by-side comparison is in</w:t>
      </w:r>
      <w:r>
        <w:t xml:space="preserve"> </w:t>
      </w:r>
      <w:hyperlink r:id="rId39">
        <w:r>
          <w:rPr>
            <w:rStyle w:val="Hyperlink"/>
            <w:b/>
            <w:bCs/>
          </w:rPr>
          <w:t xml:space="preserve">Appendix B</w:t>
        </w:r>
      </w:hyperlink>
      <w:r>
        <w:t xml:space="preserve">.</w:t>
      </w:r>
    </w:p>
    <w:p>
      <w:pPr>
        <w:pStyle w:val="BodyText"/>
      </w:pPr>
      <w:r>
        <w:t xml:space="preserve">The full discussion — the ADR-135/Book 08 closure narrative and the honest VMware/vCenter limit — is reproduced in</w:t>
      </w:r>
      <w:r>
        <w:t xml:space="preserve"> </w:t>
      </w:r>
      <w:hyperlink r:id="rId39">
        <w:r>
          <w:rPr>
            <w:rStyle w:val="Hyperlink"/>
            <w:b/>
            <w:bCs/>
          </w:rPr>
          <w:t xml:space="preserve">Appendix B — Access Governance and SailPoint ISC</w:t>
        </w:r>
      </w:hyperlink>
      <w:r>
        <w:t xml:space="preserve">.</w:t>
      </w:r>
    </w:p>
    <w:bookmarkEnd w:id="62"/>
    <w:bookmarkStart w:id="65" w:name="X3816c415c41d416b729a2ca0be15c87d5961154"/>
    <w:p>
      <w:pPr>
        <w:pStyle w:val="Heading2"/>
      </w:pPr>
      <w:r>
        <w:t xml:space="preserve">9. The Certificates Exception — Why PKI Doesn’t Take the Same Path</w:t>
      </w:r>
    </w:p>
    <w:p>
      <w:pPr>
        <w:pStyle w:val="FirstParagraph"/>
      </w:pPr>
      <w:r>
        <w:t xml:space="preserve">Certificates are a large share of the actual operational work in this estate, which makes it tempting to assume they belong on the same ServiceNow-fronted path as everything else in this paper. They don’t — not for the routine lifecycle, and the reason is a deliberate, already-documented doctrine call, not an oversight.</w:t>
      </w:r>
      <w:r>
        <w:t xml:space="preserve"> </w:t>
      </w:r>
      <w:hyperlink r:id="rId63">
        <w:r>
          <w:rPr>
            <w:rStyle w:val="Hyperlink"/>
          </w:rPr>
          <w:t xml:space="preserve">Vol I Book 03</w:t>
        </w:r>
      </w:hyperlink>
      <w:r>
        <w:t xml:space="preserve"> </w:t>
      </w:r>
      <w:r>
        <w:t xml:space="preserve">closes IA-5(2)/SC-12/SC-17 with</w:t>
      </w:r>
      <w:r>
        <w:t xml:space="preserve"> </w:t>
      </w:r>
      <w:r>
        <w:rPr>
          <w:b/>
          <w:bCs/>
        </w:rPr>
        <w:t xml:space="preserve">protocol-enforced automation</w:t>
      </w:r>
      <w:r>
        <w:t xml:space="preserve"> </w:t>
      </w:r>
      <w:r>
        <w:t xml:space="preserve">instead — ACME/SCEP/EST issuance gates, CAA records, and short-lived certificates with non-renewal replacing revocation — because the volume (thousands of issuance/renewal events a week) rules out ticket-per-event without making the ServiceNow queue meaningless. Exceptions and anomalies — a new CA, a non-standard certificate lifetime, a trust-anchor change, or a drift finding from the certificate inventory — still route through the same front door as everything else in this paper; routine issuance within policy does not.</w:t>
      </w:r>
    </w:p>
    <w:p>
      <w:pPr>
        <w:pStyle w:val="BodyText"/>
      </w:pPr>
      <w:r>
        <w:t xml:space="preserve">The full derivation, the Book 03 doctrine quote, and the recommended tooling (CyberArk Certificate Manager vs. Keyfactor for Government CLAaaS) are reproduced in</w:t>
      </w:r>
      <w:r>
        <w:t xml:space="preserve"> </w:t>
      </w:r>
      <w:hyperlink r:id="rId64">
        <w:r>
          <w:rPr>
            <w:rStyle w:val="Hyperlink"/>
            <w:b/>
            <w:bCs/>
          </w:rPr>
          <w:t xml:space="preserve">Appendix C — The Certificates Exception</w:t>
        </w:r>
      </w:hyperlink>
      <w:r>
        <w:t xml:space="preserve">.</w:t>
      </w:r>
    </w:p>
    <w:bookmarkEnd w:id="65"/>
    <w:bookmarkStart w:id="70" w:name="what-just-use-the-console-actually-costs"/>
    <w:p>
      <w:pPr>
        <w:pStyle w:val="Heading2"/>
      </w:pPr>
      <w:r>
        <w:t xml:space="preserve">10. What</w:t>
      </w:r>
      <w:r>
        <w:t xml:space="preserve"> </w:t>
      </w:r>
      <w:r>
        <w:t xml:space="preserve">“Just Use the Console”</w:t>
      </w:r>
      <w:r>
        <w:t xml:space="preserve"> </w:t>
      </w:r>
      <w:r>
        <w:t xml:space="preserve">Actually Costs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orgcomp-cost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67" name="Picture"/>
                  <ns2:graphic>
                    <ns2:graphicData uri="http://schemas.openxmlformats.org/drawingml/2006/picture">
                      <ns3:pic>
                        <ns3:nvPicPr>
                          <ns3:cNvPr descr="images/orgcomp-vs-native-cloud-consoles-diagram-05-console-only-vs-coordinated.png" id="6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66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Same starting drift, two paths, two different assessor outcomes — only one produces a record an assessor can trace</w:t>
            </w:r>
          </w:p>
          <w:bookmarkEnd w:id="69"/>
        </w:tc>
      </w:tr>
    </w:tbl>
    <w:p>
      <w:pPr>
        <w:pStyle w:val="BodyText"/>
      </w:pPr>
      <w:r>
        <w:t xml:space="preserve">For a customer or assessor weighing whether to skip the coordination layer and rely on native tools alone: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finding is real, but the record is not.</w:t>
      </w:r>
      <w:r>
        <w:t xml:space="preserve"> </w:t>
      </w:r>
      <w:r>
        <w:t xml:space="preserve">Azure Policy, AWS Config, and vSphere Configuration Profiles will detect and often auto-remediate drift with no ServiceNow involvement at all. What disappears without the coordination layer is the</w:t>
      </w:r>
      <w:r>
        <w:t xml:space="preserve"> </w:t>
      </w:r>
      <w:r>
        <w:rPr>
          <w:i/>
          <w:iCs/>
        </w:rPr>
        <w:t xml:space="preserve">durable, owned, approved, evidenced</w:t>
      </w:r>
      <w:r>
        <w:t xml:space="preserve"> </w:t>
      </w:r>
      <w:r>
        <w:t xml:space="preserve">record of that event — the thing a 3PAO or an authorizing official is actually assessing.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“Automated”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mean</w:t>
      </w:r>
      <w:r>
        <w:rPr>
          <w:b/>
          <w:bCs/>
        </w:rPr>
        <w:t xml:space="preserve"> </w:t>
      </w:r>
      <w:r>
        <w:rPr>
          <w:b/>
          <w:bCs/>
        </w:rPr>
        <w:t xml:space="preserve">“unowned.”</w:t>
      </w:r>
      <w:r>
        <w:t xml:space="preserve"> </w:t>
      </w:r>
      <w:r>
        <w:t xml:space="preserve">Native auto-remediation (Azure’s</w:t>
      </w:r>
      <w:r>
        <w:t xml:space="preserve"> </w:t>
      </w:r>
      <w:r>
        <w:rPr>
          <w:rStyle w:val="VerbatimChar"/>
        </w:rPr>
        <w:t xml:space="preserve">deployIfNotExists</w:t>
      </w:r>
      <w:r>
        <w:t xml:space="preserve">, an AWS Config remediation action, a VMware Configuration Profiles remediation run) still requires a change record under CM-3 — automation changes who the</w:t>
      </w:r>
      <w:r>
        <w:t xml:space="preserve"> </w:t>
      </w:r>
      <w:r>
        <w:rPr>
          <w:i/>
          <w:iCs/>
        </w:rPr>
        <w:t xml:space="preserve">actuator</w:t>
      </w:r>
      <w:r>
        <w:t xml:space="preserve"> </w:t>
      </w:r>
      <w:r>
        <w:t xml:space="preserve">is, not whether change control applies.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SLA-by-exposure is a specific published table, not a vague policy.</w:t>
      </w:r>
      <w:r>
        <w:t xml:space="preserve"> </w:t>
      </w:r>
      <w:r>
        <w:t xml:space="preserve">FedRAMP’s Vulnerability Detection and Response ruleset (VDR-TFR-PVR) sets exact remediation timeframes by PAIN rating crossed with exploitability and reachability (4 to 192 days), plus KEV-catalog-driven due dates regardless of PAIN rating. A native console has no mechanism to enforce that clock against an owner; ServiceNow’s SLA-class task is where that enforcement actually lives.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coordination pattern, not one per cloud.</w:t>
      </w:r>
      <w:r>
        <w:t xml:space="preserve"> </w:t>
      </w:r>
      <w:r>
        <w:t xml:space="preserve">Because the loop is identical across M365, Azure, AWS, and VMware, an organization does not need a separate governance story per platform — the evidence and the assessor-facing narrative are uniform regardless of where a given workload runs.</w:t>
      </w:r>
    </w:p>
    <w:bookmarkEnd w:id="70"/>
    <w:bookmarkStart w:id="71" w:name="X6765a8918080629ae2e42b3a102772906cc83ef"/>
    <w:p>
      <w:pPr>
        <w:pStyle w:val="Heading2"/>
      </w:pPr>
      <w:r>
        <w:t xml:space="preserve">11. External Validation and Build-vs-Buy (2026-07-28)</w:t>
      </w:r>
    </w:p>
    <w:p>
      <w:pPr>
        <w:pStyle w:val="FirstParagraph"/>
      </w:pPr>
      <w:r>
        <w:t xml:space="preserve">This paper’s core claim — that a native console cannot be the evidence system of record — is not just an OrgComp position. Independent research outside this repo, done the same week this paper was drafted, backs it directly: the market agrees on the structural claim (Continuum GRC; Knox Systems, 2026), and the research updates two of the paper’s own assumptions — ServiceNow↔VMware integration is not greenfield (VMware Aria’s Management Pack, the VCF Automation ITSM plugin), and a commercial FedRAMP 20x KSI product, C1Secure SmartRAMP 20x, already competes with Book 05’s custom</w:t>
      </w:r>
      <w:r>
        <w:t xml:space="preserve"> </w:t>
      </w:r>
      <w:r>
        <w:rPr>
          <w:rStyle w:val="VerbatimChar"/>
        </w:rPr>
        <w:t xml:space="preserve">x_fed_compliance</w:t>
      </w:r>
      <w:r>
        <w:t xml:space="preserve"> </w:t>
      </w:r>
      <w:r>
        <w:t xml:space="preserve">app for the KSI-attestation slice. It also confirms §8’s SailPoint framing (findings route into ServiceNow, not around it) and surfaces the alternative architectures a critical reviewer will raise — Wiz’s native VMware CNAPP coverage, and the OSCAL-first Vanta/RegScale/Paramify bet that bypasses ServiceNow/SailPoint coordination altogether.</w:t>
      </w:r>
    </w:p>
    <w:p>
      <w:pPr>
        <w:pStyle w:val="BodyText"/>
      </w:pPr>
      <w:r>
        <w:t xml:space="preserve">The full vendor-by-vendor findings, the build-vs-buy analysis, and the sourcing are reproduced in</w:t>
      </w:r>
      <w:r>
        <w:t xml:space="preserve"> </w:t>
      </w:r>
      <w:hyperlink r:id="rId46">
        <w:r>
          <w:rPr>
            <w:rStyle w:val="Hyperlink"/>
            <w:b/>
            <w:bCs/>
          </w:rPr>
          <w:t xml:space="preserve">Appendix D — Vendor Landscape and Build-vs-Buy</w:t>
        </w:r>
      </w:hyperlink>
      <w:r>
        <w:t xml:space="preserve">, which also carries this paper’s Vendor Currency Doctrine caveat for the dated vendor claims (see the Provenance section below).</w:t>
      </w:r>
    </w:p>
    <w:bookmarkEnd w:id="71"/>
    <w:bookmarkStart w:id="72" w:name="honest-limits"/>
    <w:p>
      <w:pPr>
        <w:pStyle w:val="Heading2"/>
      </w:pPr>
      <w:r>
        <w:t xml:space="preserve">12. Honest Limits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§4’s</w:t>
      </w:r>
      <w:r>
        <w:rPr>
          <w:b/>
          <w:bCs/>
        </w:rPr>
        <w:t xml:space="preserve"> </w:t>
      </w:r>
      <w:r>
        <w:rPr>
          <w:b/>
          <w:bCs/>
        </w:rPr>
        <w:t xml:space="preserve">“machine, not human”</w:t>
      </w:r>
      <w:r>
        <w:rPr>
          <w:b/>
          <w:bCs/>
        </w:rPr>
        <w:t xml:space="preserve"> </w:t>
      </w:r>
      <w:r>
        <w:rPr>
          <w:b/>
          <w:bCs/>
        </w:rPr>
        <w:t xml:space="preserve">recommendation is a derived design principle, not a citable rule — see §4 itself for the honest framing.</w:t>
      </w:r>
      <w:r>
        <w:t xml:space="preserve"> </w:t>
      </w:r>
      <w:r>
        <w:t xml:space="preserve">No 800-53 control bars a human from executing an approved change, and FedRAMP’s own KSI-CMT-RMV is qualified</w:t>
      </w:r>
      <w:r>
        <w:t xml:space="preserve"> </w:t>
      </w:r>
      <w:r>
        <w:t xml:space="preserve">“wherever reasonable.”</w:t>
      </w:r>
      <w:r>
        <w:t xml:space="preserve"> </w:t>
      </w:r>
      <w:hyperlink r:id="rId24">
        <w:r>
          <w:rPr>
            <w:rStyle w:val="Hyperlink"/>
          </w:rPr>
          <w:t xml:space="preserve">Vol VII Book 07</w:t>
        </w:r>
      </w:hyperlink>
      <w:r>
        <w:t xml:space="preserve"> </w:t>
      </w:r>
      <w:r>
        <w:t xml:space="preserve">carries the full derivation, citations, and the vCenter/PSM exception path in detail; this paper states the conclusion in its main body rather than only here.</w:t>
      </w:r>
    </w:p>
    <w:p>
      <w:pPr>
        <w:pStyle w:val="Compact"/>
        <w:numPr>
          <w:ilvl w:val="0"/>
          <w:numId w:val="1004"/>
        </w:numPr>
      </w:pPr>
      <w:r>
        <w:t xml:space="preserve">This paper’s CM-6/RA-5/SI-2 argument is well-established across four platform books and their generated control-closure tables; the AC-2/AC-3/AC-6 extension (§8, full discussion in</w:t>
      </w:r>
      <w:r>
        <w:t xml:space="preserve"> </w:t>
      </w:r>
      <w:hyperlink r:id="rId39">
        <w:r>
          <w:rPr>
            <w:rStyle w:val="Hyperlink"/>
          </w:rPr>
          <w:t xml:space="preserve">Appendix B</w:t>
        </w:r>
      </w:hyperlink>
      <w:r>
        <w:t xml:space="preserve">) is now likewise a documented OrgComp closure (Vol VII Book 08, ADR-135) — but VMware/vCenter identity governance remains genuinely open within it, per §8’s caution.</w:t>
      </w:r>
    </w:p>
    <w:p>
      <w:pPr>
        <w:pStyle w:val="Compact"/>
        <w:numPr>
          <w:ilvl w:val="0"/>
          <w:numId w:val="1004"/>
        </w:numPr>
      </w:pPr>
      <w:r>
        <w:t xml:space="preserve">Native-tool assessment latency (Azure Policy/Defender, AWS Config/Security Hub, VMware Configuration Profiles/VCF Operations) means</w:t>
      </w:r>
      <w:r>
        <w:t xml:space="preserve"> </w:t>
      </w:r>
      <w:r>
        <w:t xml:space="preserve">“closed”</w:t>
      </w:r>
      <w:r>
        <w:t xml:space="preserve"> </w:t>
      </w:r>
      <w:r>
        <w:t xml:space="preserve">in ServiceNow can lag the native platform’s own evaluation cycle by one cycle; evidence timestamps record the cycle, not the instant.</w:t>
      </w:r>
    </w:p>
    <w:p>
      <w:pPr>
        <w:pStyle w:val="Compact"/>
        <w:numPr>
          <w:ilvl w:val="0"/>
          <w:numId w:val="1004"/>
        </w:numPr>
      </w:pPr>
      <w:r>
        <w:t xml:space="preserve">Two of the four cited platform books (AWS, VMware) are current-dated Draft Proposals, not yet reviewed or approved by agency leadership — this paper inherits that draft status and should be read accordingly.</w:t>
      </w:r>
    </w:p>
    <w:p>
      <w:pPr>
        <w:pStyle w:val="Compact"/>
        <w:numPr>
          <w:ilvl w:val="0"/>
          <w:numId w:val="1004"/>
        </w:numPr>
      </w:pPr>
      <w:r>
        <w:t xml:space="preserve">This paper does not evaluate whether ServiceNow’s own native product modules (Configuration Compliance, Vulnerability Response/USEM, GRC: Continuous Authorization and Monitoring) already ship equivalent coordination out of the box versus requiring the custom</w:t>
      </w:r>
      <w:r>
        <w:t xml:space="preserve"> </w:t>
      </w:r>
      <w:r>
        <w:rPr>
          <w:rStyle w:val="VerbatimChar"/>
        </w:rPr>
        <w:t xml:space="preserve">x_fed_compliance</w:t>
      </w:r>
      <w:r>
        <w:t xml:space="preserve"> </w:t>
      </w:r>
      <w:r>
        <w:t xml:space="preserve">app — that is a separate build-vs-buy question, orthogonal to this paper’s claim that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coordination layer, not the native console alone, is what produces the evidence.</w:t>
      </w:r>
    </w:p>
    <w:bookmarkEnd w:id="72"/>
    <w:bookmarkStart w:id="78" w:name="cross-references"/>
    <w:p>
      <w:pPr>
        <w:pStyle w:val="Heading2"/>
      </w:pPr>
      <w:r>
        <w:t xml:space="preserve">13. Cross-References</w:t>
      </w:r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</w:rPr>
          <w:t xml:space="preserve">Vol VII Book 02 — M365 Control Compliance Automation</w:t>
        </w:r>
      </w:hyperlink>
      <w:r>
        <w:t xml:space="preserve"> </w:t>
      </w:r>
      <w:r>
        <w:t xml:space="preserve">— the first platform book in the series; the loop this paper describes originates here.</w:t>
      </w:r>
    </w:p>
    <w:p>
      <w:pPr>
        <w:pStyle w:val="Compact"/>
        <w:numPr>
          <w:ilvl w:val="0"/>
          <w:numId w:val="1005"/>
        </w:numPr>
      </w:pPr>
      <w:hyperlink r:id="rId33">
        <w:r>
          <w:rPr>
            <w:rStyle w:val="Hyperlink"/>
          </w:rPr>
          <w:t xml:space="preserve">Vol VII Book 03 — Azure Control Compliance Automation</w:t>
        </w:r>
      </w:hyperlink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Vol VII Book 04 — Control Attestation, Evidence &amp; KSI</w:t>
        </w:r>
      </w:hyperlink>
      <w:r>
        <w:t xml:space="preserve"> </w:t>
      </w:r>
      <w:r>
        <w:t xml:space="preserve">— how a closed task becomes an assessed control.</w:t>
      </w:r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Vol VII Book 05 — The ServiceNow Compliance App</w:t>
        </w:r>
      </w:hyperlink>
      <w:r>
        <w:t xml:space="preserve"> </w:t>
      </w:r>
      <w:r>
        <w:t xml:space="preserve">— the deployable artifact implementing the coordination loop.</w:t>
      </w:r>
    </w:p>
    <w:p>
      <w:pPr>
        <w:pStyle w:val="Compact"/>
        <w:numPr>
          <w:ilvl w:val="0"/>
          <w:numId w:val="1005"/>
        </w:numPr>
      </w:pPr>
      <w:hyperlink r:id="rId73">
        <w:r>
          <w:rPr>
            <w:rStyle w:val="Hyperlink"/>
          </w:rPr>
          <w:t xml:space="preserve">Vol IX Book 00 — ServiceNow Day-2 Operations</w:t>
        </w:r>
      </w:hyperlink>
      <w:r>
        <w:t xml:space="preserve"> </w:t>
      </w:r>
      <w:r>
        <w:t xml:space="preserve">— §5.1’s working reference implementation of the loop for identity lifecycle (AC-2/AC-3/AC-6) rather than configuration drift; full code review in</w:t>
      </w:r>
      <w:r>
        <w:t xml:space="preserve"> </w:t>
      </w:r>
      <w:hyperlink r:id="rId28">
        <w:r>
          <w:rPr>
            <w:rStyle w:val="Hyperlink"/>
          </w:rPr>
          <w:t xml:space="preserve">Appendix A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36">
        <w:r>
          <w:rPr>
            <w:rStyle w:val="Hyperlink"/>
          </w:rPr>
          <w:t xml:space="preserve">Vol VII Book 06 — AWS Control Compliance Automation</w:t>
        </w:r>
      </w:hyperlink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Vol VII Book 07 — VMware Control Compliance Automation</w:t>
        </w:r>
      </w:hyperlink>
    </w:p>
    <w:p>
      <w:pPr>
        <w:pStyle w:val="Compact"/>
        <w:numPr>
          <w:ilvl w:val="0"/>
          <w:numId w:val="1005"/>
        </w:numPr>
      </w:pPr>
      <w:hyperlink r:id="rId74">
        <w:r>
          <w:rPr>
            <w:rStyle w:val="Hyperlink"/>
          </w:rPr>
          <w:t xml:space="preserve">Vol III Book 07 — Multi-Cloud Evidence Fabric</w:t>
        </w:r>
      </w:hyperlink>
      <w:r>
        <w:t xml:space="preserve"> </w:t>
      </w:r>
      <w:r>
        <w:t xml:space="preserve">— where the coordination layer’s output joins the cross-environment evidence fabric.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Vol I Book 03 — Certificates, Tokens &amp; Cryptographic Identity</w:t>
        </w:r>
      </w:hyperlink>
      <w:r>
        <w:t xml:space="preserve"> </w:t>
      </w:r>
      <w:r>
        <w:t xml:space="preserve">— the deliberate exception (§9): why routine PKI lifecycle closes through protocol automation, not a ServiceNow task; full discussion in</w:t>
      </w:r>
      <w:r>
        <w:t xml:space="preserve"> </w:t>
      </w:r>
      <w:hyperlink r:id="rId64">
        <w:r>
          <w:rPr>
            <w:rStyle w:val="Hyperlink"/>
          </w:rPr>
          <w:t xml:space="preserve">Appendix C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5">
        <w:r>
          <w:rPr>
            <w:rStyle w:val="Hyperlink"/>
          </w:rPr>
          <w:t xml:space="preserve">Ticket-to-Machine Appendices</w:t>
        </w:r>
      </w:hyperlink>
      <w:r>
        <w:t xml:space="preserve"> </w:t>
      </w:r>
      <w:r>
        <w:t xml:space="preserve">— Appendix A (Day-2 Kit Code Review), Appendix B (Access Governance and SailPoint ISC), Appendix C (The Certificates Exception), and Appendix D (Vendor Landscape and Build-vs-Buy): the technical detail split out of §§5.1, 8, 9, and 11 so this paper stays a single-document read.</w:t>
      </w:r>
    </w:p>
    <w:p>
      <w:pPr>
        <w:pStyle w:val="Compact"/>
        <w:numPr>
          <w:ilvl w:val="0"/>
          <w:numId w:val="1005"/>
        </w:numPr>
      </w:pPr>
      <w:hyperlink r:id="rId76">
        <w:r>
          <w:rPr>
            <w:rStyle w:val="Hyperlink"/>
          </w:rPr>
          <w:t xml:space="preserve">Vol III Book 01 — Privileged Access Management</w:t>
        </w:r>
      </w:hyperlink>
      <w:r>
        <w:t xml:space="preserve"> </w:t>
      </w:r>
      <w:r>
        <w:t xml:space="preserve">— the CyberArk PSM session-recording capability §4’s vCenter compensating control relies on.</w:t>
      </w:r>
    </w:p>
    <w:p>
      <w:pPr>
        <w:pStyle w:val="Compact"/>
        <w:numPr>
          <w:ilvl w:val="0"/>
          <w:numId w:val="1005"/>
        </w:numPr>
      </w:pPr>
      <w:hyperlink r:id="rId77">
        <w:r>
          <w:rPr>
            <w:rStyle w:val="Hyperlink"/>
          </w:rPr>
          <w:t xml:space="preserve">OrgComp Day-2 Automation Kit</w:t>
        </w:r>
      </w:hyperlink>
      <w:r>
        <w:t xml:space="preserve"> </w:t>
      </w:r>
      <w:r>
        <w:t xml:space="preserve">— §4’s working reference implementation of ticket-to-machine actuation for the AD/Entra surface.</w:t>
      </w:r>
    </w:p>
    <w:bookmarkEnd w:id="78"/>
    <w:bookmarkStart w:id="79" w:name="Xb70ba813abda1bc243422447fc460d4d2d860a2"/>
    <w:p>
      <w:pPr>
        <w:pStyle w:val="Heading2"/>
      </w:pPr>
      <w:r>
        <w:t xml:space="preserve">14. The Ask — Spoke Coverage Under the Agency Contract</w:t>
      </w:r>
    </w:p>
    <w:p>
      <w:pPr>
        <w:pStyle w:val="FirstParagraph"/>
      </w:pPr>
      <w:r>
        <w:rPr>
          <w:i/>
          <w:iCs/>
        </w:rPr>
        <w:t xml:space="preserve">This section was written for the agency’s internal ServiceNow team and was</w:t>
      </w:r>
      <w:r>
        <w:rPr>
          <w:i/>
          <w:iCs/>
        </w:rPr>
        <w:t xml:space="preserve"> </w:t>
      </w:r>
      <w:r>
        <w:rPr>
          <w:i/>
          <w:iCs/>
        </w:rPr>
        <w:t xml:space="preserve">previously carried only by the standalone edition. It is folded in here so the</w:t>
      </w:r>
      <w:r>
        <w:rPr>
          <w:i/>
          <w:iCs/>
        </w:rPr>
        <w:t xml:space="preserve"> </w:t>
      </w:r>
      <w:r>
        <w:rPr>
          <w:i/>
          <w:iCs/>
        </w:rPr>
        <w:t xml:space="preserve">ask survives in the paper that remains.</w:t>
      </w:r>
    </w:p>
    <w:p>
      <w:pPr>
        <w:pStyle w:val="BodyText"/>
      </w:pPr>
      <w:r>
        <w:t xml:space="preserve">The architecture in §§3–8 only works if ServiceNow can actually reach each native surface under a service</w:t>
      </w:r>
      <w:r>
        <w:t xml:space="preserve"> </w:t>
      </w:r>
      <w:r>
        <w:t xml:space="preserve">identity. §4 is explicit that the ticket must authorize a</w:t>
      </w:r>
      <w:r>
        <w:t xml:space="preserve"> </w:t>
      </w:r>
      <w:r>
        <w:rPr>
          <w:i/>
          <w:iCs/>
        </w:rPr>
        <w:t xml:space="preserve">machine</w:t>
      </w:r>
      <w:r>
        <w:t xml:space="preserve">, not a person; a ServiceNow that can</w:t>
      </w:r>
      <w:r>
        <w:t xml:space="preserve"> </w:t>
      </w:r>
      <w:r>
        <w:t xml:space="preserve">raise a task but cannot reach the platform is exactly the ticket-to-human anti-pattern that section</w:t>
      </w:r>
      <w:r>
        <w:t xml:space="preserve"> </w:t>
      </w:r>
      <w:r>
        <w:t xml:space="preserve">describes. On the ServiceNow side, that reach is an IntegrationHub spoke — and because spokes are a</w:t>
      </w:r>
      <w:r>
        <w:t xml:space="preserve"> </w:t>
      </w:r>
      <w:r>
        <w:t xml:space="preserve">licensed entitlement, this is a contract question before it is an engineering one.</w:t>
      </w:r>
    </w:p>
    <w:p>
      <w:pPr>
        <w:pStyle w:val="BodyText"/>
      </w:pPr>
      <w:r>
        <w:rPr>
          <w:b/>
          <w:bCs/>
        </w:rPr>
        <w:t xml:space="preserve">The request:</w:t>
      </w:r>
      <w:r>
        <w:t xml:space="preserve"> </w:t>
      </w:r>
      <w:r>
        <w:t xml:space="preserve">for each row below, confirm whether the agency’s current ServiceNow contract entitles the</w:t>
      </w:r>
      <w:r>
        <w:t xml:space="preserve"> </w:t>
      </w:r>
      <w:r>
        <w:t xml:space="preserve">integration, and where it does not, say so explicitly so the gap can be booked rather than discovered</w:t>
      </w:r>
      <w:r>
        <w:t xml:space="preserve"> </w:t>
      </w:r>
      <w:r>
        <w:t xml:space="preserve">during implementation.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What this paper needs ServiceNow to reach</w:t>
            </w:r>
          </w:p>
        </w:tc>
        <w:tc>
          <w:tcPr/>
          <w:p>
            <w:pPr>
              <w:pStyle w:val="Compact"/>
            </w:pPr>
            <w:r>
              <w:t xml:space="preserve">Integration to confirm</w:t>
            </w:r>
          </w:p>
        </w:tc>
        <w:tc>
          <w:tcPr/>
          <w:p>
            <w:pPr>
              <w:pStyle w:val="Compact"/>
            </w:pPr>
            <w:r>
              <w:t xml:space="preserve">Status to 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 ID</w:t>
            </w:r>
            <w:r>
              <w:t xml:space="preserve"> </w:t>
            </w:r>
            <w:r>
              <w:t xml:space="preserve">(AC-2/AC-3/AC-6 identity lifecycle; the SAM approval front end)</w:t>
            </w:r>
          </w:p>
        </w:tc>
        <w:tc>
          <w:tcPr/>
          <w:p>
            <w:pPr>
              <w:pStyle w:val="Compact"/>
            </w:pPr>
            <w:r>
              <w:t xml:space="preserve">User, group, license, service-principal, password, and device actions under a delegated service account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Entra ID Spoke</w:t>
            </w:r>
            <w:r>
              <w:t xml:space="preserve"> </w:t>
            </w:r>
            <w:r>
              <w:t xml:space="preserve">(formerly the Microsoft Azure Active Directory Spoke)</w:t>
            </w:r>
          </w:p>
        </w:tc>
        <w:tc>
          <w:tcPr/>
          <w:p>
            <w:pPr>
              <w:pStyle w:val="Compact"/>
            </w:pPr>
            <w:r>
              <w:t xml:space="preserve">Documented by ServiceNow — confirm it is entitled, and confirm the delegated account’s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</w:t>
            </w:r>
            <w:r>
              <w:t xml:space="preserve"> </w:t>
            </w:r>
            <w:r>
              <w:t xml:space="preserve">(CM-6, RA-5, SI-2)</w:t>
            </w:r>
          </w:p>
        </w:tc>
        <w:tc>
          <w:tcPr/>
          <w:p>
            <w:pPr>
              <w:pStyle w:val="Compact"/>
            </w:pPr>
            <w:r>
              <w:t xml:space="preserve">Read Azure Policy, Defender for Cloud, and Update Manager state; raise and close typed tasks against the reconciled CI</w:t>
            </w:r>
          </w:p>
        </w:tc>
        <w:tc>
          <w:tcPr/>
          <w:p>
            <w:pPr>
              <w:pStyle w:val="Compact"/>
            </w:pPr>
            <w:r>
              <w:t xml:space="preserve">Microsoft Azure spokes — the</w:t>
            </w:r>
            <w:r>
              <w:t xml:space="preserve"> </w:t>
            </w:r>
            <w:r>
              <w:rPr>
                <w:b/>
                <w:bCs/>
              </w:rPr>
              <w:t xml:space="preserve">Virtual Machine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Virtual Network</w:t>
            </w:r>
            <w:r>
              <w:t xml:space="preserve"> </w:t>
            </w:r>
            <w:r>
              <w:t xml:space="preserve">spokes are documented; which spoke, if any, covers Policy / Defender / Update Manager is the open question</w:t>
            </w:r>
          </w:p>
        </w:tc>
        <w:tc>
          <w:tcPr/>
          <w:p>
            <w:pPr>
              <w:pStyle w:val="Compact"/>
            </w:pPr>
            <w:r>
              <w:t xml:space="preserve">Confirm both</w:t>
            </w:r>
            <w:r>
              <w:t xml:space="preserve"> </w:t>
            </w:r>
            <w:r>
              <w:rPr>
                <w:i/>
                <w:iCs/>
              </w:rPr>
              <w:t xml:space="preserve">coverage</w:t>
            </w:r>
            <w:r>
              <w:t xml:space="preserve"> </w:t>
            </w:r>
            <w:r>
              <w:t xml:space="preserve">and entitlement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</w:t>
            </w:r>
            <w:r>
              <w:t xml:space="preserve"> </w:t>
            </w:r>
            <w:r>
              <w:t xml:space="preserve">(CM-2/CM-6, RA-5, SI-2)</w:t>
            </w:r>
          </w:p>
        </w:tc>
        <w:tc>
          <w:tcPr/>
          <w:p>
            <w:pPr>
              <w:pStyle w:val="Compact"/>
            </w:pPr>
            <w:r>
              <w:t xml:space="preserve">Read AWS Config, Security Hub, and Inspector findings and Systems Manager Patch Manager 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IAM Spoke</w:t>
            </w:r>
            <w:r>
              <w:t xml:space="preserve"> </w:t>
            </w:r>
            <w:r>
              <w:t xml:space="preserve">is documented; the</w:t>
            </w:r>
            <w:r>
              <w:t xml:space="preserve"> </w:t>
            </w:r>
            <w:r>
              <w:rPr>
                <w:b/>
                <w:bCs/>
              </w:rPr>
              <w:t xml:space="preserve">ServiceNow AWS Integration for Security Exposure Management</w:t>
            </w:r>
            <w:r>
              <w:t xml:space="preserve"> </w:t>
            </w:r>
            <w:r>
              <w:t xml:space="preserve">store app covers Inspector + Security Hub</w:t>
            </w:r>
          </w:p>
        </w:tc>
        <w:tc>
          <w:tcPr/>
          <w:p>
            <w:pPr>
              <w:pStyle w:val="Compact"/>
            </w:pPr>
            <w:r>
              <w:t xml:space="preserve">Confirm entitlement for both, and whether Config and Patch Manager are 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VMware</w:t>
            </w:r>
            <w:r>
              <w:t xml:space="preserve"> </w:t>
            </w:r>
            <w:r>
              <w:t xml:space="preserve">(CM-2/CM-6, RA-5, SI-2)</w:t>
            </w:r>
          </w:p>
        </w:tc>
        <w:tc>
          <w:tcPr/>
          <w:p>
            <w:pPr>
              <w:pStyle w:val="Compact"/>
            </w:pPr>
            <w:r>
              <w:t xml:space="preserve">Read vSphere Configuration Profiles / VCF Operations / vLCM state, and actuate under a service identity</w:t>
            </w:r>
          </w:p>
        </w:tc>
        <w:tc>
          <w:tcPr/>
          <w:p>
            <w:pPr>
              <w:pStyle w:val="Compact"/>
            </w:pPr>
            <w:r>
              <w:t xml:space="preserve">No vCenter IntegrationHub spoke was found. The documented connectors are the</w:t>
            </w:r>
            <w:r>
              <w:t xml:space="preserve"> </w:t>
            </w:r>
            <w:r>
              <w:rPr>
                <w:b/>
                <w:bCs/>
              </w:rPr>
              <w:t xml:space="preserve">VMware Aria Operations Management Pack for ServiceNow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VCF Automation ITSM plugin</w:t>
            </w:r>
          </w:p>
        </w:tc>
        <w:tc>
          <w:tcPr/>
          <w:p>
            <w:pPr>
              <w:pStyle w:val="Compact"/>
            </w:pPr>
            <w:r>
              <w:t xml:space="preserve">Confirm what the contract covers; until a machine actuator exists, the PSM exception in §4 applies</w:t>
            </w:r>
          </w:p>
        </w:tc>
      </w:tr>
    </w:tbl>
    <w:p>
      <w:pPr>
        <w:pStyle w:val="BodyText"/>
      </w:pPr>
      <w:r>
        <w:t xml:space="preserve">Two notes on how to read the table. The VMware row is the one this paper already flags as genuinely open</w:t>
      </w:r>
      <w:r>
        <w:t xml:space="preserve"> </w:t>
      </w:r>
      <w:r>
        <w:t xml:space="preserve">(§4, §8): it is not an oversight in the table but the same gap stated in contract terms, and the honest</w:t>
      </w:r>
      <w:r>
        <w:t xml:space="preserve"> </w:t>
      </w:r>
      <w:r>
        <w:t xml:space="preserve">answer may be</w:t>
      </w:r>
      <w:r>
        <w:t xml:space="preserve"> </w:t>
      </w:r>
      <w:r>
        <w:t xml:space="preserve">“no spoke exists,”</w:t>
      </w:r>
      <w:r>
        <w:t xml:space="preserve"> </w:t>
      </w:r>
      <w:r>
        <w:t xml:space="preserve">in which case the CyberArk PSM compensating control in §4 is the closure path</w:t>
      </w:r>
      <w:r>
        <w:t xml:space="preserve"> </w:t>
      </w:r>
      <w:r>
        <w:t xml:space="preserve">rather than a workaround. And where a spoke turns out not to be entitled, the answer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route the</w:t>
      </w:r>
      <w:r>
        <w:t xml:space="preserve"> </w:t>
      </w:r>
      <w:r>
        <w:t xml:space="preserve">work through a human at the console — that is precisely the anti-pattern §4 rejects. It is either to</w:t>
      </w:r>
      <w:r>
        <w:t xml:space="preserve"> </w:t>
      </w:r>
      <w:r>
        <w:t xml:space="preserve">license the integration, or to book the gap as a declared exception with a named compensating control.</w:t>
      </w:r>
    </w:p>
    <w:p>
      <w:pPr>
        <w:pStyle w:val="BodyText"/>
      </w:pPr>
      <w:r>
        <w:t xml:space="preserve">Spoke names and packaging move between ServiceNow releases, and IntegrationHub entitlement is set by</w:t>
      </w:r>
      <w:r>
        <w:t xml:space="preserve"> </w:t>
      </w:r>
      <w:r>
        <w:t xml:space="preserve">subscription terms rather than by the platform; treat every product name above as a starting point for</w:t>
      </w:r>
      <w:r>
        <w:t xml:space="preserve"> </w:t>
      </w:r>
      <w:r>
        <w:t xml:space="preserve">that confirmation, not as a statement of what the agency already owns. The vendor-currency caveat below applies here in full.</w:t>
      </w:r>
    </w:p>
    <w:bookmarkEnd w:id="79"/>
    <w:bookmarkStart w:id="82" w:name="X7a2934bfa83ea2ea5e2340f586b62d005ef88c3"/>
    <w:p>
      <w:pPr>
        <w:pStyle w:val="Heading2"/>
      </w:pPr>
      <w:r>
        <w:t xml:space="preserve">15. Authority Mapping and Non-Compliance Exposure</w:t>
      </w:r>
    </w:p>
    <w:p>
      <w:pPr>
        <w:pStyle w:val="FirstParagraph"/>
      </w:pPr>
      <w:r>
        <w:t xml:space="preserve">This paper argues from control families throughout; the specific guidelines behind those claims, and the exposure an agency carries when they go unmet, are collected in one place rather than scattered.</w:t>
      </w:r>
    </w:p>
    <w:p>
      <w:pPr>
        <w:pStyle w:val="TableCaption"/>
      </w:pPr>
      <w:r>
        <w:t xml:space="preserve">The three authorities this paper answers 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three authorities this paper answers to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What it obligates here</w:t>
            </w:r>
          </w:p>
        </w:tc>
        <w:tc>
          <w:tcPr/>
          <w:p>
            <w:pPr>
              <w:pStyle w:val="Compact"/>
            </w:pPr>
            <w:r>
              <w:t xml:space="preserve">Where the loop meets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800-53 Rev 5</w:t>
            </w:r>
            <w:r>
              <w:t xml:space="preserve">, FedRAMP Moderate baseline</w:t>
            </w:r>
          </w:p>
        </w:tc>
        <w:tc>
          <w:tcPr/>
          <w:p>
            <w:pPr>
              <w:pStyle w:val="Compact"/>
            </w:pPr>
            <w:r>
              <w:t xml:space="preserve">CM-6, RA-5, SI-2 (configuration, vulnerability, patch); AC-2/AC-3/AC-6 (access governance); CA-2/CA-5/CA-7 (assessment, POA&amp;M, ConMon); IA-5(2)/SC-17 (the PKI exception)</w:t>
            </w:r>
          </w:p>
        </w:tc>
        <w:tc>
          <w:tcPr/>
          <w:p>
            <w:pPr>
              <w:pStyle w:val="Compact"/>
            </w:pPr>
            <w:r>
              <w:t xml:space="preserve">Every row is</w:t>
            </w:r>
            <w:r>
              <w:t xml:space="preserve"> </w:t>
            </w:r>
            <w:r>
              <w:rPr>
                <w:rStyle w:val="VerbatimChar"/>
              </w:rPr>
              <w:t xml:space="preserve">Tool-attestable: No</w:t>
            </w:r>
            <w:r>
              <w:t xml:space="preserve"> </w:t>
            </w:r>
            <w:r>
              <w:t xml:space="preserve">— the native engine actuates, the coordination layer makes it assessable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FedRAMP 20x</w:t>
            </w:r>
          </w:p>
        </w:tc>
        <w:tc>
          <w:tcPr/>
          <w:p>
            <w:pPr>
              <w:pStyle w:val="Compact"/>
            </w:pPr>
            <w:r>
              <w:t xml:space="preserve">Continuous KSI evidence (KSI-CMT, KSI-MLA, KSI-IAM, KSI-SVC); KSI-CMT-RMV/VTD/RVP; the VDR-TFR-PVR remediation-timeframe table (4–192 days by PAIN rating, plus KEV due dates)</w:t>
            </w:r>
          </w:p>
        </w:tc>
        <w:tc>
          <w:tcPr/>
          <w:p>
            <w:pPr>
              <w:pStyle w:val="Compact"/>
            </w:pPr>
            <w:r>
              <w:t xml:space="preserve">CA-7 emit of OSCAL assessment-results plus KSI evidence; the SLA clock enforced against a named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CISA BOD 25-01</w:t>
            </w:r>
          </w:p>
        </w:tc>
        <w:tc>
          <w:tcPr/>
          <w:p>
            <w:pPr>
              <w:pStyle w:val="Compact"/>
            </w:pPr>
            <w:r>
              <w:t xml:space="preserve">Five obligations; four are administrative, the fifth —</w:t>
            </w:r>
            <w:r>
              <w:t xml:space="preserve"> </w:t>
            </w:r>
            <w:r>
              <w:rPr>
                <w:i/>
                <w:iCs/>
              </w:rPr>
              <w:t xml:space="preserve">remediate deviations from the SCuBA baselines</w:t>
            </w:r>
            <w:r>
              <w:t xml:space="preserve"> </w:t>
            </w:r>
            <w:r>
              <w:t xml:space="preserve">— is open-ended and architectural</w:t>
            </w:r>
          </w:p>
        </w:tc>
        <w:tc>
          <w:tcPr/>
          <w:p>
            <w:pPr>
              <w:pStyle w:val="Compact"/>
            </w:pPr>
            <w:r>
              <w:t xml:space="preserve">Row 5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this paper’s loop: detect natively, own and clock in ServiceNow, actuate natively, close with evidence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A note on attribution.</w:t>
      </w:r>
      <w:r>
        <w:t xml:space="preserve"> </w:t>
      </w:r>
      <w:r>
        <w:t xml:space="preserve">Binding Operational Directives are issued by</w:t>
      </w:r>
      <w:r>
        <w:t xml:space="preserve"> </w:t>
      </w:r>
      <w:r>
        <w:rPr>
          <w:b/>
          <w:bCs/>
        </w:rPr>
        <w:t xml:space="preserve">CISA</w:t>
      </w:r>
      <w:r>
        <w:t xml:space="preserve">, not OPM — OPM issues memoranda and HR-domain guidance. The directive governing the M365/SCuBA scope this paper touches is CISA</w:t>
      </w:r>
      <w:r>
        <w:t xml:space="preserve"> </w:t>
      </w:r>
      <w:hyperlink r:id="rId80">
        <w:r>
          <w:rPr>
            <w:rStyle w:val="Hyperlink"/>
          </w:rPr>
          <w:t xml:space="preserve">BOD 25-01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Implementing Secure Practices for Cloud Services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non-compliance actually costs.</w:t>
      </w:r>
      <w:r>
        <w:t xml:space="preserve"> </w:t>
      </w:r>
      <w:r>
        <w:t xml:space="preserve">None of these authorities carries a fine. The exposure is an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 </w:t>
      </w:r>
      <w:r>
        <w:t xml:space="preserve">that can be conditioned, shortened, or withdrawn by the Authorizing Official;</w:t>
      </w:r>
      <w:r>
        <w:t xml:space="preserve"> </w:t>
      </w:r>
      <w:r>
        <w:rPr>
          <w:b/>
          <w:bCs/>
        </w:rPr>
        <w:t xml:space="preserve">audit findings</w:t>
      </w:r>
      <w:r>
        <w:t xml:space="preserve"> </w:t>
      </w:r>
      <w:r>
        <w:t xml:space="preserve">that persist across FISMA reporting cycles and compound; and a</w:t>
      </w:r>
      <w:r>
        <w:t xml:space="preserve"> </w:t>
      </w:r>
      <w:r>
        <w:rPr>
          <w:b/>
          <w:bCs/>
        </w:rPr>
        <w:t xml:space="preserve">deviation list that grows</w:t>
      </w:r>
      <w:r>
        <w:t xml:space="preserve">, which is itself the documentary evidence that the remediation obligation went unmet. The last is the one that bites: an assessment tool running faithfully against an unremediated estate produces an accurate, lengthening record of non-closure. And the operational risk is unchanged by any of it — the misconfiguration remains exploitable regardless of how well it is reported.</w:t>
      </w:r>
    </w:p>
    <w:p>
      <w:pPr>
        <w:pStyle w:val="BodyText"/>
      </w:pPr>
      <w:r>
        <w:t xml:space="preserve">The full control-by-control mapping, the BOD 25-01 obligation table, the forward-looking BOD 26-04 deadline, and the per-authority exposure breakdown are in</w:t>
      </w:r>
      <w:r>
        <w:t xml:space="preserve"> </w:t>
      </w:r>
      <w:hyperlink r:id="rId81">
        <w:r>
          <w:rPr>
            <w:rStyle w:val="Hyperlink"/>
            <w:b/>
            <w:bCs/>
          </w:rPr>
          <w:t xml:space="preserve">Appendix E</w:t>
        </w:r>
      </w:hyperlink>
      <w:r>
        <w:t xml:space="preserve">.</w:t>
      </w:r>
    </w:p>
    <w:bookmarkEnd w:id="82"/>
    <w:bookmarkStart w:id="86" w:name="provenance"/>
    <w:p>
      <w:pPr>
        <w:pStyle w:val="Heading2"/>
      </w:pPr>
      <w:r>
        <w:t xml:space="preserve">Provenance</w:t>
      </w:r>
    </w:p>
    <w:p>
      <w:pPr>
        <w:pStyle w:val="FirstParagraph"/>
      </w:pPr>
      <w:r>
        <w:t xml:space="preserve">This paper is a synthesis, not a new closure claim: every control-closure row and quoted Closure Necessity passage is reproduced from the four cited Vol VII books, which are in turn generated against</w:t>
      </w:r>
      <w:r>
        <w:t xml:space="preserve"> </w:t>
      </w:r>
      <w:r>
        <w:rPr>
          <w:rStyle w:val="VerbatimChar"/>
        </w:rPr>
        <w:t xml:space="preserve">orgcomp-compliance-spine.yml</w:t>
      </w:r>
      <w:r>
        <w:t xml:space="preserve">. It carries no independent Authorities Closed Here table of its own — reopening or re-deriving those closures is out of scope; this paper exists to state their shared argument once, for a reader who wants the claim without reading all four platform books end to end.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83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8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Vendor currency caveat — read before building a Project Plan on this paper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paper’s dated vendor claims — SmartRAMP 20x, the VMware Aria/ServiceNow connectors, SailPoint CIEM’s cloud coverage, Wiz, Vanta, CyberArk/Keyfactor — now live primarily in the vendor-landscape appendix, and this market moves in weeks, not review cycles. Per the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OrgComp series’ Vendor Currency Doctrine</w:t>
              </w:r>
            </w:hyperlink>
            <w:r>
              <w:t xml:space="preserve">, every vendor claim in this paper and its appendices is a dated snapshot, not a standing commitment.</w:t>
            </w:r>
            <w:r>
              <w:t xml:space="preserve"> </w:t>
            </w:r>
            <w:r>
              <w:rPr>
                <w:b/>
                <w:bCs/>
              </w:rPr>
              <w:t xml:space="preserve">Read the full caveat in</w:t>
            </w:r>
            <w:r>
              <w:rPr>
                <w:b/>
                <w:bCs/>
              </w:rPr>
              <w:t xml:space="preserve"> </w:t>
            </w:r>
            <w:hyperlink r:id="rId46">
              <w:r>
                <w:rPr>
                  <w:rStyle w:val="Hyperlink"/>
                  <w:b/>
                  <w:bCs/>
                </w:rPr>
                <w:t xml:space="preserve">Appendix D</w:t>
              </w:r>
            </w:hyperlink>
            <w:r>
              <w:rPr>
                <w:b/>
                <w:bCs/>
              </w:rPr>
              <w:t xml:space="preserve">, and confirm current roadmaps directly with ServiceNow, SailPoint, VMware/Broadcom, and each CSP before any claim here becomes the basis of an implementation Project Plan, procurement action, or acquisition decision.</w:t>
            </w:r>
          </w:p>
          <w:p/>
        </w:tc>
      </w:tr>
    </w:tbl>
    <w:bookmarkEnd w:id="86"/>
    <w:bookmarkStart w:id="104" w:name="references"/>
    <w:p>
      <w:pPr>
        <w:pStyle w:val="Heading2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CM-6/RA-5/SI-2</w:t>
            </w:r>
            <w:r>
              <w:t xml:space="preserve"> </w:t>
            </w:r>
            <w:r>
              <w:rPr>
                <w:rStyle w:val="VerbatimChar"/>
              </w:rPr>
              <w:t xml:space="preserve">Tool-attestable: No</w:t>
            </w:r>
            <w:r>
              <w:t xml:space="preserve"> </w:t>
            </w:r>
            <w:r>
              <w:t xml:space="preserve">across M365/Azure/AWS/VMware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orgcomp-compliance-spine.yml</w:t>
            </w:r>
            <w:r>
              <w:t xml:space="preserve">, rendered per-book by</w:t>
            </w:r>
            <w:r>
              <w:t xml:space="preserve"> </w:t>
            </w:r>
            <w:r>
              <w:rPr>
                <w:rStyle w:val="VerbatimChar"/>
              </w:rPr>
              <w:t xml:space="preserve">render_authorities_table.py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 Necessity argument (Azure/AWS/VMware)</w:t>
            </w:r>
          </w:p>
        </w:tc>
        <w:tc>
          <w:tcPr/>
          <w:p>
            <w:pPr>
              <w:pStyle w:val="Compact"/>
            </w:pPr>
            <w:r>
              <w:t xml:space="preserve">Vol VII Books 03, 06, 07 (this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Attestation pipeline (CA-2/CA-5/CA-7, OSCAL/KSI emit)</w:t>
            </w:r>
          </w:p>
        </w:tc>
        <w:tc>
          <w:tcPr/>
          <w:p>
            <w:pPr>
              <w:pStyle w:val="Compact"/>
            </w:pPr>
            <w:r>
              <w:t xml:space="preserve">Vol VII Book 04 (this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Compliance App record model (</w:t>
            </w:r>
            <w:r>
              <w:rPr>
                <w:rStyle w:val="VerbatimChar"/>
              </w:rPr>
              <w:t xml:space="preserve">x_fed_compliance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Vol VII Book 05 (this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§4’s</w:t>
            </w:r>
            <w:r>
              <w:t xml:space="preserve"> </w:t>
            </w:r>
            <w:r>
              <w:t xml:space="preserve">“working reference implementation”</w:t>
            </w:r>
            <w:r>
              <w:t xml:space="preserve"> </w:t>
            </w:r>
            <w:r>
              <w:t xml:space="preserve">claims — MID-Server-dispatched AD writes under a delegated service account,</w:t>
            </w:r>
            <w:r>
              <w:t xml:space="preserve"> </w:t>
            </w:r>
            <w:r>
              <w:t xml:space="preserve">“ServiceNow … NEVER writes to the estate,”</w:t>
            </w:r>
            <w:r>
              <w:t xml:space="preserve"> </w:t>
            </w:r>
            <w:r>
              <w:t xml:space="preserve">the approver-gated password-reset fallback, the automated morning-check reconciliation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docs/customer-documents/orgcomp-series/servicenow-day2/script-includes/AdHybridClient.js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Day2NativeActuator.js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CURRENT-STATE-OPERATOR-USAGE.md</w:t>
            </w:r>
            <w:r>
              <w:t xml:space="preserve"> </w:t>
            </w:r>
            <w:r>
              <w:t xml:space="preserve">(this repo) — sampled, not exhaustively audited; the sampling surfaced exploitable AD-leg defects, now remediated, see the callout above and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Appendix 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§4/Appendix A AD-leg security findings (2026-07-29) — unescaped parameter names in</w:t>
            </w:r>
            <w:r>
              <w:t xml:space="preserve"> </w:t>
            </w:r>
            <w:r>
              <w:rPr>
                <w:rStyle w:val="VerbatimChar"/>
              </w:rPr>
              <w:t xml:space="preserve">_render</w:t>
            </w:r>
            <w:r>
              <w:t xml:space="preserve"> </w:t>
            </w:r>
            <w:r>
              <w:t xml:space="preserve">(command injection), target substitution via</w:t>
            </w:r>
            <w:r>
              <w:t xml:space="preserve"> </w:t>
            </w:r>
            <w:r>
              <w:rPr>
                <w:rStyle w:val="VerbatimChar"/>
              </w:rPr>
              <w:t xml:space="preserve">_merge</w:t>
            </w:r>
            <w:r>
              <w:t xml:space="preserve"> </w:t>
            </w:r>
            <w:r>
              <w:t xml:space="preserve">precedence, cleartext password in</w:t>
            </w:r>
            <w:r>
              <w:t xml:space="preserve"> </w:t>
            </w:r>
            <w:r>
              <w:rPr>
                <w:rStyle w:val="VerbatimChar"/>
              </w:rPr>
              <w:t xml:space="preserve">ecc_queue</w:t>
            </w:r>
            <w:r>
              <w:t xml:space="preserve">, no AD post-state read-back, clause 1 (Origin) unenforced —</w:t>
            </w:r>
            <w:r>
              <w:t xml:space="preserve"> </w:t>
            </w:r>
            <w:r>
              <w:rPr>
                <w:b/>
                <w:bCs/>
              </w:rPr>
              <w:t xml:space="preserve">all remediated 2026-07-30</w:t>
            </w:r>
          </w:p>
        </w:tc>
        <w:tc>
          <w:tcPr/>
          <w:p>
            <w:pPr>
              <w:pStyle w:val="Compact"/>
            </w:pPr>
            <w:r>
              <w:t xml:space="preserve">External adversarial security review, 2026-07-29 (this repo’s inbox review process); remediation verified directly against the current</w:t>
            </w:r>
            <w:r>
              <w:t xml:space="preserve"> </w:t>
            </w:r>
            <w:r>
              <w:rPr>
                <w:rStyle w:val="VerbatimChar"/>
              </w:rPr>
              <w:t xml:space="preserve">AdHybridClient.js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MacdrOrchestrator.js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EntraHelpdeskGate.js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sam_inbound_ritm.js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SamCorrelationClient.js</w:t>
            </w:r>
            <w:r>
              <w:t xml:space="preserve"> </w:t>
            </w:r>
            <w:r>
              <w:t xml:space="preserve">(this repo, commit</w:t>
            </w:r>
            <w:r>
              <w:t xml:space="preserve"> </w:t>
            </w:r>
            <w:r>
              <w:rPr>
                <w:rStyle w:val="VerbatimChar"/>
              </w:rPr>
              <w:t xml:space="preserve">7d2423c74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morning-check RDP anti-pattern the Day-2 kit’s automated reconciliation replaces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docs/customer-documents/orgcomp-series/OrgComp_Operator_Runbook_Day2_Compliant.qmd</w:t>
            </w:r>
            <w:r>
              <w:t xml:space="preserve">, Task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§4’s CM-3(2)/CM-5(1)/CM-6(1)/SI-2(2) Moderate-baseline citations, and the rejection of CM-3(5)/AU-12(3)/mischaracterized AC-6(9)/IA-5(2) proposed by an independent citation review</w:t>
            </w:r>
          </w:p>
        </w:tc>
        <w:tc>
          <w:tcPr/>
          <w:p>
            <w:pPr>
              <w:pStyle w:val="Compact"/>
            </w:pPr>
            <w:r>
              <w:t xml:space="preserve">Vol VII Book 07 (this series), Approval/Execution Split section and its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MACD-R five-clause orchestration (Origin/Authorize/Elevate/Actuate/Evidence), the Appendix A code-level reference implementation — all five clauses now enforced, including 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docs/customer-documents/orgcomp-series/servicenow-day2/script-includes/MacdrOrchestrator.js</w:t>
            </w:r>
            <w:r>
              <w:t xml:space="preserve"> </w:t>
            </w:r>
            <w:r>
              <w:t xml:space="preserve">(this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PAIN-rating remediation timeframes (VDR-TFR-PVR)</w:t>
            </w:r>
          </w:p>
        </w:tc>
        <w:tc>
          <w:tcPr/>
          <w:p>
            <w:pPr>
              <w:pStyle w:val="Compact"/>
            </w:pPr>
            <w:r>
              <w:t xml:space="preserve">FedRAMP —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https://www.fedramp.gov/2026/reference/vulnerability-detection-and-response/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Risk-based remediation prioritization (KEV catalog)</w:t>
            </w:r>
          </w:p>
        </w:tc>
        <w:tc>
          <w:tcPr/>
          <w:p>
            <w:pPr>
              <w:pStyle w:val="Compact"/>
            </w:pPr>
            <w:r>
              <w:t xml:space="preserve">CISA —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https://www.cisa.gov/known-exploited-vulnerabilities-catalog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SAM (SailPoint IGA) canon status — distinct from reserved</w:t>
            </w:r>
            <w:r>
              <w:t xml:space="preserve"> </w:t>
            </w:r>
            <w:r>
              <w:rPr>
                <w:rStyle w:val="VerbatimChar"/>
              </w:rPr>
              <w:t xml:space="preserve">sailpoint-nerm</w:t>
            </w:r>
            <w:r>
              <w:t xml:space="preserve"> </w:t>
            </w:r>
            <w:r>
              <w:t xml:space="preserve">slot (ADR-059)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docs/customer-documents/orgcomp-series/servicenow-day2/START-HERE.md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“CSPM complements GRC — findings need owners and closure proof”</w:t>
            </w:r>
            <w:r>
              <w:t xml:space="preserve">; no single tool covers a FedRAMP boundary alone</w:t>
            </w:r>
          </w:p>
        </w:tc>
        <w:tc>
          <w:tcPr/>
          <w:p>
            <w:pPr>
              <w:pStyle w:val="Compact"/>
            </w:pPr>
            <w:r>
              <w:t xml:space="preserve">Continuum GRC —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https://continuumgrc.com/audit-compliance-solutions-fedramp/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Coordinated-stack requirement; ticketing/SLA ownership as a FedRAMP necessity</w:t>
            </w:r>
          </w:p>
        </w:tc>
        <w:tc>
          <w:tcPr/>
          <w:p>
            <w:pPr>
              <w:pStyle w:val="Compact"/>
            </w:pPr>
            <w:r>
              <w:t xml:space="preserve">Knox Systems —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https://knoxsystems.com/resources/continuous-compliance-fedramp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C1Secure SmartRAMP 20x — ServiceNow-native FedRAMP 20x KSI platform (build-vs-buy context for Book 05)</w:t>
            </w:r>
          </w:p>
        </w:tc>
        <w:tc>
          <w:tcPr/>
          <w:p>
            <w:pPr>
              <w:pStyle w:val="Compact"/>
            </w:pPr>
            <w:r>
              <w:t xml:space="preserve">PR Newswire —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https://www.prnewswire.com/news-releases/c1secure-launches-smartramp-20x-a-servicenow-native-platform-built-for-the-fedramp-20x-model-302824168.html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VMware Aria Operations Management Pack for ServiceNow (native connector, corrects Book 07’s</w:t>
            </w:r>
            <w:r>
              <w:t xml:space="preserve"> </w:t>
            </w:r>
            <w:r>
              <w:t xml:space="preserve">“unbuilt”</w:t>
            </w:r>
            <w:r>
              <w:t xml:space="preserve"> </w:t>
            </w:r>
            <w:r>
              <w:t xml:space="preserve">framing)</w:t>
            </w:r>
          </w:p>
        </w:tc>
        <w:tc>
          <w:tcPr/>
          <w:p>
            <w:pPr>
              <w:pStyle w:val="Compact"/>
            </w:pPr>
            <w:r>
              <w:t xml:space="preserve">Broadcom TechDocs —</w:t>
            </w:r>
            <w:r>
              <w:t xml:space="preserve"> </w:t>
            </w:r>
            <w:hyperlink r:id="rId92">
              <w:r>
                <w:rPr>
                  <w:rStyle w:val="Hyperlink"/>
                </w:rPr>
                <w:t xml:space="preserve">https://techdocs.broadcom.com/us/en/vmware-cis/aria/aria-operations-for-integrations/9-0/management-pack-for-servicenow-9-0/management-pack-for-servicenow.html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VCF Automation ITSM plugin for ServiceNow</w:t>
            </w:r>
          </w:p>
        </w:tc>
        <w:tc>
          <w:tcPr/>
          <w:p>
            <w:pPr>
              <w:pStyle w:val="Compact"/>
            </w:pPr>
            <w:r>
              <w:t xml:space="preserve">ServiceNow Store —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https://store.servicenow.com/store/app/0349abae1be06a50a85b16db234bcbbb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ServiceNow AWS Integration for Security Exposure Management (Inspector + Security Hub)</w:t>
            </w:r>
          </w:p>
        </w:tc>
        <w:tc>
          <w:tcPr/>
          <w:p>
            <w:pPr>
              <w:pStyle w:val="Compact"/>
            </w:pPr>
            <w:r>
              <w:t xml:space="preserve">ServiceNow Store —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https://store.servicenow.com/store/app/fc71081b47804f90040ae738436d43e0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SailPoint CIEM — native AWS/Azure/GCP cloud IAM entitlement governance</w:t>
            </w:r>
          </w:p>
        </w:tc>
        <w:tc>
          <w:tcPr/>
          <w:p>
            <w:pPr>
              <w:pStyle w:val="Compact"/>
            </w:pPr>
            <w:r>
              <w:t xml:space="preserve">SailPoint —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https://www.sailpoint.com/products/identity-security-cloud/atlas/add-ons/cloud-infrastructure-entitlement-management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SailPoint routes findings into ServiceNow’s Service Desk for ticketing/audit tracking</w:t>
            </w:r>
          </w:p>
        </w:tc>
        <w:tc>
          <w:tcPr/>
          <w:p>
            <w:pPr>
              <w:pStyle w:val="Compact"/>
            </w:pPr>
            <w:r>
              <w:t xml:space="preserve">SailPoint —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https://www.sailpoint.com/products/connectivity-and-integrations/catalog/servicenow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Wiz native multi-cloud + VMware vSphere coverage (alternative single-engine architecture)</w:t>
            </w:r>
          </w:p>
        </w:tc>
        <w:tc>
          <w:tcPr/>
          <w:p>
            <w:pPr>
              <w:pStyle w:val="Compact"/>
            </w:pPr>
            <w:r>
              <w:t xml:space="preserve">Reintech —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https://reintech.io/blog/wiz-vs-orca-vs-prisma-cloud-comparison-2026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Vanta FedRAMP 20x Moderate Authorization; OSCAL/KSI self-generation (alternative architecture)</w:t>
            </w:r>
          </w:p>
        </w:tc>
        <w:tc>
          <w:tcPr/>
          <w:p>
            <w:pPr>
              <w:pStyle w:val="Compact"/>
            </w:pPr>
            <w:r>
              <w:t xml:space="preserve">Vanta —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https://www.vanta.com/products/fedramp-20x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Certificates as the deliberate volume-driven exception (</w:t>
            </w:r>
            <w:r>
              <w:t xml:space="preserve">“no owner is named… because none needs to be”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docs/customer-documents/orgcomp-series/Vol_I_Book_03_OrgComp_Certificates_Tokens_Cryptographic_Identity.qmd</w:t>
            </w:r>
            <w:r>
              <w:t xml:space="preserve">, Theme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Keyfactor for Government CLAaaS — FedRAMP Moderate authorization (May 2026)</w:t>
            </w:r>
          </w:p>
        </w:tc>
        <w:tc>
          <w:tcPr/>
          <w:p>
            <w:pPr>
              <w:pStyle w:val="Compact"/>
            </w:pPr>
            <w:r>
              <w:t xml:space="preserve">Keyfactor —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https://www.keyfactor.com/press-releases/keyfactor-attains-fedramp-moderate-authorization/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CyberArk Certificate Manager (Venafi) — CA-agnostic discovery/orchestration, ServiceNow integration</w:t>
            </w:r>
          </w:p>
        </w:tc>
        <w:tc>
          <w:tcPr/>
          <w:p>
            <w:pPr>
              <w:pStyle w:val="Compact"/>
            </w:pPr>
            <w:r>
              <w:t xml:space="preserve">CyberArk —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https://www.cyberark.com/products/certificate-manager/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Keyfactor/DigiCert/AppViewX native ServiceNow CMDB and ITOM integrations for certificate lifecycle</w:t>
            </w:r>
          </w:p>
        </w:tc>
        <w:tc>
          <w:tcPr/>
          <w:p>
            <w:pPr>
              <w:pStyle w:val="Compact"/>
            </w:pPr>
            <w:r>
              <w:t xml:space="preserve">Keyfactor —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https://www.keyfactor.com/blog/keyfactor-simplifies-enterprise-pki-certificate-management-with-new-servicenow-integrations/</w:t>
              </w:r>
            </w:hyperlink>
            <w:r>
              <w:t xml:space="preserve">; DigiCert —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https://docs.digicert.com/en/trust-lifecycle-manager/build-your-inventory-and-ecosystem/connectors/it-service-management/link-to-servicenow.html</w:t>
              </w:r>
            </w:hyperlink>
            <w:r>
              <w:t xml:space="preserve">; ServiceNow —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https://www.servicenow.com/products/certificate-management.html</w:t>
              </w:r>
            </w:hyperlink>
          </w:p>
        </w:tc>
      </w:tr>
    </w:tbl>
    <w:p>
      <w:pPr>
        <w:pStyle w:val="BodyText"/>
      </w:pPr>
      <w:r>
        <w:t xml:space="preserve">Ticket-to-Machine, Not Ticket-to-Human: Why Changing State Isn’t Compliance Evidence | Draft | July 2026</w:t>
      </w:r>
    </w:p>
    <w:bookmarkEnd w:id="104"/>
    <w:bookmarkEnd w:id="105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14:55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30" Target="media/rId30.png" /><Relationship Type="http://schemas.openxmlformats.org/officeDocument/2006/relationships/image" Id="rId16" Target="media/rId16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hyperlink" Id="rId77" Target="../orgcomp-series/servicenow-day2/README.md" TargetMode="External" /><Relationship Type="http://schemas.openxmlformats.org/officeDocument/2006/relationships/hyperlink" Id="rId89" Target="https://continuumgrc.com/audit-compliance-solutions-fedramp/" TargetMode="External" /><Relationship Type="http://schemas.openxmlformats.org/officeDocument/2006/relationships/hyperlink" Id="rId80" Target="https://cyber.dhs.gov/bod/25-01/" TargetMode="External" /><Relationship Type="http://schemas.openxmlformats.org/officeDocument/2006/relationships/hyperlink" Id="rId102" Target="https://docs.digicert.com/en/trust-lifecycle-manager/build-your-inventory-and-ecosystem/connectors/it-service-management/link-to-servicenow.html" TargetMode="External" /><Relationship Type="http://schemas.openxmlformats.org/officeDocument/2006/relationships/hyperlink" Id="rId90" Target="https://knoxsystems.com/resources/continuous-compliance-fedramp" TargetMode="External" /><Relationship Type="http://schemas.openxmlformats.org/officeDocument/2006/relationships/hyperlink" Id="rId97" Target="https://reintech.io/blog/wiz-vs-orca-vs-prisma-cloud-comparison-2026" TargetMode="External" /><Relationship Type="http://schemas.openxmlformats.org/officeDocument/2006/relationships/hyperlink" Id="rId93" Target="https://store.servicenow.com/store/app/0349abae1be06a50a85b16db234bcbbb" TargetMode="External" /><Relationship Type="http://schemas.openxmlformats.org/officeDocument/2006/relationships/hyperlink" Id="rId94" Target="https://store.servicenow.com/store/app/fc71081b47804f90040ae738436d43e0" TargetMode="External" /><Relationship Type="http://schemas.openxmlformats.org/officeDocument/2006/relationships/hyperlink" Id="rId92" Target="https://techdocs.broadcom.com/us/en/vmware-cis/aria/aria-operations-for-integrations/9-0/management-pack-for-servicenow-9-0/management-pack-for-servicenow.html" TargetMode="External" /><Relationship Type="http://schemas.openxmlformats.org/officeDocument/2006/relationships/hyperlink" Id="rId59" Target="https://whalermike.github.io/uiao/adr/adr-135-sailpoint-isc-governance-option-b-ratification.html" TargetMode="External" /><Relationship Type="http://schemas.openxmlformats.org/officeDocument/2006/relationships/hyperlink" Id="rId61" Target="https://whalermike.github.io/uiao/adr/adr-136-sailpoint-identityiq-option-c-slot-allocation.html" TargetMode="External" /><Relationship Type="http://schemas.openxmlformats.org/officeDocument/2006/relationships/hyperlink" Id="rId85" Target="https://whalermike.github.io/uiao/customer-documents/orgcomp-series/Vol_0_Book_00_OrgComp_Executive_Summary.html#vendor-currency" TargetMode="External" /><Relationship Type="http://schemas.openxmlformats.org/officeDocument/2006/relationships/hyperlink" Id="rId76" Target="https://whalermike.github.io/uiao/customer-documents/orgcomp-series/Vol_III_Book_01_OrgComp_Privileged_Access_Management.html" TargetMode="External" /><Relationship Type="http://schemas.openxmlformats.org/officeDocument/2006/relationships/hyperlink" Id="rId74" Target="https://whalermike.github.io/uiao/customer-documents/orgcomp-series/Vol_III_Book_07_OrgComp_Multi_Cloud_Evidence_Fabric.html" TargetMode="External" /><Relationship Type="http://schemas.openxmlformats.org/officeDocument/2006/relationships/hyperlink" Id="rId73" Target="https://whalermike.github.io/uiao/customer-documents/orgcomp-series/Vol_IX_Book_00_OrgComp_Day2_Operations_Overview.html" TargetMode="External" /><Relationship Type="http://schemas.openxmlformats.org/officeDocument/2006/relationships/hyperlink" Id="rId63" Target="https://whalermike.github.io/uiao/customer-documents/orgcomp-series/Vol_I_Book_03_OrgComp_Certificates_Tokens_Cryptographic_Identity.html" TargetMode="External" /><Relationship Type="http://schemas.openxmlformats.org/officeDocument/2006/relationships/hyperlink" Id="rId20" Target="https://whalermike.github.io/uiao/customer-documents/orgcomp-series/Vol_VII_Book_02_OrgComp_M365_Control_Compliance_Automation.html" TargetMode="External" /><Relationship Type="http://schemas.openxmlformats.org/officeDocument/2006/relationships/hyperlink" Id="rId33" Target="https://whalermike.github.io/uiao/customer-documents/orgcomp-series/Vol_VII_Book_03_OrgComp_Azure_Control_Compliance_Automation.html" TargetMode="External" /><Relationship Type="http://schemas.openxmlformats.org/officeDocument/2006/relationships/hyperlink" Id="rId53" Target="https://whalermike.github.io/uiao/customer-documents/orgcomp-series/Vol_VII_Book_04_OrgComp_Control_Attestation_Evidence_KSI.html" TargetMode="External" /><Relationship Type="http://schemas.openxmlformats.org/officeDocument/2006/relationships/hyperlink" Id="rId48" Target="https://whalermike.github.io/uiao/customer-documents/orgcomp-series/Vol_VII_Book_05_OrgComp_ServiceNow_Compliance_App.html" TargetMode="External" /><Relationship Type="http://schemas.openxmlformats.org/officeDocument/2006/relationships/hyperlink" Id="rId36" Target="https://whalermike.github.io/uiao/customer-documents/orgcomp-series/Vol_VII_Book_06_OrgComp_AWS_Control_Compliance_Automation.html" TargetMode="External" /><Relationship Type="http://schemas.openxmlformats.org/officeDocument/2006/relationships/hyperlink" Id="rId24" Target="https://whalermike.github.io/uiao/customer-documents/orgcomp-series/Vol_VII_Book_07_OrgComp_VMware_Control_Compliance_Automation.html" TargetMode="External" /><Relationship Type="http://schemas.openxmlformats.org/officeDocument/2006/relationships/hyperlink" Id="rId60" Target="https://whalermike.github.io/uiao/customer-documents/orgcomp-series/Vol_VII_Book_08_OrgComp_Native_IAM_RBAC_Access_Governance.html" TargetMode="External" /><Relationship Type="http://schemas.openxmlformats.org/officeDocument/2006/relationships/hyperlink" Id="rId75" Target="https://whalermike.github.io/uiao/customer-documents/whitepapers/ticket-to-machine-appendices.html" TargetMode="External" /><Relationship Type="http://schemas.openxmlformats.org/officeDocument/2006/relationships/hyperlink" Id="rId28" Target="https://whalermike.github.io/uiao/customer-documents/whitepapers/ticket-to-machine-appendices.html#appendix-a-day-2-kit-code-review" TargetMode="External" /><Relationship Type="http://schemas.openxmlformats.org/officeDocument/2006/relationships/hyperlink" Id="rId39" Target="https://whalermike.github.io/uiao/customer-documents/whitepapers/ticket-to-machine-appendices.html#appendix-b-access-governance-and-sailpoint-isc" TargetMode="External" /><Relationship Type="http://schemas.openxmlformats.org/officeDocument/2006/relationships/hyperlink" Id="rId64" Target="https://whalermike.github.io/uiao/customer-documents/whitepapers/ticket-to-machine-appendices.html#appendix-c-the-certificates-exception" TargetMode="External" /><Relationship Type="http://schemas.openxmlformats.org/officeDocument/2006/relationships/hyperlink" Id="rId46" Target="https://whalermike.github.io/uiao/customer-documents/whitepapers/ticket-to-machine-appendices.html#appendix-d-vendor-landscape-and-build-vs-buy" TargetMode="External" /><Relationship Type="http://schemas.openxmlformats.org/officeDocument/2006/relationships/hyperlink" Id="rId81" Target="https://whalermike.github.io/uiao/customer-documents/whitepapers/ticket-to-machine-appendices.html#appendix-e-authority-mapping" TargetMode="External" /><Relationship Type="http://schemas.openxmlformats.org/officeDocument/2006/relationships/hyperlink" Id="rId88" Target="https://www.cisa.gov/known-exploited-vulnerabilities-catalog" TargetMode="External" /><Relationship Type="http://schemas.openxmlformats.org/officeDocument/2006/relationships/hyperlink" Id="rId100" Target="https://www.cyberark.com/products/certificate-manager/" TargetMode="External" /><Relationship Type="http://schemas.openxmlformats.org/officeDocument/2006/relationships/hyperlink" Id="rId87" Target="https://www.fedramp.gov/2026/reference/vulnerability-detection-and-response/" TargetMode="External" /><Relationship Type="http://schemas.openxmlformats.org/officeDocument/2006/relationships/hyperlink" Id="rId101" Target="https://www.keyfactor.com/blog/keyfactor-simplifies-enterprise-pki-certificate-management-with-new-servicenow-integrations/" TargetMode="External" /><Relationship Type="http://schemas.openxmlformats.org/officeDocument/2006/relationships/hyperlink" Id="rId99" Target="https://www.keyfactor.com/press-releases/keyfactor-attains-fedramp-moderate-authorization/" TargetMode="External" /><Relationship Type="http://schemas.openxmlformats.org/officeDocument/2006/relationships/hyperlink" Id="rId91" Target="https://www.prnewswire.com/news-releases/c1secure-launches-smartramp-20x-a-servicenow-native-platform-built-for-the-fedramp-20x-model-302824168.html" TargetMode="External" /><Relationship Type="http://schemas.openxmlformats.org/officeDocument/2006/relationships/hyperlink" Id="rId96" Target="https://www.sailpoint.com/products/connectivity-and-integrations/catalog/servicenow" TargetMode="External" /><Relationship Type="http://schemas.openxmlformats.org/officeDocument/2006/relationships/hyperlink" Id="rId95" Target="https://www.sailpoint.com/products/identity-security-cloud/atlas/add-ons/cloud-infrastructure-entitlement-management" TargetMode="External" /><Relationship Type="http://schemas.openxmlformats.org/officeDocument/2006/relationships/hyperlink" Id="rId103" Target="https://www.servicenow.com/products/certificate-management.html" TargetMode="External" /><Relationship Type="http://schemas.openxmlformats.org/officeDocument/2006/relationships/hyperlink" Id="rId98" Target="https://www.vanta.com/products/fedramp-20x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../orgcomp-series/servicenow-day2/README.md" TargetMode="External" /><Relationship Type="http://schemas.openxmlformats.org/officeDocument/2006/relationships/hyperlink" Id="rId89" Target="https://continuumgrc.com/audit-compliance-solutions-fedramp/" TargetMode="External" /><Relationship Type="http://schemas.openxmlformats.org/officeDocument/2006/relationships/hyperlink" Id="rId80" Target="https://cyber.dhs.gov/bod/25-01/" TargetMode="External" /><Relationship Type="http://schemas.openxmlformats.org/officeDocument/2006/relationships/hyperlink" Id="rId102" Target="https://docs.digicert.com/en/trust-lifecycle-manager/build-your-inventory-and-ecosystem/connectors/it-service-management/link-to-servicenow.html" TargetMode="External" /><Relationship Type="http://schemas.openxmlformats.org/officeDocument/2006/relationships/hyperlink" Id="rId90" Target="https://knoxsystems.com/resources/continuous-compliance-fedramp" TargetMode="External" /><Relationship Type="http://schemas.openxmlformats.org/officeDocument/2006/relationships/hyperlink" Id="rId97" Target="https://reintech.io/blog/wiz-vs-orca-vs-prisma-cloud-comparison-2026" TargetMode="External" /><Relationship Type="http://schemas.openxmlformats.org/officeDocument/2006/relationships/hyperlink" Id="rId93" Target="https://store.servicenow.com/store/app/0349abae1be06a50a85b16db234bcbbb" TargetMode="External" /><Relationship Type="http://schemas.openxmlformats.org/officeDocument/2006/relationships/hyperlink" Id="rId94" Target="https://store.servicenow.com/store/app/fc71081b47804f90040ae738436d43e0" TargetMode="External" /><Relationship Type="http://schemas.openxmlformats.org/officeDocument/2006/relationships/hyperlink" Id="rId92" Target="https://techdocs.broadcom.com/us/en/vmware-cis/aria/aria-operations-for-integrations/9-0/management-pack-for-servicenow-9-0/management-pack-for-servicenow.html" TargetMode="External" /><Relationship Type="http://schemas.openxmlformats.org/officeDocument/2006/relationships/hyperlink" Id="rId59" Target="https://whalermike.github.io/uiao/adr/adr-135-sailpoint-isc-governance-option-b-ratification.html" TargetMode="External" /><Relationship Type="http://schemas.openxmlformats.org/officeDocument/2006/relationships/hyperlink" Id="rId61" Target="https://whalermike.github.io/uiao/adr/adr-136-sailpoint-identityiq-option-c-slot-allocation.html" TargetMode="External" /><Relationship Type="http://schemas.openxmlformats.org/officeDocument/2006/relationships/hyperlink" Id="rId85" Target="https://whalermike.github.io/uiao/customer-documents/orgcomp-series/Vol_0_Book_00_OrgComp_Executive_Summary.html#vendor-currency" TargetMode="External" /><Relationship Type="http://schemas.openxmlformats.org/officeDocument/2006/relationships/hyperlink" Id="rId76" Target="https://whalermike.github.io/uiao/customer-documents/orgcomp-series/Vol_III_Book_01_OrgComp_Privileged_Access_Management.html" TargetMode="External" /><Relationship Type="http://schemas.openxmlformats.org/officeDocument/2006/relationships/hyperlink" Id="rId74" Target="https://whalermike.github.io/uiao/customer-documents/orgcomp-series/Vol_III_Book_07_OrgComp_Multi_Cloud_Evidence_Fabric.html" TargetMode="External" /><Relationship Type="http://schemas.openxmlformats.org/officeDocument/2006/relationships/hyperlink" Id="rId73" Target="https://whalermike.github.io/uiao/customer-documents/orgcomp-series/Vol_IX_Book_00_OrgComp_Day2_Operations_Overview.html" TargetMode="External" /><Relationship Type="http://schemas.openxmlformats.org/officeDocument/2006/relationships/hyperlink" Id="rId63" Target="https://whalermike.github.io/uiao/customer-documents/orgcomp-series/Vol_I_Book_03_OrgComp_Certificates_Tokens_Cryptographic_Identity.html" TargetMode="External" /><Relationship Type="http://schemas.openxmlformats.org/officeDocument/2006/relationships/hyperlink" Id="rId20" Target="https://whalermike.github.io/uiao/customer-documents/orgcomp-series/Vol_VII_Book_02_OrgComp_M365_Control_Compliance_Automation.html" TargetMode="External" /><Relationship Type="http://schemas.openxmlformats.org/officeDocument/2006/relationships/hyperlink" Id="rId33" Target="https://whalermike.github.io/uiao/customer-documents/orgcomp-series/Vol_VII_Book_03_OrgComp_Azure_Control_Compliance_Automation.html" TargetMode="External" /><Relationship Type="http://schemas.openxmlformats.org/officeDocument/2006/relationships/hyperlink" Id="rId53" Target="https://whalermike.github.io/uiao/customer-documents/orgcomp-series/Vol_VII_Book_04_OrgComp_Control_Attestation_Evidence_KSI.html" TargetMode="External" /><Relationship Type="http://schemas.openxmlformats.org/officeDocument/2006/relationships/hyperlink" Id="rId48" Target="https://whalermike.github.io/uiao/customer-documents/orgcomp-series/Vol_VII_Book_05_OrgComp_ServiceNow_Compliance_App.html" TargetMode="External" /><Relationship Type="http://schemas.openxmlformats.org/officeDocument/2006/relationships/hyperlink" Id="rId36" Target="https://whalermike.github.io/uiao/customer-documents/orgcomp-series/Vol_VII_Book_06_OrgComp_AWS_Control_Compliance_Automation.html" TargetMode="External" /><Relationship Type="http://schemas.openxmlformats.org/officeDocument/2006/relationships/hyperlink" Id="rId24" Target="https://whalermike.github.io/uiao/customer-documents/orgcomp-series/Vol_VII_Book_07_OrgComp_VMware_Control_Compliance_Automation.html" TargetMode="External" /><Relationship Type="http://schemas.openxmlformats.org/officeDocument/2006/relationships/hyperlink" Id="rId60" Target="https://whalermike.github.io/uiao/customer-documents/orgcomp-series/Vol_VII_Book_08_OrgComp_Native_IAM_RBAC_Access_Governance.html" TargetMode="External" /><Relationship Type="http://schemas.openxmlformats.org/officeDocument/2006/relationships/hyperlink" Id="rId75" Target="https://whalermike.github.io/uiao/customer-documents/whitepapers/ticket-to-machine-appendices.html" TargetMode="External" /><Relationship Type="http://schemas.openxmlformats.org/officeDocument/2006/relationships/hyperlink" Id="rId28" Target="https://whalermike.github.io/uiao/customer-documents/whitepapers/ticket-to-machine-appendices.html#appendix-a-day-2-kit-code-review" TargetMode="External" /><Relationship Type="http://schemas.openxmlformats.org/officeDocument/2006/relationships/hyperlink" Id="rId39" Target="https://whalermike.github.io/uiao/customer-documents/whitepapers/ticket-to-machine-appendices.html#appendix-b-access-governance-and-sailpoint-isc" TargetMode="External" /><Relationship Type="http://schemas.openxmlformats.org/officeDocument/2006/relationships/hyperlink" Id="rId64" Target="https://whalermike.github.io/uiao/customer-documents/whitepapers/ticket-to-machine-appendices.html#appendix-c-the-certificates-exception" TargetMode="External" /><Relationship Type="http://schemas.openxmlformats.org/officeDocument/2006/relationships/hyperlink" Id="rId46" Target="https://whalermike.github.io/uiao/customer-documents/whitepapers/ticket-to-machine-appendices.html#appendix-d-vendor-landscape-and-build-vs-buy" TargetMode="External" /><Relationship Type="http://schemas.openxmlformats.org/officeDocument/2006/relationships/hyperlink" Id="rId81" Target="https://whalermike.github.io/uiao/customer-documents/whitepapers/ticket-to-machine-appendices.html#appendix-e-authority-mapping" TargetMode="External" /><Relationship Type="http://schemas.openxmlformats.org/officeDocument/2006/relationships/hyperlink" Id="rId88" Target="https://www.cisa.gov/known-exploited-vulnerabilities-catalog" TargetMode="External" /><Relationship Type="http://schemas.openxmlformats.org/officeDocument/2006/relationships/hyperlink" Id="rId100" Target="https://www.cyberark.com/products/certificate-manager/" TargetMode="External" /><Relationship Type="http://schemas.openxmlformats.org/officeDocument/2006/relationships/hyperlink" Id="rId87" Target="https://www.fedramp.gov/2026/reference/vulnerability-detection-and-response/" TargetMode="External" /><Relationship Type="http://schemas.openxmlformats.org/officeDocument/2006/relationships/hyperlink" Id="rId101" Target="https://www.keyfactor.com/blog/keyfactor-simplifies-enterprise-pki-certificate-management-with-new-servicenow-integrations/" TargetMode="External" /><Relationship Type="http://schemas.openxmlformats.org/officeDocument/2006/relationships/hyperlink" Id="rId99" Target="https://www.keyfactor.com/press-releases/keyfactor-attains-fedramp-moderate-authorization/" TargetMode="External" /><Relationship Type="http://schemas.openxmlformats.org/officeDocument/2006/relationships/hyperlink" Id="rId91" Target="https://www.prnewswire.com/news-releases/c1secure-launches-smartramp-20x-a-servicenow-native-platform-built-for-the-fedramp-20x-model-302824168.html" TargetMode="External" /><Relationship Type="http://schemas.openxmlformats.org/officeDocument/2006/relationships/hyperlink" Id="rId96" Target="https://www.sailpoint.com/products/connectivity-and-integrations/catalog/servicenow" TargetMode="External" /><Relationship Type="http://schemas.openxmlformats.org/officeDocument/2006/relationships/hyperlink" Id="rId95" Target="https://www.sailpoint.com/products/identity-security-cloud/atlas/add-ons/cloud-infrastructure-entitlement-management" TargetMode="External" /><Relationship Type="http://schemas.openxmlformats.org/officeDocument/2006/relationships/hyperlink" Id="rId103" Target="https://www.servicenow.com/products/certificate-management.html" TargetMode="External" /><Relationship Type="http://schemas.openxmlformats.org/officeDocument/2006/relationships/hyperlink" Id="rId98" Target="https://www.vanta.com/products/fedramp-20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Ticket-to-Machine, Not Ticket-to-Human: Why Changing State Isn’t Compliance Evidence</dc:title>
  <dc:creator>Michael Stratton</dc:creator>
  <cp:keywords/>
  <dcterms:created xsi:type="dcterms:W3CDTF">2026-09-16T14:55:42Z</dcterms:created>
  <dcterms:modified xsi:type="dcterms:W3CDTF">2026-09-16T14:55:42Z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docs/customer-documents/orgcomp-series/Vol_VII_Book_03_OrgComp_Azure_Control_Compliance_Automation.qmd, Vol_VII_Book_04_OrgComp_Control_Attestation_Evidence_KSI.qmd, Vol_VII_Book_05_OrgComp_ServiceNow_Compliance_App.qmd, Vol_VII_Book_06_OrgComp_AWS_Control_Compliance_Automation.qmd, Vol_VII_Book_07_OrgComp_VMware_Control_Compliance_Automation.qmd; orgcomp-compliance-spine.yml</vt:lpwstr>
  </property>
  <property fmtid="{D5CDD505-2E9C-101B-9397-08002B2CF9AE}" pid="7" name="created-at">
    <vt:lpwstr>2026-07-28</vt:lpwstr>
  </property>
  <property fmtid="{D5CDD505-2E9C-101B-9397-08002B2CF9AE}" pid="8" name="date">
    <vt:lpwstr>2026-07-01</vt:lpwstr>
  </property>
  <property fmtid="{D5CDD505-2E9C-101B-9397-08002B2CF9AE}" pid="9" name="derived-from">
    <vt:lpwstr>Synthesis of the OrgComp series’ recurring Closure Necessity argument, consolidated into a single standalone paper for readers who want the claim without reading all four platform books</vt:lpwstr>
  </property>
  <property fmtid="{D5CDD505-2E9C-101B-9397-08002B2CF9AE}" pid="10" name="doc-type">
    <vt:lpwstr>whitepaper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fecycle">
    <vt:lpwstr>adopted</vt:lpwstr>
  </property>
  <property fmtid="{D5CDD505-2E9C-101B-9397-08002B2CF9AE}" pid="16" name="lifecycle_review">
    <vt:lpwstr>2027-01-28</vt:lpwstr>
  </property>
  <property fmtid="{D5CDD505-2E9C-101B-9397-08002B2CF9AE}" pid="17" name="mermaid">
    <vt:lpwstr/>
  </property>
  <property fmtid="{D5CDD505-2E9C-101B-9397-08002B2CF9AE}" pid="18" name="repo-path">
    <vt:lpwstr>docs/customer-documents/whitepapers/ticket-to-machine-not-ticket-to-human.qmd</vt:lpwstr>
  </property>
  <property fmtid="{D5CDD505-2E9C-101B-9397-08002B2CF9AE}" pid="19" name="status">
    <vt:lpwstr>Draft</vt:lpwstr>
  </property>
  <property fmtid="{D5CDD505-2E9C-101B-9397-08002B2CF9AE}" pid="20" name="subtitle">
    <vt:lpwstr>Azure, AWS, and VMware’s own tools remediate; ServiceNow — with SailPoint ISC Governance feeding it for access governance — supplies the owner, the clock, and the evidence NIST, CISA, and FedRAMP actually require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1.3</vt:lpwstr>
  </property>
</Properties>
</file>