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67.png" ContentType="image/png"/>
  <Override PartName="/word/media/rId46.png" ContentType="image/png"/>
  <Override PartName="/word/media/rId18.png" ContentType="image/png"/>
  <Override PartName="/word/media/rId9.png" ContentType="image/png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UIAO vs Microsoft Native Tools — Gap Analysis</w:t>
      </w:r>
    </w:p>
    <w:p>
      <w:pPr>
        <w:pStyle w:val="Subtitle"/>
      </w:pPr>
      <w:r>
        <w:t xml:space="preserve">Why Microsoft’s 12 tools don’t replace a governance orchestration layer</w:t>
      </w:r>
    </w:p>
    <w:p>
      <w:pPr>
        <w:pStyle w:val="Author"/>
      </w:pPr>
      <w:r>
        <w:t xml:space="preserve">Michael Stratton</w:t>
      </w:r>
    </w:p>
    <w:p>
      <w:pPr>
        <w:pStyle w:val="Date"/>
      </w:pPr>
      <w:r>
        <w:t xml:space="preserve">2026-04-01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uiao-vs-native-tools-image-04"/>
          <w:p>
            <w:pPr>
              <w:pStyle w:val="Compact"/>
              <w:jc w:val="center"/>
            </w:pPr>
            <w:r>
              <w:drawing>
                <ns1:inline>
                  <ns1:extent cx="5334000" cy="5334000"/>
                  <ns1:effectExtent b="0" l="0" r="0" t="0"/>
                  <ns1:docPr descr="" title="" id="10" name="Picture"/>
                  <ns2:graphic>
                    <ns2:graphicData uri="http://schemas.openxmlformats.org/drawingml/2006/picture">
                      <ns3:pic>
                        <ns3:nvPicPr>
                          <ns3:cNvPr descr="images/uiao-vs-native-tools-image-04-consume-vs-build-decision-tree.png" id="11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9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5334000" cy="53340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Consume-vs-build decision tree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4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5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3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Problem, solution, ask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Problem.</w:t>
            </w:r>
            <w:r>
              <w:t xml:space="preserve"> </w:t>
            </w:r>
            <w:r>
              <w:t xml:space="preserve">“Doesn’t Microsoft already do this?”</w:t>
            </w:r>
            <w:r>
              <w:t xml:space="preserve"> </w:t>
            </w:r>
            <w:r>
              <w:t xml:space="preserve">Partially — across twelve</w:t>
            </w:r>
            <w:r>
              <w:t xml:space="preserve"> </w:t>
            </w:r>
            <w:r>
              <w:t xml:space="preserve">disconnected tools that, without significant custom glue, cover an estimated</w:t>
            </w:r>
            <w:r>
              <w:t xml:space="preserve"> </w:t>
            </w:r>
            <w:r>
              <w:t xml:space="preserve">30% of the AD assessment discovery surface and roughly 22% once the governance</w:t>
            </w:r>
            <w:r>
              <w:t xml:space="preserve"> </w:t>
            </w:r>
            <w:r>
              <w:t xml:space="preserve">pipeline, cross-domain correlation, and drift detection are counted. OU</w:t>
            </w:r>
            <w:r>
              <w:t xml:space="preserve"> </w:t>
            </w:r>
            <w:r>
              <w:t xml:space="preserve">hierarchy and delegation, DNS, PKI health, and trusts are essentially</w:t>
            </w:r>
            <w:r>
              <w:t xml:space="preserve"> </w:t>
            </w:r>
            <w:r>
              <w:t xml:space="preserve">uncovered.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Solution.</w:t>
            </w:r>
            <w:r>
              <w:t xml:space="preserve"> </w:t>
            </w:r>
            <w:r>
              <w:t xml:space="preserve">Position UIAO as a complementary orchestration layer, not a</w:t>
            </w:r>
            <w:r>
              <w:t xml:space="preserve"> </w:t>
            </w:r>
            <w:r>
              <w:t xml:space="preserve">replacement — the same pattern as UIAO SCuBA and CISA ScubaGear. Consume</w:t>
            </w:r>
            <w:r>
              <w:t xml:space="preserve"> </w:t>
            </w:r>
            <w:r>
              <w:t xml:space="preserve">Microsoft and third-party output (Azure Migrate, Group Policy Analytics,</w:t>
            </w:r>
            <w:r>
              <w:t xml:space="preserve"> </w:t>
            </w:r>
            <w:r>
              <w:t xml:space="preserve">Defender for Identity, ScubaGear, ADRecon) through the UIAOImportAdapters</w:t>
            </w:r>
            <w:r>
              <w:t xml:space="preserve"> </w:t>
            </w:r>
            <w:r>
              <w:t xml:space="preserve">module; keep the PowerShell-first assessment module for the discovery</w:t>
            </w:r>
            <w:r>
              <w:t xml:space="preserve"> </w:t>
            </w:r>
            <w:r>
              <w:t xml:space="preserve">Microsoft does not do; treat Defender for Identity as the good-enough security</w:t>
            </w:r>
            <w:r>
              <w:t xml:space="preserve"> </w:t>
            </w:r>
            <w:r>
              <w:t xml:space="preserve">layer.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Ask.</w:t>
            </w:r>
            <w:r>
              <w:t xml:space="preserve"> </w:t>
            </w:r>
            <w:r>
              <w:t xml:space="preserve">Do not frame the build-vs-buy decision as UIAO</w:t>
            </w:r>
            <w:r>
              <w:t xml:space="preserve"> </w:t>
            </w:r>
            <w:r>
              <w:rPr>
                <w:i/>
                <w:iCs/>
              </w:rPr>
              <w:t xml:space="preserve">versus</w:t>
            </w:r>
            <w:r>
              <w:t xml:space="preserve"> </w:t>
            </w:r>
            <w:r>
              <w:t xml:space="preserve">Microsoft.</w:t>
            </w:r>
            <w:r>
              <w:t xml:space="preserve"> </w:t>
            </w:r>
            <w:r>
              <w:t xml:space="preserve">Route native tool output into one governance pipeline, run the assessment</w:t>
            </w:r>
            <w:r>
              <w:t xml:space="preserve"> </w:t>
            </w:r>
            <w:r>
              <w:t xml:space="preserve">module against a representative forest to replace this paper’s illustrative</w:t>
            </w:r>
            <w:r>
              <w:t xml:space="preserve"> </w:t>
            </w:r>
            <w:r>
              <w:t xml:space="preserve">percentages with your own numbers, and carry the complementary positioning</w:t>
            </w:r>
            <w:r>
              <w:t xml:space="preserve"> </w:t>
            </w:r>
            <w:r>
              <w:t xml:space="preserve">into the FedRAMP CWGs, CISA/FSCAC, and the Microsoft partner ecosystem (§10).</w:t>
            </w:r>
          </w:p>
          <w:p/>
        </w:tc>
      </w:tr>
    </w:tbl>
    <w:bookmarkStart w:id="21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short answer to</w:t>
      </w:r>
      <w:r>
        <w:t xml:space="preserve"> </w:t>
      </w:r>
      <w:r>
        <w:t xml:space="preserve">“Does Microsoft already do this?”</w:t>
      </w:r>
      <w:r>
        <w:t xml:space="preserve"> </w:t>
      </w:r>
      <w:r>
        <w:t xml:space="preserve">is:</w:t>
      </w:r>
      <w:r>
        <w:t xml:space="preserve"> </w:t>
      </w:r>
      <w:r>
        <w:rPr>
          <w:b/>
          <w:bCs/>
        </w:rPr>
        <w:t xml:space="preserve">Yes, partially — across 12 disconnected tools, none of which produce a unified governance pipeline.</w:t>
      </w:r>
    </w:p>
    <w:p>
      <w:pPr>
        <w:pStyle w:val="BodyText"/>
      </w:pPr>
      <w:r>
        <w:t xml:space="preserve">Microsoft offers excellent point solutions for specific assessment and migration tasks. But no single Microsoft tool — and no combination of them without significant custom glue — covers the full UIAO assessment surface: forest topology → OU hierarchy → GPO inventory → DNS → PKI → computer objects → users/groups → trusts → sites → ACLs, all feeding into a Git-hosted governance pipeline with drift detection, canonical artifact management, and SLA-tracked remediation.</w:t>
      </w:r>
    </w:p>
    <w:p>
      <w:pPr>
        <w:pStyle w:val="BodyText"/>
      </w:pPr>
      <w:r>
        <w:t xml:space="preserve">UIAO’s positioning is identical to UIAO SCuBA’s relationship with CISA ScubaGear:</w:t>
      </w:r>
      <w:r>
        <w:t xml:space="preserve"> </w:t>
      </w:r>
      <w:r>
        <w:rPr>
          <w:b/>
          <w:bCs/>
        </w:rPr>
        <w:t xml:space="preserve">complementary orchestration layer, not competitive replacement.</w:t>
      </w:r>
      <w:r>
        <w:t xml:space="preserve"> </w:t>
      </w:r>
      <w:r>
        <w:t xml:space="preserve">UIAO consumes the outputs of Microsoft’s native tools and provides the governance fabric that connects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6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17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3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Finding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Microsoft’s tools collectively cover approximately</w:t>
            </w:r>
            <w:r>
              <w:t xml:space="preserve"> </w:t>
            </w:r>
            <w:r>
              <w:rPr>
                <w:b/>
                <w:bCs/>
              </w:rPr>
              <w:t xml:space="preserve">30%</w:t>
            </w:r>
            <w:r>
              <w:t xml:space="preserve"> </w:t>
            </w:r>
            <w:r>
              <w:t xml:space="preserve">of what the UIAO Assessment Module captures in raw technical discovery. The remaining</w:t>
            </w:r>
            <w:r>
              <w:t xml:space="preserve"> </w:t>
            </w:r>
            <w:r>
              <w:rPr>
                <w:b/>
                <w:bCs/>
              </w:rPr>
              <w:t xml:space="preserve">70%</w:t>
            </w:r>
            <w:r>
              <w:t xml:space="preserve"> </w:t>
            </w:r>
            <w:r>
              <w:t xml:space="preserve">of the discovery surface — OU hierarchy, DNS, PKI health, trusts, delegation — plus governance provenance, canonical artifact management, drift detection, cross-domain correlation, and pipeline orchestration is where UIAO provides unique value. When governance requirements are factored in, Microsoft’s effective coverage drops to approximately</w:t>
            </w:r>
            <w:r>
              <w:t xml:space="preserve"> </w:t>
            </w:r>
            <w:r>
              <w:rPr>
                <w:b/>
                <w:bCs/>
              </w:rPr>
              <w:t xml:space="preserve">22%</w:t>
            </w:r>
            <w:r>
              <w:t xml:space="preserve"> </w:t>
            </w:r>
            <w:r>
              <w:t xml:space="preserve">of the total UIAO assessment surface. These percentages are illustrative estimates derived from this paper’s own domain coverage matrix (Section 4); the canonical gap doctrine deliberately carries no coverage percentages.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19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warning.png" id="20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8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ILLUSTRATIVE — replace before external release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30% / 22% figures above are derived from the domain coverage matrix in</w:t>
            </w:r>
            <w:r>
              <w:t xml:space="preserve"> </w:t>
            </w:r>
            <w:r>
              <w:t xml:space="preserve">Section 4, not from a single reproducible assessment run. Before external</w:t>
            </w:r>
            <w:r>
              <w:t xml:space="preserve"> </w:t>
            </w:r>
            <w:r>
              <w:t xml:space="preserve">release, replace this block with a worked example that anchors the headline</w:t>
            </w:r>
            <w:r>
              <w:t xml:space="preserve"> </w:t>
            </w:r>
            <w:r>
              <w:t xml:space="preserve">number in an actual (or representative) assessment: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Applied to a representative</w:t>
            </w:r>
            <w:r>
              <w:t xml:space="preserve"> </w:t>
            </w:r>
            <w:r>
              <w:rPr>
                <w:rStyle w:val="VerbatimChar"/>
              </w:rPr>
              <w:t xml:space="preserve">[N]</w:t>
            </w:r>
            <w:r>
              <w:t xml:space="preserve">-object AD forest assessment run on</w:t>
            </w:r>
            <w:r>
              <w:t xml:space="preserve"> </w:t>
            </w:r>
            <w:r>
              <w:rPr>
                <w:rStyle w:val="VerbatimChar"/>
              </w:rPr>
              <w:t xml:space="preserve">[date]</w:t>
            </w:r>
            <w:r>
              <w:t xml:space="preserve">, Microsoft’s native tooling (the tools inventoried in Section 2)</w:t>
            </w:r>
            <w:r>
              <w:t xml:space="preserve"> </w:t>
            </w:r>
            <w:r>
              <w:t xml:space="preserve">surfaced</w:t>
            </w:r>
            <w:r>
              <w:t xml:space="preserve"> </w:t>
            </w:r>
            <w:r>
              <w:rPr>
                <w:rStyle w:val="VerbatimChar"/>
              </w:rPr>
              <w:t xml:space="preserve">[X]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[Y]</w:t>
            </w:r>
            <w:r>
              <w:t xml:space="preserve"> </w:t>
            </w:r>
            <w:r>
              <w:t xml:space="preserve">governance-relevant findings across the domains</w:t>
            </w:r>
            <w:r>
              <w:t xml:space="preserve"> </w:t>
            </w:r>
            <w:r>
              <w:t xml:space="preserve">enumerated in §3’s capability matrix; UIAO’s methodology, applied to the</w:t>
            </w:r>
            <w:r>
              <w:t xml:space="preserve"> </w:t>
            </w:r>
            <w:r>
              <w:t xml:space="preserve">same forest, surfaced</w:t>
            </w:r>
            <w:r>
              <w:t xml:space="preserve"> </w:t>
            </w:r>
            <w:r>
              <w:rPr>
                <w:rStyle w:val="VerbatimChar"/>
              </w:rPr>
              <w:t xml:space="preserve">[X2]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rStyle w:val="VerbatimChar"/>
              </w:rPr>
              <w:t xml:space="preserve">[Y]</w:t>
            </w:r>
            <w:r>
              <w:t xml:space="preserve"> </w:t>
            </w:r>
            <w:r>
              <w:t xml:space="preserve">findings. The</w:t>
            </w:r>
            <w:r>
              <w:t xml:space="preserve"> </w:t>
            </w:r>
            <w:r>
              <w:rPr>
                <w:rStyle w:val="VerbatimChar"/>
              </w:rPr>
              <w:t xml:space="preserve">[Y]</w:t>
            </w:r>
            <w:r>
              <w:t xml:space="preserve"> </w:t>
            </w:r>
            <w:r>
              <w:t xml:space="preserve">findings should be</w:t>
            </w:r>
            <w:r>
              <w:t xml:space="preserve"> </w:t>
            </w:r>
            <w:r>
              <w:t xml:space="preserve">enumerated (or referenced) so the count is auditable, and</w:t>
            </w:r>
            <w:r>
              <w:t xml:space="preserve"> </w:t>
            </w:r>
            <w:r>
              <w:rPr>
                <w:rStyle w:val="VerbatimChar"/>
              </w:rPr>
              <w:t xml:space="preserve">[X]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[X2]</w:t>
            </w:r>
            <w:r>
              <w:t xml:space="preserve"> </w:t>
            </w:r>
            <w:r>
              <w:t xml:space="preserve">should map back to specific rows of the §3 matrix so a reader can verify</w:t>
            </w:r>
            <w:r>
              <w:t xml:space="preserve"> </w:t>
            </w:r>
            <w:r>
              <w:t xml:space="preserve">which findings each tooling approach did and did not surface.</w:t>
            </w:r>
          </w:p>
          <w:p/>
        </w:tc>
      </w:tr>
    </w:tbl>
    <w:bookmarkEnd w:id="21"/>
    <w:bookmarkStart w:id="36" w:name="the-microsoft-native-tool-landscape"/>
    <w:p>
      <w:pPr>
        <w:pStyle w:val="Heading2"/>
      </w:pPr>
      <w:r>
        <w:t xml:space="preserve">2. The Microsoft Native Tool Landscape</w:t>
      </w:r>
    </w:p>
    <w:p>
      <w:pPr>
        <w:pStyle w:val="FirstParagraph"/>
      </w:pPr>
      <w:r>
        <w:t xml:space="preserve">The following inventory catalogs every Microsoft tool that touches Active Directory assessment, migration, or modernization. (The</w:t>
      </w:r>
      <w:r>
        <w:t xml:space="preserve"> </w:t>
      </w:r>
      <w:hyperlink r:id="rId22">
        <w:r>
          <w:rPr>
            <w:rStyle w:val="Hyperlink"/>
          </w:rPr>
          <w:t xml:space="preserve">OrgPath narrative’s Book 01</w:t>
        </w:r>
      </w:hyperlink>
      <w:r>
        <w:t xml:space="preserve"> </w:t>
      </w:r>
      <w:r>
        <w:t xml:space="preserve">walks the same stack chapter by chapter from the governance side; this paper’s lens is assessment coverage.) For each tool, we document its current status, capabilities, limitations, licensing requirements, and output format — with specific attention to governance pipeline compatibility. Product statuses and version details in this inventory reflect the June–July 2026 snapshot and move quickly; verify current status before relying on any individual entry.</w:t>
      </w:r>
    </w:p>
    <w:bookmarkStart w:id="23" w:name="X047d921719b026272b05ad922de30bd32c98b91"/>
    <w:p>
      <w:pPr>
        <w:pStyle w:val="Heading3"/>
      </w:pPr>
      <w:r>
        <w:t xml:space="preserve">2.1 Microsoft Assessment and Planning (MAP) Toolkit</w:t>
      </w:r>
    </w:p>
    <w:tbl>
      <w:tblPr>
        <w:tblStyle w:val="Table"/>
        <w:tblW w:type="pct" w:w="4941"/>
        <w:tblLayout w:type="fixed"/>
        <w:tblLook w:firstRow="1" w:lastRow="0" w:firstColumn="0" w:lastColumn="0" w:noHBand="0" w:noVBand="0" w:val="0020"/>
      </w:tblPr>
      <w:tblGrid>
        <w:gridCol w:w="1211"/>
        <w:gridCol w:w="66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Effectively deprecated — Microsoft now recommends Azure Migrate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9.9.13 (July 2024, last update)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Agentless, automated multi-product planning and assessment. Hardware/software inventory, readiness reports, server virtualization planning.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Doesn’t Do</w:t>
            </w:r>
            <w:r>
              <w:t xml:space="preserve"> </w:t>
            </w: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GPO analysis, no AD security assessment, no governance artifacts, no OU/delegation analysis, no DNS/PKI assessment.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reports, Word proposals — no machine-readable pipeline output.</w:t>
            </w:r>
          </w:p>
        </w:tc>
      </w:tr>
    </w:tbl>
    <w:bookmarkEnd w:id="23"/>
    <w:bookmarkStart w:id="24" w:name="azure-migrate"/>
    <w:p>
      <w:pPr>
        <w:pStyle w:val="Heading3"/>
      </w:pPr>
      <w:r>
        <w:t xml:space="preserve">2.2 Azure Migrate</w:t>
      </w:r>
    </w:p>
    <w:tbl>
      <w:tblPr>
        <w:tblStyle w:val="Table"/>
        <w:tblW w:type="pct" w:w="4952"/>
        <w:tblLayout w:type="fixed"/>
        <w:tblLook w:firstRow="1" w:lastRow="0" w:firstColumn="0" w:lastColumn="0" w:noHBand="0" w:noVBand="0" w:val="0020"/>
      </w:tblPr>
      <w:tblGrid>
        <w:gridCol w:w="994"/>
        <w:gridCol w:w="68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regularly updated (March 2026 latest)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Server/VM/SQL/web app discovery and assessment, dependency mapping, cost projections, readiness scoring, migration execution for VMs and databases.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Doesn’t Do</w:t>
            </w:r>
            <w:r>
              <w:t xml:space="preserve"> </w:t>
            </w: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AD forest topology analysis, no GPO inventory, no OU structure analysis, no DNS zone assessment, no PKI/ADCS assessment, no user/group governance analysis, no trust mapping.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(Azure subscription required)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portal dashboards, downloadable reports — no Git-compatible structured output.</w:t>
            </w:r>
          </w:p>
        </w:tc>
      </w:tr>
    </w:tbl>
    <w:bookmarkEnd w:id="24"/>
    <w:bookmarkStart w:id="26" w:name="group-policy-analytics-intune"/>
    <w:p>
      <w:pPr>
        <w:pStyle w:val="Heading3"/>
      </w:pPr>
      <w:r>
        <w:t xml:space="preserve">2.3 Group Policy Analytics (Intune)</w:t>
      </w:r>
    </w:p>
    <w:tbl>
      <w:tblPr>
        <w:tblStyle w:val="Table"/>
        <w:tblW w:type="pct" w:w="4962"/>
        <w:tblLayout w:type="fixed"/>
        <w:tblLook w:firstRow="1" w:lastRow="0" w:firstColumn="0" w:lastColumn="0" w:noHBand="0" w:noVBand="0" w:val="0020"/>
      </w:tblPr>
      <w:tblGrid>
        <w:gridCol w:w="777"/>
        <w:gridCol w:w="708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GPO XML exports, analyze MDM support percentage, identify deprecated/unsupported settings, migrate supported settings to Settings Catalog policies.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Doesn’t Do</w:t>
            </w:r>
            <w:r>
              <w:t xml:space="preserve"> </w:t>
            </w: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annot export ALL GPO settings — only analyzes Windows 10/11 device policies. No server GPO analysis. No GPO link/scope analysis. No WMI filter assessment. No cross-GPO conflict detection. No governance tracking of migration status.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Intune license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Intune portal only — no bulk export, no machine-readable pipeline output.</w:t>
            </w:r>
          </w:p>
        </w:tc>
      </w:tr>
    </w:tbl>
    <w:p>
      <w:pPr>
        <w:pStyle w:val="BodyText"/>
      </w:pPr>
      <w:r>
        <w:t xml:space="preserve">For the governance lens on what this tool’s ~30–60% support percentage</w:t>
      </w:r>
      <w:r>
        <w:t xml:space="preserve"> </w:t>
      </w:r>
      <w:r>
        <w:t xml:space="preserve">actually</w:t>
      </w:r>
      <w:r>
        <w:t xml:space="preserve"> </w:t>
      </w:r>
      <w:r>
        <w:rPr>
          <w:i/>
          <w:iCs/>
        </w:rPr>
        <w:t xml:space="preserve">costs</w:t>
      </w:r>
      <w:r>
        <w:t xml:space="preserve"> </w:t>
      </w:r>
      <w:r>
        <w:t xml:space="preserve">— the policy-plane capabilities lost in the GPO-to-Intune</w:t>
      </w:r>
      <w:r>
        <w:t xml:space="preserve"> </w:t>
      </w:r>
      <w:r>
        <w:t xml:space="preserve">shift and where OrgPath restores each — see</w:t>
      </w:r>
      <w:r>
        <w:t xml:space="preserve"> </w:t>
      </w:r>
      <w:hyperlink r:id="rId25">
        <w:r>
          <w:rPr>
            <w:rStyle w:val="Hyperlink"/>
          </w:rPr>
          <w:t xml:space="preserve">GPO-to-Cloud Governance Gaps</w:t>
        </w:r>
      </w:hyperlink>
      <w:r>
        <w:t xml:space="preserve">.</w:t>
      </w:r>
    </w:p>
    <w:bookmarkEnd w:id="26"/>
    <w:bookmarkStart w:id="27" w:name="microsoft-entra-connect-cloud-sync"/>
    <w:p>
      <w:pPr>
        <w:pStyle w:val="Heading3"/>
      </w:pPr>
      <w:r>
        <w:t xml:space="preserve">2.4 Microsoft Entra Connect / Cloud Sync</w:t>
      </w:r>
    </w:p>
    <w:tbl>
      <w:tblPr>
        <w:tblStyle w:val="Table"/>
        <w:tblW w:type="pct" w:w="4954"/>
        <w:tblLayout w:type="fixed"/>
        <w:tblLook w:firstRow="1" w:lastRow="0" w:firstColumn="0" w:lastColumn="0" w:noHBand="0" w:noVBand="0" w:val="0020"/>
      </w:tblPr>
      <w:tblGrid>
        <w:gridCol w:w="944"/>
        <w:gridCol w:w="69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(Cloud Sync is the recommended future direction)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Synchronizes identities (users, groups, devices) from on-premises AD to Entra ID. Password hash sync, pass-through auth, federation. Health monitoring via Entra Connect Health.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Doesn’t Do</w:t>
            </w:r>
            <w:r>
              <w:t xml:space="preserve"> </w:t>
            </w: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an assessment tool — it is a sync engine. No OU analysis, no GPO analysis, no DNS/PKI assessment, no security posture evaluation. Connect Health monitors sync health, not AD health.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ID P1 (Connect Health requires P1 or P2)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 logs, health alerts — no structured assessment output.</w:t>
            </w:r>
          </w:p>
        </w:tc>
      </w:tr>
    </w:tbl>
    <w:bookmarkEnd w:id="27"/>
    <w:bookmarkStart w:id="28" w:name="microsoft-defender-for-identity"/>
    <w:p>
      <w:pPr>
        <w:pStyle w:val="Heading3"/>
      </w:pPr>
      <w:r>
        <w:t xml:space="preserve">2.5 Microsoft Defender for Identity</w:t>
      </w:r>
    </w:p>
    <w:tbl>
      <w:tblPr>
        <w:tblStyle w:val="Table"/>
        <w:tblW w:type="pct" w:w="4972"/>
        <w:tblLayout w:type="fixed"/>
        <w:tblLook w:firstRow="1" w:lastRow="0" w:firstColumn="0" w:lastColumn="0" w:noHBand="0" w:noVBand="0" w:val="0020"/>
      </w:tblPr>
      <w:tblGrid>
        <w:gridCol w:w="578"/>
        <w:gridCol w:w="72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continuously updated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posture assessments via Microsoft Secure Score. Detects misconfigurations: unsecured SID History, weak cipher usage, dormant entities, insecure Kerberos delegation, LDAP signing, NTLM exposure, AdminSDHolder, print spooler risks. Real-time threat detection (credential theft, lateral movement, privilege escalation).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Doesn’t Do</w:t>
            </w:r>
            <w:r>
              <w:t xml:space="preserve"> </w:t>
            </w: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a comprehensive AD inventory tool. No forest topology export. No OU hierarchy analysis. No GPO inventory. No DNS zone assessment. No PKI/ADCS template analysis. No trust analysis. Security-focused only — no migration readiness assessment. No structured export for governance pipelines.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 Security or Defender for Identity standalone license (expensive)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Score dashboard, alerts — no JSON/CSV structured export for automation.</w:t>
            </w:r>
          </w:p>
        </w:tc>
      </w:tr>
    </w:tbl>
    <w:bookmarkEnd w:id="28"/>
    <w:bookmarkStart w:id="29" w:name="Xed8c7fd32c729595f9ce9fec5c505b080ae7aef"/>
    <w:p>
      <w:pPr>
        <w:pStyle w:val="Heading3"/>
      </w:pPr>
      <w:r>
        <w:t xml:space="preserve">2.6 Microsoft Security Compliance Toolkit (SCT)</w:t>
      </w:r>
    </w:p>
    <w:tbl>
      <w:tblPr>
        <w:tblStyle w:val="Table"/>
        <w:tblW w:type="pct" w:w="4963"/>
        <w:tblLayout w:type="fixed"/>
        <w:tblLook w:firstRow="1" w:lastRow="0" w:firstColumn="0" w:lastColumn="0" w:noHBand="0" w:noVBand="0" w:val="0020"/>
      </w:tblPr>
      <w:tblGrid>
        <w:gridCol w:w="759"/>
        <w:gridCol w:w="71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updated February 2026 (Windows Server 2025 baseline added)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Analyzer compares GPOs against Microsoft security baselines. LGPO applies/exports local policy. SetObjectSecurity manages permissions. Provides Windows 10/11, Server 2022/2025, Edge, M365 Apps baselines.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Doesn’t Do</w:t>
            </w:r>
            <w:r>
              <w:t xml:space="preserve"> </w:t>
            </w: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aseline comparison only — not a full GPO inventory tool. No OU analysis, no DNS, no PKI, no computer inventory, no user/group analysis, no trust mapping. Manual process — no automation pipeline. Windows GPOs only — no cross-platform.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comparison, GPO backup format — no structured JSON/API output.</w:t>
            </w:r>
          </w:p>
        </w:tc>
      </w:tr>
    </w:tbl>
    <w:bookmarkEnd w:id="29"/>
    <w:bookmarkStart w:id="30" w:name="active-directory-migration-tool-admt"/>
    <w:p>
      <w:pPr>
        <w:pStyle w:val="Heading3"/>
      </w:pPr>
      <w:r>
        <w:t xml:space="preserve">2.7 Active Directory Migration Tool (ADMT)</w:t>
      </w:r>
    </w:p>
    <w:tbl>
      <w:tblPr>
        <w:tblStyle w:val="Table"/>
        <w:tblW w:type="pct" w:w="4958"/>
        <w:tblLayout w:type="fixed"/>
        <w:tblLook w:firstRow="1" w:lastRow="0" w:firstColumn="0" w:lastColumn="0" w:noHBand="0" w:noVBand="0" w:val="0020"/>
      </w:tblPr>
      <w:tblGrid>
        <w:gridCol w:w="858"/>
        <w:gridCol w:w="69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Legacy, last major update for Server 2008 R2, still functions on newer 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Migrates AD objects (users, groups, computers) between domains/forests. SID history translation, password migration (PES), group membership preservation.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Doesn’t Do</w:t>
            </w:r>
            <w:r>
              <w:t xml:space="preserve"> </w:t>
            </w: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an assessment tool. No discovery, no inventory, no analysis. Requires Domain Admin in target, BUILTIN\Administrators in source. No GPO migration. No DNS migration. No PKI migration. SQL Server dependency.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 logs — no assessment artifacts.</w:t>
            </w:r>
          </w:p>
        </w:tc>
      </w:tr>
    </w:tbl>
    <w:bookmarkEnd w:id="30"/>
    <w:bookmarkStart w:id="31" w:name="microsoft-fasttrack"/>
    <w:p>
      <w:pPr>
        <w:pStyle w:val="Heading3"/>
      </w:pPr>
      <w:r>
        <w:t xml:space="preserve">2.8 Microsoft FastTrack</w:t>
      </w:r>
    </w:p>
    <w:tbl>
      <w:tblPr>
        <w:tblStyle w:val="Table"/>
        <w:tblW w:type="pct" w:w="4959"/>
        <w:tblLayout w:type="fixed"/>
        <w:tblLook w:firstRow="1" w:lastRow="0" w:firstColumn="0" w:lastColumn="0" w:noHBand="0" w:noVBand="0" w:val="0020"/>
      </w:tblPr>
      <w:tblGrid>
        <w:gridCol w:w="840"/>
        <w:gridCol w:w="701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service (not a tool)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Remote deployment guidance for Entra ID P1/P2, Conditional Access, MFA, PIM, Access Reviews, Lifecycle Workflows, Application Proxy, B2B, and Identity Governance. Provides architectural guidance and best practices.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Doesn’t Do</w:t>
            </w:r>
            <w:r>
              <w:t xml:space="preserve"> </w:t>
            </w: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 an assessment tool. Does not discover or inventory AD environments. Does not produce assessment artifacts. Guidance-only — no automation, no scripts, no structured output. Requires 150+ paid seats.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with qualifying M365/E5 licenses (150+ seats)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Guidance documents — no machine-readable output.</w:t>
            </w:r>
          </w:p>
        </w:tc>
      </w:tr>
    </w:tbl>
    <w:bookmarkEnd w:id="31"/>
    <w:bookmarkStart w:id="32" w:name="entra-connect-health"/>
    <w:p>
      <w:pPr>
        <w:pStyle w:val="Heading3"/>
      </w:pPr>
      <w:r>
        <w:t xml:space="preserve">2.9 Entra Connect Health</w:t>
      </w:r>
    </w:p>
    <w:tbl>
      <w:tblPr>
        <w:tblStyle w:val="Table"/>
        <w:tblW w:type="pct" w:w="4954"/>
        <w:tblLayout w:type="fixed"/>
        <w:tblLook w:firstRow="1" w:lastRow="0" w:firstColumn="0" w:lastColumn="0" w:noHBand="0" w:noVBand="0" w:val="0020"/>
      </w:tblPr>
      <w:tblGrid>
        <w:gridCol w:w="940"/>
        <w:gridCol w:w="690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Monitors sync health (Entra Connect), AD FS health, AD DS health. Alerts on sync failures, risky IP addresses, extranet lockouts, failed authentications against DCs.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Doesn’t Do</w:t>
            </w:r>
            <w:r>
              <w:t xml:space="preserve"> </w:t>
            </w: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ealth monitoring only — not an assessment tool. No inventory, no GPO analysis, no OU analysis, no DNS, no PKI, no trust analysis. Requires agent installation on each DC being monitored.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ID P1 or P2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dashboards, email alerts — no structured export.</w:t>
            </w:r>
          </w:p>
        </w:tc>
      </w:tr>
    </w:tbl>
    <w:bookmarkEnd w:id="32"/>
    <w:bookmarkStart w:id="33" w:name="Xa746acc1a9b015a05d3e14f76f6faad924f5960"/>
    <w:p>
      <w:pPr>
        <w:pStyle w:val="Heading3"/>
      </w:pPr>
      <w:r>
        <w:t xml:space="preserve">2.10 Microsoft Entra Health Monitoring (Preview)</w:t>
      </w:r>
    </w:p>
    <w:tbl>
      <w:tblPr>
        <w:tblStyle w:val="Table"/>
        <w:tblW w:type="pct" w:w="4935"/>
        <w:tblLayout w:type="fixed"/>
        <w:tblLook w:firstRow="1" w:lastRow="0" w:firstColumn="0" w:lastColumn="0" w:noHBand="0" w:noVBand="0" w:val="0020"/>
      </w:tblPr>
      <w:tblGrid>
        <w:gridCol w:w="1328"/>
        <w:gridCol w:w="648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 (as of April 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Tenant-level health signals, SLA attainment reporting, anomaly detection for authentication patterns.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Doesn’t Do</w:t>
            </w:r>
            <w:r>
              <w:t xml:space="preserve"> </w:t>
            </w: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loud-side only — no on-premises AD assessment. No forest/OU/GPO/DNS/PKI analysis. Tenant health, not migration readiness.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with Entra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only.</w:t>
            </w:r>
          </w:p>
        </w:tc>
      </w:tr>
    </w:tbl>
    <w:bookmarkEnd w:id="33"/>
    <w:bookmarkStart w:id="34" w:name="X36371ea4710a7ca8c42330e2ec1dafcfa0ac636"/>
    <w:p>
      <w:pPr>
        <w:pStyle w:val="Heading3"/>
      </w:pPr>
      <w:r>
        <w:t xml:space="preserve">2.11 Azure Policy / Azure Arc Guest Configuration</w:t>
      </w:r>
    </w:p>
    <w:tbl>
      <w:tblPr>
        <w:tblStyle w:val="Table"/>
        <w:tblW w:type="pct" w:w="4954"/>
        <w:tblLayout w:type="fixed"/>
        <w:tblLook w:firstRow="1" w:lastRow="0" w:firstColumn="0" w:lastColumn="0" w:noHBand="0" w:noVBand="0" w:val="0020"/>
      </w:tblPr>
      <w:tblGrid>
        <w:gridCol w:w="944"/>
        <w:gridCol w:w="690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assessment for Azure and Arc-enrolled servers. Guest Configuration can audit OS settings, registry, files, services. Built-in policy definitions for Windows security baselines.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Doesn’t Do</w:t>
            </w:r>
            <w:r>
              <w:t xml:space="preserve"> </w:t>
            </w: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equires Azure Arc enrollment first — not pre-migration assessment. No AD-specific analysis (no OU, GPO, trust, forest topology). Policy compliance, not discovery/inventory.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(basic), Azure Arc license for 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Policy compliance dashboard, Resource Graph queries — structured but Azure-only.</w:t>
            </w:r>
          </w:p>
        </w:tc>
      </w:tr>
    </w:tbl>
    <w:bookmarkEnd w:id="34"/>
    <w:bookmarkStart w:id="35" w:name="powershell-ad-module-rsat"/>
    <w:p>
      <w:pPr>
        <w:pStyle w:val="Heading3"/>
      </w:pPr>
      <w:r>
        <w:t xml:space="preserve">2.12 PowerShell AD Module + RSAT</w:t>
      </w:r>
    </w:p>
    <w:tbl>
      <w:tblPr>
        <w:tblStyle w:val="Table"/>
        <w:tblW w:type="pct" w:w="4962"/>
        <w:tblLayout w:type="fixed"/>
        <w:tblLook w:firstRow="1" w:lastRow="0" w:firstColumn="0" w:lastColumn="0" w:noHBand="0" w:noVBand="0" w:val="0020"/>
      </w:tblPr>
      <w:tblGrid>
        <w:gridCol w:w="785"/>
        <w:gridCol w:w="707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shipping with Server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programmatic access to AD — the same cmdlets UIAO uses. Get-ADForest, Get-ADDomain, Get-GPO, Get-GPOReport, Get-ADComputer, Get-ADUser, Get-ADGroup, Get-DnsServerZone,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Doesn’t Do</w:t>
            </w:r>
            <w:r>
              <w:t xml:space="preserve"> </w:t>
            </w: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 building blocks, not a solution. No orchestration, no structured output pipeline, no governance framework, no drift detection, no reporting, no Gitea integration. Every organization must build their own assessment from scratch.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(included with RSAT)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Output 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 objects — whatever you build.</w:t>
            </w:r>
          </w:p>
        </w:tc>
      </w:tr>
    </w:tbl>
    <w:bookmarkEnd w:id="35"/>
    <w:bookmarkEnd w:id="36"/>
    <w:bookmarkStart w:id="37" w:name="the-capability-matrix"/>
    <w:p>
      <w:pPr>
        <w:pStyle w:val="Heading2"/>
      </w:pPr>
      <w:r>
        <w:t xml:space="preserve">3. The Capability Matrix</w:t>
      </w:r>
    </w:p>
    <w:p>
      <w:pPr>
        <w:pStyle w:val="FirstParagraph"/>
      </w:pPr>
      <w:r>
        <w:t xml:space="preserve">The following matrix maps every UIAO assessment domain against the Microsoft tools that provide coverage, the level of that coverage, and the specific gap description.</w:t>
      </w:r>
    </w:p>
    <w:tbl>
      <w:tblPr>
        <w:tblStyle w:val="Table"/>
        <w:tblW w:type="pct" w:w="4982"/>
        <w:tblLayout w:type="fixed"/>
        <w:tblLook w:firstRow="1" w:lastRow="0" w:firstColumn="0" w:lastColumn="0" w:noHBand="0" w:noVBand="0" w:val="0020"/>
      </w:tblPr>
      <w:tblGrid>
        <w:gridCol w:w="1177"/>
        <w:gridCol w:w="1934"/>
        <w:gridCol w:w="2481"/>
        <w:gridCol w:w="294"/>
        <w:gridCol w:w="20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Assessment 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UIAO Assessment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Microsoft Tool(s) That Cover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Coverage 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Forest Topology</w:t>
            </w:r>
            <w:r>
              <w:t xml:space="preserve"> </w:t>
            </w:r>
            <w:r>
              <w:t xml:space="preserve">(domains, DCs, functional levels, FSMO roles, sites, subnets)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JSON export via Invoke-UIAOADAssessment. Structured, versioned, Git-committed.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 RSAT (raw cmdlets); Azure Migrate (server discovery, not AD topology); Defender for Identity (monitors DCs, doesn’t export topology)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*Partial**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Microsoft tool produces a structured, versioned forest topology artifact suitable for governance tracking.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 Hierarchy &amp; Delegation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recursive tree with GPO links, object counts, delegation ACLs.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ADMT reads OUs for migration but doesn’t assess them.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*None**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omplete gap. Organizations must manually document OU structure.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GPO Inventory &amp; Settings Decomposition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inventory via Get-GPOReport XML, link analysis, WMI filter mapping, conflict detection, unlinked/empty GPO identification, backup.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Policy Analytics (Intune) — Windows 10/11 client MDM subset. SCT PolicyAnalyzer — baseline comparison 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Microsoft tool provides cross-GPO conflict detection, scope analysis, WMI filter correlation, or structured GPO inventory for governance.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DNS Zone &amp; Record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zone inventory, record enumeration, DNSSEC status, stale record detection, scavenging config, SRV validation.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Azure DNS is cloud-only.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gap. DNS assessment is entirely custom.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PKI/ADCS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 discovery, template inventory, ESC1–ESC8 vulnerability patterns, CRL/AIA/OCSP, auto-enrollment config.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Defender for Identity — detects some ADCS misconfigurations (ESC patterns) via Secure Score. No comprehensive template inventory or PKI health assessment.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Defender for Identity covers security findings but not operational PKI health or migration readiness.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Computer Object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extraction with OS classification, stale detection, SPN inventory, delegation analysis, LAPS/BitLocker detection.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Migrate (server discovery with OS/hardware). MAP Toolkit (deprecated, similar).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inventory exists; AD-specific computer governance attributes (delegation, SPNs, group memberships) do not.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 &amp; Group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Privileged user identification, AdminSDHolder analysis, service account detection (MSA/gMSA), circular nesting, Kerberoastable SPNs.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Defender for Identity (dormant entities, privileged account risks, Kerberoast exposure). Entra Connect (syncs users/groups).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findings exist; comprehensive user/group governance inventory does not.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Trust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Direction/type analysis, SID filtering status, selective authentication, cross-forest enumeration.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Defender for Identity detects some trust-related attacks but doesn’t inventory/analyze trusts.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*None**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omplete gap.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ACL/Delegation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OU-level delegation audit, AdminSDHolder capture, dangerous permission patterns.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Defender for Identity — detects some dangerous delegations. No comprehensive ACL export or analysis tool.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alerting exists; comprehensive delegation audit does not.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Cross-Domain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Correlates findings across all 9 domains above into a unified assessment manifest.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Microsoft’s tools are completely siloed. GPO Analytics doesn’t know about Azure Migrate findings. Defender for Identity doesn’t correlate with DNS assessment. **N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one** 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plete gap. This is UIAO’s primary unique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Governance Pipeline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→ JSON artifacts → Gitea commit → drift detection → remediation tracking → SLA enforcement.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None. Each tool has its own portal/dashboard. No Microsoft tool produces governance artifacts for a Git pipeline.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gap. This is the core of UIAO Governance 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Drift Detection &amp; Continuous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re-assessment with diff against baseline, Gitea-tracked changes, issue creation on drift.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Defender for Identity (continuous security monitoring). Entra Connect Health (sync monitoring). Neither provides governance drift detection against a canonical desired state.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monitoring exists; governance drift detection does not.</w:t>
            </w:r>
          </w:p>
        </w:tc>
      </w:tr>
    </w:tbl>
    <w:bookmarkEnd w:id="37"/>
    <w:bookmarkStart w:id="40" w:name="the-gap-analysis-summary"/>
    <w:p>
      <w:pPr>
        <w:pStyle w:val="Heading2"/>
      </w:pPr>
      <w:r>
        <w:t xml:space="preserve">4. The Gap Analysis Summary</w:t>
      </w:r>
    </w:p>
    <w:tbl>
      <w:tblPr>
        <w:tblStyle w:val="Table"/>
        <w:tblW w:type="pct" w:w="4940"/>
        <w:tblLayout w:type="fixed"/>
        <w:tblLook w:firstRow="1" w:lastRow="0" w:firstColumn="0" w:lastColumn="0" w:noHBand="0" w:noVBand="0" w:val="0020"/>
      </w:tblPr>
      <w:tblGrid>
        <w:gridCol w:w="1470"/>
        <w:gridCol w:w="1802"/>
        <w:gridCol w:w="948"/>
        <w:gridCol w:w="36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Microsoft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UIAO Coverage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Infrastructure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(Azure Migrate + MAP)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adequate for server inventory; UIAO adds AD-specific attributes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GPO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(Group Policy Analytics + SCT)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covers MDM migration subset; UIAO covers full GPO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Posture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60% (Defender for Identity)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strong on threat detection; UIAO adds governance correlation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DNS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UIAO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PKI/ADCS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 (Defender for Identity 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UIAO significantly ahead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Trust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UIAO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 &amp; Delegation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UIAO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Cross-Domain Correlation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UIAO’s core differentiator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Governance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UIAO’s fundamental value proposition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Drift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 (security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UIAO covers governance drift, not just security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38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important.png" id="39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13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Overall Assessment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Microsoft tools cover approximately</w:t>
            </w:r>
            <w:r>
              <w:t xml:space="preserve"> </w:t>
            </w:r>
            <w:r>
              <w:rPr>
                <w:b/>
                <w:bCs/>
              </w:rPr>
              <w:t xml:space="preserve">22%</w:t>
            </w:r>
            <w:r>
              <w:t xml:space="preserve"> </w:t>
            </w:r>
            <w:r>
              <w:t xml:space="preserve">of the total UIAO assessment surface when governance pipeline, cross-correlation, and drift detection requirements are factored in (the unweighted average of all ten categories above). For pure technical discovery without governance, Microsoft covers approximately</w:t>
            </w:r>
            <w:r>
              <w:t xml:space="preserve"> </w:t>
            </w:r>
            <w:r>
              <w:rPr>
                <w:b/>
                <w:bCs/>
              </w:rPr>
              <w:t xml:space="preserve">30%</w:t>
            </w:r>
            <w:r>
              <w:t xml:space="preserve"> </w:t>
            </w:r>
            <w:r>
              <w:t xml:space="preserve">(the unweighted average of the seven discovery categories, excluding cross-domain correlation, governance pipeline, and drift detection). Both figures are illustrative estimates derived from this paper’s domain matrix, not canonical measurements.</w:t>
            </w:r>
          </w:p>
          <w:p/>
        </w:tc>
      </w:tr>
    </w:tbl>
    <w:bookmarkEnd w:id="40"/>
    <w:bookmarkStart w:id="45" w:name="third-party-tool-landscape"/>
    <w:p>
      <w:pPr>
        <w:pStyle w:val="Heading2"/>
      </w:pPr>
      <w:r>
        <w:t xml:space="preserve">5. Third-Party Tool Landscape</w:t>
      </w:r>
    </w:p>
    <w:p>
      <w:pPr>
        <w:pStyle w:val="FirstParagraph"/>
      </w:pPr>
      <w:r>
        <w:t xml:space="preserve">Beyond Microsoft’s native tools, several third-party solutions overlap with portions of UIAO’s assessment capabilities. Understanding their strengths and limitations informs UIAO’s positioning and integration strategy.</w:t>
      </w:r>
    </w:p>
    <w:bookmarkStart w:id="41" w:name="adrecon-open-source"/>
    <w:p>
      <w:pPr>
        <w:pStyle w:val="Heading3"/>
      </w:pPr>
      <w:r>
        <w:t xml:space="preserve">5.1 ADRecon (Open Source)</w:t>
      </w:r>
    </w:p>
    <w:tbl>
      <w:tblPr>
        <w:tblStyle w:val="Table"/>
        <w:tblW w:type="pct" w:w="4961"/>
        <w:tblLayout w:type="fixed"/>
        <w:tblLook w:firstRow="1" w:lastRow="0" w:firstColumn="0" w:lastColumn="0" w:noHBand="0" w:noVBand="0" w:val="0020"/>
      </w:tblPr>
      <w:tblGrid>
        <w:gridCol w:w="742"/>
        <w:gridCol w:w="711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PowerShell-based AD reconnaissance. Extracts forest, domain, trusts, sites, OUs, GPOs, DNS, users, groups, computers, SPNs, ACLs, LAPS, BitLocker. Generates Excel reports.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Overlap with UIAO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ADRecon’s data collection scope is very similar to UIAO’s assessment module.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UIAO Adds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pipeline (Gitea integration), machine-readable JSON output (not just Excel), drift detection, remediation tracking, SLA enforcement, canonical artifact management, OrgPath mapping, modernization planning correlation.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ADRecon is the closest open-source equivalent for data collection. UIAO provides the governance layer above it.</w:t>
            </w:r>
          </w:p>
        </w:tc>
      </w:tr>
    </w:tbl>
    <w:bookmarkEnd w:id="41"/>
    <w:bookmarkStart w:id="42" w:name="pingcastle"/>
    <w:p>
      <w:pPr>
        <w:pStyle w:val="Heading3"/>
      </w:pPr>
      <w:r>
        <w:t xml:space="preserve">5.2 PingCastle</w:t>
      </w:r>
    </w:p>
    <w:tbl>
      <w:tblPr>
        <w:tblStyle w:val="Table"/>
        <w:tblW w:type="pct" w:w="4939"/>
        <w:tblLayout w:type="fixed"/>
        <w:tblLook w:firstRow="1" w:lastRow="0" w:firstColumn="0" w:lastColumn="0" w:noHBand="0" w:noVBand="0" w:val="0020"/>
      </w:tblPr>
      <w:tblGrid>
        <w:gridCol w:w="1152"/>
        <w:gridCol w:w="66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security health check with risk scoring. Analyzes configurations, detects insecure settings, generates HTML reports with risk levels.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Overlap with UIAO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  <w:r>
              <w:t xml:space="preserve"> </w:t>
            </w:r>
            <w:r>
              <w:t xml:space="preserve">— security assessment overlap but PingCastle is security-focused, not governance-focused.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UIAO Adds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pipeline, migration planning, non-security assessment domains (DNS, PKI templates, OU design), cross-domain correlation.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Complementary — PingCastle for security scoring, UIAO for governance.</w:t>
            </w:r>
          </w:p>
        </w:tc>
      </w:tr>
    </w:tbl>
    <w:bookmarkEnd w:id="42"/>
    <w:bookmarkStart w:id="43" w:name="bloodhound-specterops"/>
    <w:p>
      <w:pPr>
        <w:pStyle w:val="Heading3"/>
      </w:pPr>
      <w:r>
        <w:t xml:space="preserve">5.3 BloodHound (SpecterOps)</w:t>
      </w:r>
    </w:p>
    <w:tbl>
      <w:tblPr>
        <w:tblStyle w:val="Table"/>
        <w:tblW w:type="pct" w:w="4932"/>
        <w:tblLayout w:type="fixed"/>
        <w:tblLook w:firstRow="1" w:lastRow="0" w:firstColumn="0" w:lastColumn="0" w:noHBand="0" w:noVBand="0" w:val="0020"/>
      </w:tblPr>
      <w:tblGrid>
        <w:gridCol w:w="1301"/>
        <w:gridCol w:w="650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 path mapping using graph theory. Identifies privilege escalation paths, dangerous ACLs, Kerberoasting targets.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Overlap with UIAO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LOW</w:t>
            </w:r>
            <w:r>
              <w:t xml:space="preserve"> </w:t>
            </w:r>
            <w:r>
              <w:t xml:space="preserve">— BloodHound is offensive security tooling, not governance.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UIAO Adds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except attack path visualization.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purpose entirely. BloodHound for penetration testing, UIAO for operational governance.</w:t>
            </w:r>
          </w:p>
        </w:tc>
      </w:tr>
    </w:tbl>
    <w:bookmarkEnd w:id="43"/>
    <w:bookmarkStart w:id="44" w:name="purple-knight-semperis"/>
    <w:p>
      <w:pPr>
        <w:pStyle w:val="Heading3"/>
      </w:pPr>
      <w:r>
        <w:t xml:space="preserve">5.4 Purple Knight (Semperis)</w:t>
      </w:r>
    </w:p>
    <w:tbl>
      <w:tblPr>
        <w:tblStyle w:val="Table"/>
        <w:tblW w:type="pct" w:w="4918"/>
        <w:tblLayout w:type="fixed"/>
        <w:tblLook w:firstRow="1" w:lastRow="0" w:firstColumn="0" w:lastColumn="0" w:noHBand="0" w:noVBand="0" w:val="0020"/>
      </w:tblPr>
      <w:tblGrid>
        <w:gridCol w:w="1558"/>
        <w:gridCol w:w="623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security assessment with 150+ security indicators. Pre/post-migration security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Overlap with UIAO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MODERATE</w:t>
            </w:r>
            <w:r>
              <w:t xml:space="preserve"> </w:t>
            </w:r>
            <w:r>
              <w:t xml:space="preserve">— security indicator overlap.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 UIAO Adds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pipeline, migration planning, operational assessment domains.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Positioning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Complementary.</w:t>
            </w:r>
          </w:p>
        </w:tc>
      </w:tr>
    </w:tbl>
    <w:bookmarkEnd w:id="44"/>
    <w:bookmarkEnd w:id="45"/>
    <w:bookmarkStart w:id="52" w:name="uiao-positioning-framework"/>
    <w:p>
      <w:pPr>
        <w:pStyle w:val="Heading2"/>
      </w:pPr>
      <w:r>
        <w:t xml:space="preserve">6. UIAO Positioning Framework</w:t>
      </w:r>
    </w:p>
    <w:bookmarkStart w:id="49" w:name="the-orchestration-layer-pattern"/>
    <w:p>
      <w:pPr>
        <w:pStyle w:val="Heading3"/>
      </w:pPr>
      <w:r>
        <w:t xml:space="preserve">6.1 The Orchestration Layer Pattern</w:t>
      </w:r>
    </w:p>
    <w:p>
      <w:pPr>
        <w:pStyle w:val="FirstParagraph"/>
      </w:pPr>
      <w:r>
        <w:t xml:space="preserve">UIAO operates as an orchestration layer that sits above Microsoft’s native tools, consuming their output and providing the governance fabric that connects them into a unified pipeline.</w:t>
      </w:r>
    </w:p>
    <w:tbl>
      <w:tblPr>
        <w:tblStyle w:val="Table"/>
        <w:tblW w:type="pct" w:w="4966"/>
        <w:tblLayout w:type="fixed"/>
        <w:tblLook w:firstRow="1" w:lastRow="0" w:firstColumn="0" w:lastColumn="0" w:noHBand="0" w:noVBand="0" w:val="0020"/>
      </w:tblPr>
      <w:tblGrid>
        <w:gridCol w:w="1146"/>
        <w:gridCol w:w="2853"/>
        <w:gridCol w:w="386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Top Layer: Governance Outcomes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Dashboard, Migration Readiness Score, Drift Reports, Remediation Status, Owner 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actionable intelligence that governance stakeholders consume. Evidence for ATO, compliance reporting, executive visibility.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Middle Layer: UIAO Governance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Module, Canonical Artifacts, Drift Detection, Remediation Pipeline, SLA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orchestration engine that transforms raw tool output into governance-grade artifacts with provenance, version control, and accountability.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Bottom Layer: Microsoft Native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Migrate, Group Policy Analytics, Defender for Identity, Entra Connect, SCT, ADMT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solutions that produce raw technical data. Excellent at their individual domains but disconnected from each other.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47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tip.png" id="48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46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Metaphor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“Microsoft provides the instruments. UIAO provides the orchestra.”</w:t>
            </w:r>
          </w:p>
          <w:p/>
        </w:tc>
      </w:tr>
    </w:tbl>
    <w:bookmarkEnd w:id="49"/>
    <w:bookmarkStart w:id="50" w:name="the-consumption-model"/>
    <w:p>
      <w:pPr>
        <w:pStyle w:val="Heading3"/>
      </w:pPr>
      <w:r>
        <w:t xml:space="preserve">6.2 The Consumption Model</w:t>
      </w:r>
    </w:p>
    <w:p>
      <w:pPr>
        <w:pStyle w:val="FirstParagraph"/>
      </w:pPr>
      <w:r>
        <w:t xml:space="preserve">UIAO does not replace Microsoft’s tools — it consumes their output: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2376"/>
        <w:gridCol w:w="53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Microsoft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UIAO Consumption 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Migrate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server discovery data as computer inventory supplement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Policy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MDM readiness percentages; feed into GPO migration tracker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Defender for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Secure Score findings as security assessment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Entra Connect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sync status into governance health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Compliance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baseline comparisons into GPO compliance scoring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Policy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Arc-enrolled server compliance into drift detection</w:t>
            </w:r>
          </w:p>
        </w:tc>
      </w:tr>
    </w:tbl>
    <w:bookmarkEnd w:id="50"/>
    <w:bookmarkStart w:id="51" w:name="the-scuba-parallel"/>
    <w:p>
      <w:pPr>
        <w:pStyle w:val="Heading3"/>
      </w:pPr>
      <w:r>
        <w:t xml:space="preserve">6.3 The SCuBA Parallel</w:t>
      </w:r>
    </w:p>
    <w:p>
      <w:pPr>
        <w:pStyle w:val="FirstParagraph"/>
      </w:pPr>
      <w:r>
        <w:t xml:space="preserve">The explicit parallel between UIAO’s two complementary orchestration relationships:</w:t>
      </w:r>
    </w:p>
    <w:tbl>
      <w:tblPr>
        <w:tblStyle w:val="Table"/>
        <w:tblW w:type="pct" w:w="4951"/>
        <w:tblLayout w:type="fixed"/>
        <w:tblLook w:firstRow="1" w:lastRow="0" w:firstColumn="0" w:lastColumn="0" w:noHBand="0" w:noVBand="0" w:val="0020"/>
      </w:tblPr>
      <w:tblGrid>
        <w:gridCol w:w="1153"/>
        <w:gridCol w:w="3344"/>
        <w:gridCol w:w="33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UIAO SCuBA vs. CISA ScubaGear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UIAO AD Assessment vs. Microsoft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Complementary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Complementary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Microsoft Tool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compliance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discovery/assessment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UIAO Provides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desired state, drift detection, remediation orchestration, SLA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desired state, drift detection, remediation orchestration, SLA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ScubaGear JSON → UIAO governance artifacts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PowerShell/API JSON → UIAO governance artifacts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Unique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Machine-trackable governance provenance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Machine-trackable governance provenance</w:t>
            </w:r>
          </w:p>
        </w:tc>
      </w:tr>
    </w:tbl>
    <w:bookmarkEnd w:id="51"/>
    <w:bookmarkEnd w:id="52"/>
    <w:bookmarkStart w:id="53" w:name="what-uiao-should-consume-vs.-build"/>
    <w:p>
      <w:pPr>
        <w:pStyle w:val="Heading2"/>
      </w:pPr>
      <w:r>
        <w:t xml:space="preserve">7. What UIAO Should Consume vs. Build</w:t>
      </w:r>
    </w:p>
    <w:p>
      <w:pPr>
        <w:pStyle w:val="FirstParagraph"/>
      </w:pPr>
      <w:r>
        <w:t xml:space="preserve">Strategic recommendations for each assessment domain — whether UIAO should consume existing Microsoft tool output or build its own capability:</w:t>
      </w:r>
    </w:p>
    <w:tbl>
      <w:tblPr>
        <w:tblStyle w:val="Table"/>
        <w:tblW w:type="pct" w:w="4935"/>
        <w:tblLayout w:type="fixed"/>
        <w:tblLook w:firstRow="1" w:lastRow="0" w:firstColumn="0" w:lastColumn="0" w:noHBand="0" w:noVBand="0" w:val="0020"/>
      </w:tblPr>
      <w:tblGrid>
        <w:gridCol w:w="1449"/>
        <w:gridCol w:w="2329"/>
        <w:gridCol w:w="40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Assessment 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Recommendation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Server 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CONSUME</w:t>
            </w:r>
            <w:r>
              <w:t xml:space="preserve"> </w:t>
            </w:r>
            <w:r>
              <w:t xml:space="preserve">Azure Migrate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Migrate is superior for hardware/VM discovery. No need to rebuild.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GPO MDM Readiness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CONSUME</w:t>
            </w:r>
            <w:r>
              <w:t xml:space="preserve"> </w:t>
            </w:r>
            <w:r>
              <w:t xml:space="preserve">Group Policy Analytics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into Intune, already does MDM mapping well.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Posture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CONSUME</w:t>
            </w:r>
            <w:r>
              <w:t xml:space="preserve"> </w:t>
            </w:r>
            <w:r>
              <w:t xml:space="preserve">Defender for Identity findings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 customers already have this; supplement with UIAO’s broader assessment.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Baselines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CONSUME</w:t>
            </w:r>
            <w:r>
              <w:t xml:space="preserve"> </w:t>
            </w:r>
            <w:r>
              <w:t xml:space="preserve">SCT PolicyAnalyzer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Free, well-maintained, authoritative.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Forest Topology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</w:t>
            </w:r>
            <w:r>
              <w:t xml:space="preserve"> </w:t>
            </w:r>
            <w:r>
              <w:t xml:space="preserve">in UIAO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Microsoft tool covers this. Zero overlap.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 Hierarchy &amp; Delegation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</w:t>
            </w:r>
            <w:r>
              <w:t xml:space="preserve"> </w:t>
            </w:r>
            <w:r>
              <w:t xml:space="preserve">in UIAO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Microsoft tool covers this. Zero overlap.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GPO Full 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</w:t>
            </w:r>
            <w:r>
              <w:t xml:space="preserve"> </w:t>
            </w:r>
            <w:r>
              <w:t xml:space="preserve">in UIAO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Policy Analytics only covers client MDM subset.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 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</w:t>
            </w:r>
            <w:r>
              <w:t xml:space="preserve"> </w:t>
            </w:r>
            <w:r>
              <w:t xml:space="preserve">in UIAO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Microsoft tool covers this. Zero overlap.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PKI/ADCS Assessment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</w:t>
            </w:r>
            <w:r>
              <w:t xml:space="preserve"> </w:t>
            </w:r>
            <w:r>
              <w:t xml:space="preserve">in UIAO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Defender for Identity covers security subset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</w:t>
            </w:r>
            <w:r>
              <w:t xml:space="preserve"> </w:t>
            </w:r>
            <w:r>
              <w:t xml:space="preserve">in UIAO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Microsoft tool covers this. Zero overlap.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Cross-Domain Correlation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</w:t>
            </w:r>
            <w:r>
              <w:t xml:space="preserve"> </w:t>
            </w:r>
            <w:r>
              <w:t xml:space="preserve">in UIAO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UIAO’s core differentiator.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</w:t>
            </w:r>
            <w:r>
              <w:t xml:space="preserve"> </w:t>
            </w:r>
            <w:r>
              <w:t xml:space="preserve">in UIAO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is UIAO’s fundamental value proposition.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Drift Detection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</w:t>
            </w:r>
            <w:r>
              <w:t xml:space="preserve"> </w:t>
            </w:r>
            <w:r>
              <w:t xml:space="preserve">in UIAO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drift monitoring exists; governance drift does not.</w:t>
            </w:r>
          </w:p>
        </w:tc>
      </w:tr>
    </w:tbl>
    <w:bookmarkEnd w:id="53"/>
    <w:bookmarkStart w:id="57" w:name="competitive-messaging"/>
    <w:p>
      <w:pPr>
        <w:pStyle w:val="Heading2"/>
      </w:pPr>
      <w:r>
        <w:t xml:space="preserve">8. Competitive Messaging</w:t>
      </w:r>
    </w:p>
    <w:bookmarkStart w:id="54" w:name="for-vcs-and-analysts"/>
    <w:p>
      <w:pPr>
        <w:pStyle w:val="Heading3"/>
      </w:pPr>
      <w:r>
        <w:t xml:space="preserve">8.1 For VCs and Analysts</w:t>
      </w:r>
    </w:p>
    <w:tbl>
      <w:tblPr>
        <w:tblStyle w:val="Table"/>
        <w:tblW w:type="pct" w:w="4980"/>
        <w:tblLayout w:type="fixed"/>
        <w:tblLook w:firstRow="0" w:lastRow="0" w:firstColumn="0" w:lastColumn="0" w:noHBand="0" w:noVBand="0" w:val="0000"/>
      </w:tblPr>
      <w:tblGrid>
        <w:gridCol w:w="7888"/>
      </w:tblGrid>
      <w:tr>
        <w:tc>
          <w:tcPr/>
          <w:p>
            <w:pPr>
              <w:pStyle w:val="Compact"/>
              <w:jc w:val="left"/>
            </w:pPr>
            <w:r>
              <w:t xml:space="preserve">“Microsoft provides 12 assessment tools that each solve a piece of the AD modernization puzzle. But no organization can build a governance program from 12 disconnected dashboards. UIAO Governance OS is the canonical layer that ties them together — consuming their outputs, tracking drift against desired state, enforcing SLAs, and giving every governance artifact a machine-trackable provenance chain. We’re not competing with Microsoft’s tools. We’re making them useful for governance.”</w:t>
            </w:r>
          </w:p>
        </w:tc>
      </w:tr>
    </w:tbl>
    <w:bookmarkEnd w:id="54"/>
    <w:bookmarkStart w:id="55" w:name="for-federal-customers"/>
    <w:p>
      <w:pPr>
        <w:pStyle w:val="Heading3"/>
      </w:pPr>
      <w:r>
        <w:t xml:space="preserve">8.2 For Federal Customers</w:t>
      </w:r>
    </w:p>
    <w:tbl>
      <w:tblPr>
        <w:tblStyle w:val="Table"/>
        <w:tblW w:type="pct" w:w="4973"/>
        <w:tblLayout w:type="fixed"/>
        <w:tblLook w:firstRow="0" w:lastRow="0" w:firstColumn="0" w:lastColumn="0" w:noHBand="0" w:noVBand="0" w:val="0000"/>
      </w:tblPr>
      <w:tblGrid>
        <w:gridCol w:w="7877"/>
      </w:tblGrid>
      <w:tr>
        <w:tc>
          <w:tcPr/>
          <w:p>
            <w:pPr>
              <w:pStyle w:val="Compact"/>
              <w:jc w:val="left"/>
            </w:pPr>
            <w:r>
              <w:t xml:space="preserve">“Your ATO process requires evidence that every configuration change is tracked, every deviation is detected, and every remediation is time-bound. Microsoft’s tools produce excellent technical data. UIAO transforms that data into the compliance evidence your assessors need — version-controlled in Git, traceable to canonical policy, and auditable end-to-end.”</w:t>
            </w:r>
          </w:p>
        </w:tc>
      </w:tr>
    </w:tbl>
    <w:bookmarkEnd w:id="55"/>
    <w:bookmarkStart w:id="56" w:name="for-legacy-engineers"/>
    <w:p>
      <w:pPr>
        <w:pStyle w:val="Heading3"/>
      </w:pPr>
      <w:r>
        <w:t xml:space="preserve">8.3 For Legacy Engineers</w:t>
      </w:r>
    </w:p>
    <w:tbl>
      <w:tblPr>
        <w:tblStyle w:val="Table"/>
        <w:tblW w:type="pct" w:w="4971"/>
        <w:tblLayout w:type="fixed"/>
        <w:tblLook w:firstRow="0" w:lastRow="0" w:firstColumn="0" w:lastColumn="0" w:noHBand="0" w:noVBand="0" w:val="0000"/>
      </w:tblPr>
      <w:tblGrid>
        <w:gridCol w:w="7873"/>
      </w:tblGrid>
      <w:tr>
        <w:tc>
          <w:tcPr/>
          <w:p>
            <w:pPr>
              <w:pStyle w:val="Compact"/>
              <w:jc w:val="left"/>
            </w:pPr>
            <w:r>
              <w:t xml:space="preserve">“You know PowerShell. You know AD. You’ve probably built your own assessment scripts. UIAO standardizes what you’ve been doing ad hoc — same PowerShell, same RSAT cmdlets, but with structured JSON output, automatic Gitea commits, drift detection, and a governance pipeline that makes your assessment work reusable and auditable.”</w:t>
            </w:r>
          </w:p>
        </w:tc>
      </w:tr>
    </w:tbl>
    <w:bookmarkEnd w:id="56"/>
    <w:bookmarkEnd w:id="57"/>
    <w:bookmarkStart w:id="61" w:name="integration-architecture"/>
    <w:p>
      <w:pPr>
        <w:pStyle w:val="Heading2"/>
      </w:pPr>
      <w:r>
        <w:t xml:space="preserve">9. Integration Architecture</w:t>
      </w:r>
    </w:p>
    <w:bookmarkStart w:id="59" w:name="import-adapters-implemented"/>
    <w:p>
      <w:pPr>
        <w:pStyle w:val="Heading3"/>
      </w:pPr>
      <w:r>
        <w:t xml:space="preserve">9.1 Import Adapters (Implemented)</w:t>
      </w:r>
    </w:p>
    <w:p>
      <w:pPr>
        <w:pStyle w:val="FirstParagraph"/>
      </w:pPr>
      <w:r>
        <w:t xml:space="preserve">The import adapters described conceptually in earlier revisions of this paper are now implemented as the</w:t>
      </w:r>
      <w:r>
        <w:t xml:space="preserve"> </w:t>
      </w:r>
      <w:r>
        <w:rPr>
          <w:b/>
          <w:bCs/>
        </w:rPr>
        <w:t xml:space="preserve">UIAOImportAdapters</w:t>
      </w:r>
      <w:r>
        <w:t xml:space="preserve"> </w:t>
      </w:r>
      <w:r>
        <w:t xml:space="preserve">PowerShell module (</w:t>
      </w:r>
      <w:r>
        <w:rPr>
          <w:rStyle w:val="VerbatimChar"/>
        </w:rPr>
        <w:t xml:space="preserve">tools/powershell/UIAOImportAdapters/</w:t>
      </w:r>
      <w:r>
        <w:t xml:space="preserve">, shipped as</w:t>
      </w:r>
      <w:r>
        <w:t xml:space="preserve"> </w:t>
      </w:r>
      <w:r>
        <w:rPr>
          <w:rStyle w:val="VerbatimChar"/>
        </w:rPr>
        <w:t xml:space="preserve">.psd1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.psm1</w:t>
      </w:r>
      <w:r>
        <w:t xml:space="preserve"> </w:t>
      </w:r>
      <w:r>
        <w:t xml:space="preserve">with Pester tests wired into CI), governed by the canon specification</w:t>
      </w:r>
      <w:r>
        <w:t xml:space="preserve"> </w:t>
      </w:r>
      <w:r>
        <w:rPr>
          <w:b/>
          <w:bCs/>
        </w:rPr>
        <w:t xml:space="preserve">UIAO_182</w:t>
      </w:r>
      <w:r>
        <w:t xml:space="preserve"> </w:t>
      </w:r>
      <w:r>
        <w:t xml:space="preserve">and positioned by ADR-094 as a producer in the assessment-to-plan toolchain. This closes the gap the OrgPath narrative named in</w:t>
      </w:r>
      <w:r>
        <w:t xml:space="preserve"> </w:t>
      </w:r>
      <w:hyperlink r:id="rId58">
        <w:r>
          <w:rPr>
            <w:rStyle w:val="Hyperlink"/>
          </w:rPr>
          <w:t xml:space="preserve">Book 15,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“The Gap That Remains”</w:t>
        </w:r>
      </w:hyperlink>
      <w:r>
        <w:t xml:space="preserve">. The module normalizes heterogeneous third-party assessment output into the UIAO schema so that downstream correlation, drift detection, and plan generation operate over one canonical assessment shape rather than vendor-specific exports.</w:t>
      </w:r>
    </w:p>
    <w:p>
      <w:pPr>
        <w:pStyle w:val="BodyText"/>
      </w:pPr>
      <w:r>
        <w:t xml:space="preserve">The architectural contract is deliberately file-path-based: every importer consumes an already-produced report via</w:t>
      </w:r>
      <w:r>
        <w:t xml:space="preserve"> </w:t>
      </w:r>
      <w:r>
        <w:rPr>
          <w:rStyle w:val="VerbatimChar"/>
        </w:rPr>
        <w:t xml:space="preserve">-ReportPath</w:t>
      </w:r>
      <w:r>
        <w:t xml:space="preserve"> </w:t>
      </w:r>
      <w:r>
        <w:t xml:space="preserve">and writes normalized JSON via</w:t>
      </w:r>
      <w:r>
        <w:t xml:space="preserve"> </w:t>
      </w:r>
      <w:r>
        <w:rPr>
          <w:rStyle w:val="VerbatimChar"/>
        </w:rPr>
        <w:t xml:space="preserve">-OutputPath</w:t>
      </w:r>
      <w:r>
        <w:t xml:space="preserve">.</w:t>
      </w:r>
      <w:r>
        <w:t xml:space="preserve"> </w:t>
      </w:r>
      <w:r>
        <w:rPr>
          <w:b/>
          <w:bCs/>
        </w:rPr>
        <w:t xml:space="preserve">The module never reaches a live API.</w:t>
      </w:r>
      <w:r>
        <w:t xml:space="preserve"> </w:t>
      </w:r>
      <w:r>
        <w:t xml:space="preserve">An operator (or another tool) exports the report from Azure Migrate, Intune, Defender for Identity, ScubaGear, or ADRecon; the adapter ingests the exported file. This keeps the ingestion surface read-only, credential-free, and auditable within the M365 GCC-Moderate boundary.</w:t>
      </w:r>
    </w:p>
    <w:p>
      <w:pPr>
        <w:pStyle w:val="BodyText"/>
      </w:pPr>
      <w:r>
        <w:t xml:space="preserve">The canonical function roster (per UIAO_182):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Consumed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Normalized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Import-UIAOAzureMigrateReport</w:t>
            </w:r>
          </w:p>
        </w:tc>
        <w:tc>
          <w:tcPr/>
          <w:p>
            <w:pPr>
              <w:pStyle w:val="Compact"/>
            </w:pPr>
            <w:r>
              <w:t xml:space="preserve">Azure Migrate assessment export</w:t>
            </w:r>
          </w:p>
        </w:tc>
        <w:tc>
          <w:tcPr/>
          <w:p>
            <w:pPr>
              <w:pStyle w:val="Compact"/>
            </w:pPr>
            <w:r>
              <w:t xml:space="preserve">UIAO ComputerInventory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Import-UIAOGPOAnalyticsReport</w:t>
            </w:r>
          </w:p>
        </w:tc>
        <w:tc>
          <w:tcPr/>
          <w:p>
            <w:pPr>
              <w:pStyle w:val="Compact"/>
            </w:pPr>
            <w:r>
              <w:t xml:space="preserve">Intune Group Policy Analytics export</w:t>
            </w:r>
          </w:p>
        </w:tc>
        <w:tc>
          <w:tcPr/>
          <w:p>
            <w:pPr>
              <w:pStyle w:val="Compact"/>
            </w:pPr>
            <w:r>
              <w:t xml:space="preserve">GPOMigrationTracker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Import-UIAODefenderFindings</w:t>
            </w:r>
          </w:p>
        </w:tc>
        <w:tc>
          <w:tcPr/>
          <w:p>
            <w:pPr>
              <w:pStyle w:val="Compact"/>
            </w:pPr>
            <w:r>
              <w:t xml:space="preserve">Defender for Identity Secure Score export</w:t>
            </w:r>
          </w:p>
        </w:tc>
        <w:tc>
          <w:tcPr/>
          <w:p>
            <w:pPr>
              <w:pStyle w:val="Compact"/>
            </w:pPr>
            <w:r>
              <w:t xml:space="preserve">SecurityAssessment overlay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Import-UIAOSCuBAReport</w:t>
            </w:r>
          </w:p>
        </w:tc>
        <w:tc>
          <w:tcPr/>
          <w:p>
            <w:pPr>
              <w:pStyle w:val="Compact"/>
            </w:pPr>
            <w:r>
              <w:t xml:space="preserve">CISA ScubaGear compliance output</w:t>
            </w:r>
          </w:p>
        </w:tc>
        <w:tc>
          <w:tcPr/>
          <w:p>
            <w:pPr>
              <w:pStyle w:val="Compact"/>
            </w:pPr>
            <w:r>
              <w:t xml:space="preserve">UIAO conformance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Import-UIAOADReconReport</w:t>
            </w:r>
          </w:p>
        </w:tc>
        <w:tc>
          <w:tcPr/>
          <w:p>
            <w:pPr>
              <w:pStyle w:val="Compact"/>
            </w:pPr>
            <w:r>
              <w:t xml:space="preserve">ADRecon Excel output</w:t>
            </w:r>
          </w:p>
        </w:tc>
        <w:tc>
          <w:tcPr/>
          <w:p>
            <w:pPr>
              <w:pStyle w:val="Compact"/>
            </w:pPr>
            <w:r>
              <w:t xml:space="preserve">UIAO ComputerInventory /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Merge-UIAOAssessmentSources</w:t>
            </w:r>
          </w:p>
        </w:tc>
        <w:tc>
          <w:tcPr/>
          <w:p>
            <w:pPr>
              <w:pStyle w:val="Compact"/>
            </w:pPr>
            <w:r>
              <w:t xml:space="preserve">Multiple normalized sources</w:t>
            </w:r>
          </w:p>
        </w:tc>
        <w:tc>
          <w:tcPr/>
          <w:p>
            <w:pPr>
              <w:pStyle w:val="Compact"/>
            </w:pPr>
            <w:r>
              <w:t xml:space="preserve">Correlated assessment bundle</w:t>
            </w:r>
          </w:p>
        </w:tc>
      </w:tr>
    </w:tbl>
    <w:p>
      <w:pPr>
        <w:pStyle w:val="BodyText"/>
      </w:pPr>
      <w:r>
        <w:t xml:space="preserve">SCT PolicyAnalyzer, Entra Connect Health, and Azure Policy compliance output remain candidates for future adapters; the consumption patterns in Section 6.2 describe where their exports would land.</w:t>
      </w:r>
    </w:p>
    <w:bookmarkEnd w:id="59"/>
    <w:bookmarkStart w:id="60" w:name="import-module-specification"/>
    <w:p>
      <w:pPr>
        <w:pStyle w:val="Heading3"/>
      </w:pPr>
      <w:r>
        <w:t xml:space="preserve">9.2 Import Module Specification</w:t>
      </w:r>
    </w:p>
    <w:p>
      <w:pPr>
        <w:pStyle w:val="FirstParagraph"/>
      </w:pPr>
      <w:r>
        <w:t xml:space="preserve">Each importer wraps its normalized records in a sealed provenance envelope (</w:t>
      </w:r>
      <w:r>
        <w:rPr>
          <w:rStyle w:val="VerbatimChar"/>
        </w:rPr>
        <w:t xml:space="preserve">schema: uiao.import.v1</w:t>
      </w:r>
      <w:r>
        <w:t xml:space="preserve">) whose provenance block carries: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source</w:t>
      </w:r>
      <w:r>
        <w:t xml:space="preserve"> </w:t>
      </w:r>
      <w:r>
        <w:t xml:space="preserve">— name of the third-party tool consumed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version</w:t>
      </w:r>
      <w:r>
        <w:t xml:space="preserve"> </w:t>
      </w:r>
      <w:r>
        <w:t xml:space="preserve">— source export version (recorded when supplied,</w:t>
      </w:r>
      <w:r>
        <w:t xml:space="preserve"> </w:t>
      </w:r>
      <w:r>
        <w:t xml:space="preserve">“unknown”</w:t>
      </w:r>
      <w:r>
        <w:t xml:space="preserve"> </w:t>
      </w:r>
      <w:r>
        <w:t xml:space="preserve">otherwise)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timestamp</w:t>
      </w:r>
      <w:r>
        <w:t xml:space="preserve"> </w:t>
      </w:r>
      <w:r>
        <w:t xml:space="preserve">— ISO 8601 UTC timestamp of import execution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content_hash</w:t>
      </w:r>
      <w:r>
        <w:t xml:space="preserve"> </w:t>
      </w:r>
      <w:r>
        <w:t xml:space="preserve">— integrity seal over the normalized data, computed by the canonical hasher so it is byte-identical to the Python</w:t>
      </w:r>
      <w:r>
        <w:t xml:space="preserve"> </w:t>
      </w:r>
      <w:r>
        <w:rPr>
          <w:rStyle w:val="VerbatimChar"/>
        </w:rPr>
        <w:t xml:space="preserve">canonical_hash</w:t>
      </w:r>
      <w:r>
        <w:t xml:space="preserve"> </w:t>
      </w:r>
      <w:r>
        <w:t xml:space="preserve">— making every imported artifact directly</w:t>
      </w:r>
      <w:r>
        <w:t xml:space="preserve"> </w:t>
      </w:r>
      <w:r>
        <w:rPr>
          <w:rStyle w:val="VerbatimChar"/>
        </w:rPr>
        <w:t xml:space="preserve">DRIFT-PROVENANCE</w:t>
      </w:r>
      <w:r>
        <w:t xml:space="preserve">-classifiable by</w:t>
      </w:r>
      <w:r>
        <w:t xml:space="preserve"> </w:t>
      </w:r>
      <w:r>
        <w:rPr>
          <w:rStyle w:val="VerbatimChar"/>
        </w:rPr>
        <w:t xml:space="preserve">src/uiao/governance/drift.py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source_file</w:t>
      </w:r>
      <w:r>
        <w:t xml:space="preserve"> </w:t>
      </w:r>
      <w:r>
        <w:t xml:space="preserve">— path of the ingested report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actor</w:t>
      </w:r>
      <w:r>
        <w:t xml:space="preserve">,</w:t>
      </w:r>
      <w:r>
        <w:t xml:space="preserve"> </w:t>
      </w:r>
      <w:r>
        <w:rPr>
          <w:b/>
          <w:bCs/>
        </w:rPr>
        <w:t xml:space="preserve">import_module</w:t>
      </w:r>
      <w:r>
        <w:t xml:space="preserve">,</w:t>
      </w:r>
      <w:r>
        <w:t xml:space="preserve"> </w:t>
      </w:r>
      <w:r>
        <w:rPr>
          <w:b/>
          <w:bCs/>
        </w:rPr>
        <w:t xml:space="preserve">import_module_version</w:t>
      </w:r>
      <w:r>
        <w:t xml:space="preserve"> </w:t>
      </w:r>
      <w:r>
        <w:t xml:space="preserve">— adapter identity for the provenance chain</w:t>
      </w:r>
    </w:p>
    <w:p>
      <w:pPr>
        <w:pStyle w:val="FirstParagraph"/>
      </w:pPr>
      <w:r>
        <w:rPr>
          <w:rStyle w:val="VerbatimChar"/>
        </w:rPr>
        <w:t xml:space="preserve">Merge-UIAOAssessmentSources</w:t>
      </w:r>
      <w:r>
        <w:t xml:space="preserve"> </w:t>
      </w:r>
      <w:r>
        <w:t xml:space="preserve">correlates multiple normalized envelopes (</w:t>
      </w:r>
      <w:r>
        <w:rPr>
          <w:rStyle w:val="VerbatimChar"/>
        </w:rPr>
        <w:t xml:space="preserve">-SourcePaths</w:t>
      </w:r>
      <w:r>
        <w:t xml:space="preserve">,</w:t>
      </w:r>
      <w:r>
        <w:t xml:space="preserve"> </w:t>
      </w:r>
      <w:r>
        <w:rPr>
          <w:rStyle w:val="VerbatimChar"/>
        </w:rPr>
        <w:t xml:space="preserve">-MergeStrategy</w:t>
      </w:r>
      <w:r>
        <w:t xml:space="preserve">) into a single assessment bundle, validating each source’s provenance completeness and integrity seal first: an envelope that is incomplete, or whose hash no longer matches its data, is a</w:t>
      </w:r>
      <w:r>
        <w:t xml:space="preserve"> </w:t>
      </w:r>
      <w:r>
        <w:rPr>
          <w:rStyle w:val="VerbatimChar"/>
        </w:rPr>
        <w:t xml:space="preserve">DRIFT-PROVENANCE</w:t>
      </w:r>
      <w:r>
        <w:t xml:space="preserve"> </w:t>
      </w:r>
      <w:r>
        <w:t xml:space="preserve">finding by definition (UIAO_182).</w:t>
      </w:r>
    </w:p>
    <w:p>
      <w:pPr>
        <w:pStyle w:val="BodyText"/>
      </w:pPr>
      <w:r>
        <w:t xml:space="preserve">Outputs are UIAO-schema JSON artifacts suitable as input to UIAOPlanGenerators and as canon-anchored evidence through the UIAO IR / OSCAL pipeline. Consistent with the program’s</w:t>
      </w:r>
      <w:r>
        <w:t xml:space="preserve"> </w:t>
      </w:r>
      <w:r>
        <w:rPr>
          <w:rStyle w:val="VerbatimChar"/>
        </w:rPr>
        <w:t xml:space="preserve">classification: Public</w:t>
      </w:r>
      <w:r>
        <w:t xml:space="preserve"> </w:t>
      </w:r>
      <w:r>
        <w:t xml:space="preserve">posture, the envelope carries provenance metadata rather than a classification marking; Authenticode signing occurs at release packaging.</w:t>
      </w:r>
    </w:p>
    <w:bookmarkEnd w:id="60"/>
    <w:bookmarkEnd w:id="61"/>
    <w:bookmarkStart w:id="65" w:name="conclusions-and-recommendations"/>
    <w:p>
      <w:pPr>
        <w:pStyle w:val="Heading2"/>
      </w:pPr>
      <w:r>
        <w:t xml:space="preserve">10. Conclusions and Recommendations</w:t>
      </w:r>
    </w:p>
    <w:bookmarkStart w:id="62" w:name="the-bottom-line"/>
    <w:p>
      <w:pPr>
        <w:pStyle w:val="Heading3"/>
      </w:pPr>
      <w:r>
        <w:t xml:space="preserve">10.1 The Bottom Line</w:t>
      </w:r>
    </w:p>
    <w:p>
      <w:pPr>
        <w:pStyle w:val="FirstParagraph"/>
      </w:pPr>
      <w:r>
        <w:t xml:space="preserve">Microsoft offers powerful but fragmented tools. UIAO provides the governance fabric that connects them. The relationship is symbiotic: UIAO is more valuable when it consumes Microsoft tool output, and Microsoft’s tools are more valuable when they feed into a governance pipeline.</w:t>
      </w:r>
    </w:p>
    <w:p>
      <w:pPr>
        <w:pStyle w:val="BodyText"/>
      </w:pPr>
      <w:r>
        <w:t xml:space="preserve">No single Microsoft tool — and no feasible combination of Microsoft tools without significant custom development — provides the unified, version-controlled, drift-detected, SLA-enforced governance pipeline that UIAO delivers. This is not a criticism of Microsoft’s tools; it is a recognition that governance orchestration is a fundamentally different problem than point-solution assessment.</w:t>
      </w:r>
    </w:p>
    <w:bookmarkEnd w:id="62"/>
    <w:bookmarkStart w:id="63" w:name="strategic-recommendations"/>
    <w:p>
      <w:pPr>
        <w:pStyle w:val="Heading3"/>
      </w:pPr>
      <w:r>
        <w:t xml:space="preserve">10.2 Strategic Recommendations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Do not position UIAO as competing with Microsoft’s tools</w:t>
      </w:r>
      <w:r>
        <w:t xml:space="preserve"> </w:t>
      </w:r>
      <w:r>
        <w:t xml:space="preserve">— the SCuBA pattern (complementary orchestration) is the correct positioning.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Route Microsoft and third-party tool output through the implemented UIAOImportAdapters module</w:t>
      </w:r>
      <w:r>
        <w:t xml:space="preserve"> </w:t>
      </w:r>
      <w:r>
        <w:t xml:space="preserve">— Azure Migrate, Group Policy Analytics, Defender for Identity, ScubaGear, and ADRecon exports all normalize through its file-based importers (Section 9, canon UIAO_182).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Maintain the PowerShell-first assessment module</w:t>
      </w:r>
      <w:r>
        <w:t xml:space="preserve"> </w:t>
      </w:r>
      <w:r>
        <w:t xml:space="preserve">— it provides the roughly 70% of technical discovery coverage that no Microsoft tool offers (OU, DNS, PKI, trusts, cross-correlation; an illustrative estimate per the Section 4 matrix).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Leverage Defender for Identity as a</w:t>
      </w:r>
      <w:r>
        <w:rPr>
          <w:b/>
          <w:bCs/>
        </w:rPr>
        <w:t xml:space="preserve"> </w:t>
      </w:r>
      <w:r>
        <w:rPr>
          <w:b/>
          <w:bCs/>
        </w:rPr>
        <w:t xml:space="preserve">“good enough”</w:t>
      </w:r>
      <w:r>
        <w:rPr>
          <w:b/>
          <w:bCs/>
        </w:rPr>
        <w:t xml:space="preserve"> </w:t>
      </w:r>
      <w:r>
        <w:rPr>
          <w:b/>
          <w:bCs/>
        </w:rPr>
        <w:t xml:space="preserve">security layer</w:t>
      </w:r>
      <w:r>
        <w:t xml:space="preserve"> </w:t>
      </w:r>
      <w:r>
        <w:t xml:space="preserve">— focus UIAO’s unique value on governance, not security tooling.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Use ADRecon as a validation reference</w:t>
      </w:r>
      <w:r>
        <w:t xml:space="preserve"> </w:t>
      </w:r>
      <w:r>
        <w:t xml:space="preserve">— UIAO’s data collection should produce at least everything ADRecon produces, plus governance metadata.</w:t>
      </w:r>
    </w:p>
    <w:bookmarkEnd w:id="63"/>
    <w:bookmarkStart w:id="64" w:name="engagement-channels"/>
    <w:p>
      <w:pPr>
        <w:pStyle w:val="Heading3"/>
      </w:pPr>
      <w:r>
        <w:t xml:space="preserve">10.3 Engagement Channels</w:t>
      </w:r>
    </w:p>
    <w:p>
      <w:pPr>
        <w:pStyle w:val="FirstParagraph"/>
      </w:pPr>
      <w:r>
        <w:t xml:space="preserve">The following channels should be used for communicating UIAO’s positioning relative to Microsoft native tools:</w:t>
      </w:r>
    </w:p>
    <w:p>
      <w:pPr>
        <w:numPr>
          <w:ilvl w:val="0"/>
          <w:numId w:val="1003"/>
        </w:numPr>
      </w:pPr>
      <w:r>
        <w:t xml:space="preserve">FedRAMP CWGs (Rev5 and 20x)</w:t>
      </w:r>
    </w:p>
    <w:p>
      <w:pPr>
        <w:numPr>
          <w:ilvl w:val="0"/>
          <w:numId w:val="1003"/>
        </w:numPr>
      </w:pPr>
      <w:r>
        <w:t xml:space="preserve">FedRAMP RFCs</w:t>
      </w:r>
    </w:p>
    <w:p>
      <w:pPr>
        <w:numPr>
          <w:ilvl w:val="0"/>
          <w:numId w:val="1003"/>
        </w:numPr>
      </w:pPr>
      <w:r>
        <w:t xml:space="preserve">FSCAC/CISA direct engagement</w:t>
      </w:r>
    </w:p>
    <w:p>
      <w:pPr>
        <w:numPr>
          <w:ilvl w:val="0"/>
          <w:numId w:val="1003"/>
        </w:numPr>
      </w:pPr>
      <w:r>
        <w:t xml:space="preserve">Microsoft Partner ecosystem</w:t>
      </w:r>
    </w:p>
    <w:p>
      <w:pPr>
        <w:numPr>
          <w:ilvl w:val="0"/>
          <w:numId w:val="1003"/>
        </w:numPr>
      </w:pPr>
      <w:r>
        <w:t xml:space="preserve">GitHub Discussions on WhalerMike/uiao</w:t>
      </w:r>
    </w:p>
    <w:bookmarkEnd w:id="64"/>
    <w:bookmarkEnd w:id="65"/>
    <w:bookmarkStart w:id="66" w:name="Xbd7a3c7f8cce47827abccb23e5f6a7554583ae2"/>
    <w:p>
      <w:pPr>
        <w:pStyle w:val="Heading2"/>
      </w:pPr>
      <w:r>
        <w:t xml:space="preserve">Appendix A — Tool-by-Tool Detailed Comparison Matrix</w:t>
      </w:r>
    </w:p>
    <w:p>
      <w:pPr>
        <w:pStyle w:val="FirstParagraph"/>
      </w:pPr>
      <w:r>
        <w:t xml:space="preserve">The following reference matrix maps each Microsoft tool against every UIAO assessment domain. Legend:</w:t>
      </w:r>
      <w:r>
        <w:t xml:space="preserve"> </w:t>
      </w:r>
      <w:r>
        <w:rPr>
          <w:b/>
          <w:bCs/>
        </w:rPr>
        <w:t xml:space="preserve">✓ Full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~ Partial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✗ None</w:t>
      </w:r>
    </w:p>
    <w:tbl>
      <w:tblPr>
        <w:tblStyle w:val="Table"/>
        <w:tblW w:type="pct" w:w="4962"/>
        <w:tblLayout w:type="fixed"/>
        <w:tblLook w:firstRow="1" w:lastRow="0" w:firstColumn="0" w:lastColumn="0" w:noHBand="0" w:noVBand="0" w:val="0020"/>
      </w:tblPr>
      <w:tblGrid>
        <w:gridCol w:w="1027"/>
        <w:gridCol w:w="665"/>
        <w:gridCol w:w="574"/>
        <w:gridCol w:w="604"/>
        <w:gridCol w:w="302"/>
        <w:gridCol w:w="453"/>
        <w:gridCol w:w="695"/>
        <w:gridCol w:w="634"/>
        <w:gridCol w:w="392"/>
        <w:gridCol w:w="332"/>
        <w:gridCol w:w="725"/>
        <w:gridCol w:w="785"/>
        <w:gridCol w:w="6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Microsoft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Forest Topology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 Hierarchy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GPO Inventory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PKI/ADCS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Computer Objects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Users &amp; Groups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Cross-Correlation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Governance Pipeline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Drift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MAP Toolkit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Azure Migrate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Group Policy Analytics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Entra Connect / Cloud Sync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Defender for 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*~</w:t>
            </w:r>
            <w:r>
              <w:rPr>
                <w:b/>
                <w:bCs/>
              </w:rP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✗**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~** **✗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 **~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 **✗*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 **✗*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 **~*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Compliance Toolkit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*~</w:t>
            </w:r>
            <w:r>
              <w:rPr>
                <w:b/>
                <w:bCs/>
              </w:rP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✗**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✗**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✗**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✗**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✗**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FastTrack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Entra Connect 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Entra Health Monitoring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Azure Policy / Arc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*✗** 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*~**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PowerShell AD / RSAT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</w:t>
            </w:r>
            <w:r>
              <w:t xml:space="preserve"> </w:t>
            </w:r>
            <w:r>
              <w:t xml:space="preserve">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*~</w:t>
            </w:r>
            <w:r>
              <w:rPr>
                <w:b/>
                <w:bCs/>
              </w:rPr>
              <w:t xml:space="preserve"> 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~** **~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 **~*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</w:t>
            </w:r>
            <w:r>
              <w:t xml:space="preserve"> </w:t>
            </w:r>
            <w:r>
              <w:rPr>
                <w:b/>
                <w:bCs/>
              </w:rPr>
              <w:t xml:space="preserve">~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✗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UIAO Assessment Module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observation:</w:t>
      </w:r>
      <w:r>
        <w:t xml:space="preserve"> </w:t>
      </w:r>
      <w:r>
        <w:t xml:space="preserve">Only PowerShell AD/RSAT provides partial coverage across most domains — but it is raw building blocks, not a solution. Every other Microsoft tool covers at most 1–2 domains. UIAO is the only entry that provides full coverage across all 12 domains in a unified, governance-grade pipeline.</w:t>
      </w:r>
    </w:p>
    <w:bookmarkEnd w:id="66"/>
    <w:bookmarkStart w:id="70" w:name="appendix-b-license-and-cost-comparison"/>
    <w:p>
      <w:pPr>
        <w:pStyle w:val="Heading2"/>
      </w:pPr>
      <w:r>
        <w:t xml:space="preserve">Appendix B — License and Cost Comparison</w:t>
      </w:r>
    </w:p>
    <w:tbl>
      <w:tblPr>
        <w:tblStyle w:val="Table"/>
        <w:tblW w:type="pct" w:w="4960"/>
        <w:tblLayout w:type="fixed"/>
        <w:tblLook w:firstRow="1" w:lastRow="0" w:firstColumn="0" w:lastColumn="0" w:noHBand="0" w:noVBand="0" w:val="0020"/>
      </w:tblPr>
      <w:tblGrid>
        <w:gridCol w:w="939"/>
        <w:gridCol w:w="1158"/>
        <w:gridCol w:w="1972"/>
        <w:gridCol w:w="378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Estimated Annual Cost (per user or per environment)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eprecated; no ongoing investment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Migrate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(Azure subscription required)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(compute costs for appliance)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ssessment is free; migration execution incurs Azure consumption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 Policy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Intune license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$8–$16/user/month (Intune standalone or as part of M365) 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 of Microsoft Intune Suite; most orgs already have via M365 E3/E5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Entra Connect / Cloud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ID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$6/user/month (P1) or $9/user/month (P2) 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 bundled with M365 E3 (P1) or E5 (P2)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Defender for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E5 Security or standalone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$6/user/month (standalone) or part of E5 at $57/user/month 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 expensive point solution; significant budget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Compliance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ownload from Microsoft; no license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egacy tool; SQL Server dependency adds indirect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FastTrack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with qualifying licenses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(requires 150+ paid seats) 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uidance service only; no tooling or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Entra Connect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 ID P1 or 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with P1/P2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additional cost beyond Entra ID licensing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Entra Health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with Entra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(preview) 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review; pricing may change at 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 Policy / 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(basic) / Arc 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(basic) / ~$6/server/month (Arc-enabled servers) 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enrollment required for on-premises 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PowerShell AD / RSAT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ncluded with Windows Server; engineering time not included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UIAO Governance 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Open Source (Apache-2.0)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Free. Requires PowerShell, RSAT, and Gitea (also free/open-source). All governance pipeline capabilities included.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ns1:inline>
                  <ns1:extent cx="152400" cy="152400"/>
                  <ns1:effectExtent b="0" l="0" r="0" t="0"/>
                  <ns1:docPr descr="" title="" id="68" name="Picture"/>
                  <ns2:graphic>
                    <ns2:graphicData uri="http://schemas.openxmlformats.org/drawingml/2006/picture">
                      <ns3:pic>
                        <ns3:nvPicPr>
                          <ns3:cNvPr descr="/opt/quarto/share/formats/docx/note.png" id="69" name="Picture"/>
                          <ns3:cNvPicPr>
                            <ns2:picLocks noChangeArrowheads="1" noChangeAspect="1"/>
                          </ns3:cNvPicPr>
                        </ns3:nvPicPr>
                        <ns3:blipFill>
                          <ns2:blip r:embed="rId67"/>
                          <ns2:stretch>
                            <ns2:fillRect/>
                          </ns2:stretch>
                        </ns3:blipFill>
                        <ns3:spPr bwMode="auto">
                          <ns2:xfrm>
                            <ns2:off x="0" y="0"/>
                            <ns2:ext cx="152400" cy="152400"/>
                          </ns2:xfrm>
                          <ns2:prstGeom prst="rect">
                            <ns2:avLst/>
                          </ns2:prstGeom>
                          <ns2:noFill/>
                          <ns2:ln w="9525">
                            <ns2:noFill/>
                            <ns2:headEnd/>
                            <ns2:tailEnd/>
                          </ns2:ln>
                        </ns3:spPr>
                      </ns3:pic>
                    </ns2:graphicData>
                  </ns2:graphic>
                </ns1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Cost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achieve equivalent assessment coverage using Microsoft tools alone (without UIAO), an organization would need: Intune licensing + Entra ID P1/P2 + Defender for Identity + Azure Arc — totaling approximately</w:t>
            </w:r>
            <w:r>
              <w:t xml:space="preserve"> </w:t>
            </w:r>
            <w:r>
              <w:rPr>
                <w:b/>
                <w:bCs/>
              </w:rPr>
              <w:t xml:space="preserve">$25–$57/user/month</w:t>
            </w:r>
            <w:r>
              <w:t xml:space="preserve">, while still leaving governance pipeline, cross-correlation, and drift detection as custom development. UIAO provides the governance layer at</w:t>
            </w:r>
            <w:r>
              <w:t xml:space="preserve"> </w:t>
            </w:r>
            <w:r>
              <w:rPr>
                <w:b/>
                <w:bCs/>
              </w:rPr>
              <w:t xml:space="preserve">$0 license cost</w:t>
            </w:r>
            <w:r>
              <w:t xml:space="preserve">.</w:t>
            </w:r>
          </w:p>
          <w:p/>
        </w:tc>
      </w:tr>
    </w:tbl>
    <w:bookmarkEnd w:id="70"/>
    <w:bookmarkStart w:id="71" w:name="Xbe1549e1fd58d9c2e86d01e978e4e3229ddbf4f"/>
    <w:p>
      <w:pPr>
        <w:pStyle w:val="Heading2"/>
      </w:pPr>
      <w:r>
        <w:t xml:space="preserve">Appendix C — Companion Document Cross-Reference</w:t>
      </w:r>
    </w:p>
    <w:p>
      <w:pPr>
        <w:pStyle w:val="FirstParagraph"/>
      </w:pPr>
      <w:r>
        <w:t xml:space="preserve">This document is part of the UIAO Governance OS documentation corpus. The following table maps this gap analysis to companion documents in the repository:</w:t>
      </w:r>
    </w:p>
    <w:tbl>
      <w:tblPr>
        <w:tblStyle w:val="Table"/>
        <w:tblW w:type="pct" w:w="4964"/>
        <w:tblLayout w:type="fixed"/>
        <w:tblLook w:firstRow="1" w:lastRow="0" w:firstColumn="0" w:lastColumn="0" w:noHBand="0" w:noVBand="0" w:val="0020"/>
      </w:tblPr>
      <w:tblGrid>
        <w:gridCol w:w="1329"/>
        <w:gridCol w:w="3526"/>
        <w:gridCol w:w="30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Companion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Relationship to This Document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Cross-References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 Computer Object Conversion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 the computer object assessment that Section 3 summarizes as</w:t>
            </w:r>
            <w:r>
              <w:t xml:space="preserve"> </w:t>
            </w:r>
            <w:r>
              <w:t xml:space="preserve">“Computer Object Inventory”</w:t>
            </w:r>
            <w:r>
              <w:t xml:space="preserve"> </w:t>
            </w: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ction 3, Row 6 (Computer Object Inventory); Section 7 (Server Inventory — CONSUME vs. BUILD)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UIAO Platform Server Build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Describes the infrastructure on which UIAO assessment modules execute, including Gitea server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6 (Governance Pipeline Integration); Section 9 (Integration Architecture)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UIAO CLI and Operations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Documents the Invoke-UIAOADAssessment cmdlet and other assessment operations referenced throughout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 (all assessment domains reference UIAO cmdlets); Section 9.2 (Import Module Specification)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UIAO Active Directory Interaction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 the read-only and read-write AD interaction patterns that underpin UIAO’s assessment module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ection 2.12 (PowerShell AD / RSAT); Section 3 (assessment domain cmdlet references)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UIAO Identity Modernization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Covers the modernization planning that UIAO assessment data feeds into, including Entra ID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2.4 (Entra Connect); Section 6.3 (SCuBA Parallel); Section 7 (CONSUME vs. BUILD)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UIAO DNS Modernization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 the DNS assessment and modernization workflow that this document identifies as a complete Microsoft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3, Row 4 (DNS Zone &amp; Record Assessment); Section 4 (DNS Assessment — 0% Microsoft coverage)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UIAO Read-Only AD Assessment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Specifies the non-invasive assessment methodology that ensures UIAO assessment is safe for production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 (all assessment domains); Section 10.2 (Recommendation 3 — PowerShell-first assessment)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UIAO Git Infrastructure 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Decision Record for Gitea-based governance pipeline — the infrastructure that Section 3 Row 11 describes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3, Row 11 (Governance Pipeline Integration); Section 6 (Orchestration Layer Pattern)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UIAO Git Server Implementation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 details for the Gitea server that stores governance artifacts and enables drift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3, Rows 11–12 (Governance Pipeline, Drift Detection); Section 9 (Integration Architecture)</w:t>
            </w:r>
          </w:p>
        </w:tc>
      </w:tr>
    </w:tbl>
    <w:p>
      <w:pPr>
        <w:pStyle w:val="BodyText"/>
      </w:pPr>
      <w:r>
        <w:t xml:space="preserve">UIAO vs. Microsoft Native Tools — AD Assessment and Modernization Gap Analysis | Version 1.1 | July 2026</w:t>
      </w:r>
      <w:r>
        <w:br/>
      </w:r>
      <w:r>
        <w:t xml:space="preserve">Classification: Public | Boundary: GCC-Moderate</w:t>
      </w:r>
      <w:r>
        <w:br/>
      </w:r>
      <w:r>
        <w:t xml:space="preserve">UIAO Governance OS — Architecture Team | github.com/WhalerMike/uiao</w:t>
      </w:r>
    </w:p>
    <w:bookmarkEnd w:id="71"/>
    <w:sectPr>
      <w:headerReference w:type="first" r:id="rIdHdr1"/>
      <w:footnotePr>
        <w:numRestart w:val="eachSect"/>
      </w:footnotePr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!-- uiao-docx-header-stamp -->
<w:hdr xmlns:w="http://schemas.openxmlformats.org/wordprocessingml/2006/main">
  <w:p>
    <w:pPr>
      <w:jc w:val="right"/>
      <w:spacing w:after="0"/>
      <w:rPr>
        <w:sz w:val="16"/>
        <w:szCs w:val="16"/>
        <w:color w:val="6E7781"/>
      </w:rPr>
    </w:pPr>
    <w:r>
      <w:rPr>
        <w:sz w:val="16"/>
        <w:szCs w:val="16"/>
        <w:color w:val="6E7781"/>
      </w:rPr>
      <w:t xml:space="preserve">Rendered 2026-09-16 14:53 UTC  ·  Rev e1a72fa8 (2026-09-16)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keepLines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uiPriority w:val="59"/>
    <w:qFormat/>
    <w:tblPr>
      <w:tblInd w:type="dxa" w:w="0"/>
      <w:tblBorders>
        <w:top w:color="0078D4" w:space="0" w:sz="12" w:val="single"/>
        <w:bottom w:color="0078D4" w:space="0" w:sz="12" w:val="single"/>
        <w:left w:val="nil"/>
        <w:right w:val="nil"/>
        <w:insideH w:color="D1D5DA" w:space="0" w:sz="4" w:val="single"/>
        <w:insideV w:val="nil"/>
      </w:tblBorders>
      <w:tblCellMar>
        <w:top w:type="dxa" w:w="80"/>
        <w:left w:type="dxa" w:w="108"/>
        <w:bottom w:type="dxa" w:w="80"/>
        <w:right w:type="dxa" w:w="108"/>
      </w:tblCellMar>
    </w:tblPr>
    <w:tblStylePr w:type="firstRow">
      <w:rPr>
        <w:b/>
      </w:rPr>
      <w:tcPr>
        <w:tcBorders>
          <w:bottom w:color="0078D4" w:space="0" w:sz="8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ourceCode" w:type="paragraph">
    <w:name w:val="Source Code"/>
    <w:basedOn w:val="Normal"/>
    <w:link w:val="VerbatimChar"/>
    <w:pPr>
      <w:pBdr>
        <w:top w:color="D1D5DA" w:space="6" w:sz="6" w:val="single"/>
        <w:left w:color="D1D5DA" w:space="6" w:sz="6" w:val="single"/>
        <w:bottom w:color="D1D5DA" w:space="6" w:sz="6" w:val="single"/>
        <w:right w:color="D1D5DA" w:space="6" w:sz="6" w:val="single"/>
      </w:pBdr>
      <w:shd w:fill="F6F8FA" w:val="clear"/>
      <w:wordWrap w:val="off"/>
      <w:spacing w:after="0" w:before="0" w:line="240" w:lineRule="auto"/>
      <w:ind w:left="144" w:right="144"/>
      <w:contextualSpacing/>
    </w:pPr>
    <w:rPr>
      <w:rFonts w:ascii="Consolas" w:hAnsi="Consolas"/>
      <w:color w:val="24292E"/>
      <w:sz w:val="18"/>
    </w:r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67" Target="media/rId67.png" /><Relationship Type="http://schemas.openxmlformats.org/officeDocument/2006/relationships/image" Id="rId46" Target="media/rId46.png" /><Relationship Type="http://schemas.openxmlformats.org/officeDocument/2006/relationships/image" Id="rId18" Target="media/rId18.png" /><Relationship Type="http://schemas.openxmlformats.org/officeDocument/2006/relationships/image" Id="rId9" Target="media/rId9.png" /><Relationship Type="http://schemas.openxmlformats.org/officeDocument/2006/relationships/hyperlink" Id="rId22" Target="https://whalermike.github.io/uiao/customer-documents/orgpath-narrative/Book_01.html" TargetMode="External" /><Relationship Type="http://schemas.openxmlformats.org/officeDocument/2006/relationships/hyperlink" Id="rId58" Target="https://whalermike.github.io/uiao/customer-documents/orgpath-narrative/Book_15_CPT_23.html" TargetMode="External" /><Relationship Type="http://schemas.openxmlformats.org/officeDocument/2006/relationships/hyperlink" Id="rId25" Target="https://whalermike.github.io/uiao/customer-documents/reference-architecture/gpo-cloud-governance-gaps.html" TargetMode="External" /><Relationship Id="rIdHdr1" Type="http://schemas.openxmlformats.org/officeDocument/2006/relationships/header" Target="header1.xm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whalermike.github.io/uiao/customer-documents/orgpath-narrative/Book_01.html" TargetMode="External" /><Relationship Type="http://schemas.openxmlformats.org/officeDocument/2006/relationships/hyperlink" Id="rId58" Target="https://whalermike.github.io/uiao/customer-documents/orgpath-narrative/Book_15_CPT_23.html" TargetMode="External" /><Relationship Type="http://schemas.openxmlformats.org/officeDocument/2006/relationships/hyperlink" Id="rId25" Target="https://whalermike.github.io/uiao/customer-documents/reference-architecture/gpo-cloud-governance-gap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UIAO vs Microsoft Native Tools — Gap Analysis</dc:title>
  <dc:creator>Michael Stratton</dc:creator>
  <cp:keywords/>
  <dcterms:created xsi:type="dcterms:W3CDTF">2026-09-16T14:53:57Z</dcterms:created>
  <dcterms:modified xsi:type="dcterms:W3CDTF">2026-09-16T14:53:57Z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dience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uthor">
    <vt:lpwstr/>
  </property>
  <property fmtid="{D5CDD505-2E9C-101B-9397-08002B2CF9AE}" pid="6" name="canon-source">
    <vt:lpwstr>inbox/Posted/UIAO vs Microsoft Native Tools — AD Assessment and Modernization Gap Analysis.docx</vt:lpwstr>
  </property>
  <property fmtid="{D5CDD505-2E9C-101B-9397-08002B2CF9AE}" pid="7" name="created-at">
    <vt:lpwstr>2026-04-26</vt:lpwstr>
  </property>
  <property fmtid="{D5CDD505-2E9C-101B-9397-08002B2CF9AE}" pid="8" name="date">
    <vt:lpwstr>2026-04-01</vt:lpwstr>
  </property>
  <property fmtid="{D5CDD505-2E9C-101B-9397-08002B2CF9AE}" pid="9" name="doc-type">
    <vt:lpwstr>whitepaper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fecycle">
    <vt:lpwstr>adopted</vt:lpwstr>
  </property>
  <property fmtid="{D5CDD505-2E9C-101B-9397-08002B2CF9AE}" pid="15" name="lifecycle_review">
    <vt:lpwstr>2026-11-22</vt:lpwstr>
  </property>
  <property fmtid="{D5CDD505-2E9C-101B-9397-08002B2CF9AE}" pid="16" name="mermaid">
    <vt:lpwstr/>
  </property>
  <property fmtid="{D5CDD505-2E9C-101B-9397-08002B2CF9AE}" pid="17" name="repo-path">
    <vt:lpwstr>docs/customer-documents/whitepapers/uiao-vs-native-tools.qmd</vt:lpwstr>
  </property>
  <property fmtid="{D5CDD505-2E9C-101B-9397-08002B2CF9AE}" pid="18" name="status">
    <vt:lpwstr>Active</vt:lpwstr>
  </property>
  <property fmtid="{D5CDD505-2E9C-101B-9397-08002B2CF9AE}" pid="19" name="subtitle">
    <vt:lpwstr>Why Microsoft’s 12 tools don’t replace a governance orchestration layer</vt:lpwstr>
  </property>
  <property fmtid="{D5CDD505-2E9C-101B-9397-08002B2CF9AE}" pid="20" name="tiers_adopted">
    <vt:lpwstr/>
  </property>
  <property fmtid="{D5CDD505-2E9C-101B-9397-08002B2CF9AE}" pid="21" name="toc-title">
    <vt:lpwstr>Table of contents</vt:lpwstr>
  </property>
  <property fmtid="{D5CDD505-2E9C-101B-9397-08002B2CF9AE}" pid="22" name="updated-at">
    <vt:lpwstr>2026-09-16</vt:lpwstr>
  </property>
  <property fmtid="{D5CDD505-2E9C-101B-9397-08002B2CF9AE}" pid="23" name="version">
    <vt:lpwstr>1.3</vt:lpwstr>
  </property>
</Properties>
</file>