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AODIM — Attribute-Oriented Directory &amp; Identity Model</w:t>
      </w:r>
    </w:p>
    <w:p>
      <w:pPr>
        <w:pStyle w:val="Subtitle"/>
      </w:pPr>
      <w:r>
        <w:t xml:space="preserve">Making identity attributes the authoritative driver of access, policy, and governance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2026-04-01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Cloud identity platforms are static access-control systems bolted</w:t>
            </w:r>
            <w:r>
              <w:t xml:space="preserve"> </w:t>
            </w:r>
            <w:r>
              <w:t xml:space="preserve">onto dynamic organizations: access is assigned by hand, movers lag behind</w:t>
            </w:r>
            <w:r>
              <w:t xml:space="preserve"> </w:t>
            </w:r>
            <w:r>
              <w:t xml:space="preserve">their org changes, permissions accumulate and drift, audit evidence has to be</w:t>
            </w:r>
            <w:r>
              <w:t xml:space="preserve"> </w:t>
            </w:r>
            <w:r>
              <w:t xml:space="preserve">reconstructed from tickets, and HR, IT, and Security each hold a different</w:t>
            </w:r>
            <w:r>
              <w:t xml:space="preserve"> </w:t>
            </w:r>
            <w:r>
              <w:t xml:space="preserve">picture of who someone is.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AODIM makes identity attributes the authoritative driver of</w:t>
            </w:r>
            <w:r>
              <w:t xml:space="preserve"> </w:t>
            </w:r>
            <w:r>
              <w:t xml:space="preserve">access, policy, and governance: HR system → on-premises AD → directory sync →</w:t>
            </w:r>
            <w:r>
              <w:t xml:space="preserve"> </w:t>
            </w:r>
            <w:r>
              <w:t xml:space="preserve">Entra facets → dynamic groups → access and policy enforcement. Access</w:t>
            </w:r>
            <w:r>
              <w:t xml:space="preserve"> </w:t>
            </w:r>
            <w:r>
              <w:t xml:space="preserve">recalculates the moment an attribute changes, narrows the moment a facet</w:t>
            </w:r>
            <w:r>
              <w:t xml:space="preserve"> </w:t>
            </w:r>
            <w:r>
              <w:t xml:space="preserve">narrows, and the facet-to-access rule set is itself the audit evidence.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Adopt the attribute model</w:t>
            </w:r>
            <w:r>
              <w:t xml:space="preserve"> </w:t>
            </w:r>
            <w:r>
              <w:t xml:space="preserve">(</w:t>
            </w:r>
            <w:hyperlink r:id="rId12">
              <w:r>
                <w:rPr>
                  <w:rStyle w:val="Hyperlink"/>
                </w:rPr>
                <w:t xml:space="preserve">UIAO_006</w:t>
              </w:r>
            </w:hyperlink>
            <w:r>
              <w:t xml:space="preserve">) as</w:t>
            </w:r>
            <w:r>
              <w:t xml:space="preserve"> </w:t>
            </w:r>
            <w:r>
              <w:t xml:space="preserve">the access-control design for the Entra tenant and align Administrative Units</w:t>
            </w:r>
            <w:r>
              <w:t xml:space="preserve"> </w:t>
            </w:r>
            <w:r>
              <w:t xml:space="preserve">to the major organizational segments. Because facet writes for synced users</w:t>
            </w:r>
            <w:r>
              <w:t xml:space="preserve"> </w:t>
            </w:r>
            <w:r>
              <w:t xml:space="preserve">are AD-mastered, plan the facet population in AD and accept the directory-sync</w:t>
            </w:r>
            <w:r>
              <w:t xml:space="preserve"> </w:t>
            </w:r>
            <w:r>
              <w:t xml:space="preserve">interval as the provisioning floor — not zero.</w:t>
            </w:r>
          </w:p>
          <w:p/>
        </w:tc>
      </w:tr>
    </w:tbl>
    <w:bookmarkStart w:id="1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Enterprises transitioning to cloud identity platforms face a structural mismatch between dynamic organizational models and static access control systems. AODIM (Attribute-Oriented Directory &amp; Identity Model) resolves this by making identity attributes the authoritative driver of access, policy, and governance.</w:t>
      </w:r>
    </w:p>
    <w:p>
      <w:pPr>
        <w:pStyle w:val="BodyText"/>
      </w:pPr>
      <w:r>
        <w:t xml:space="preserve">This approach enables automated access alignment, reduces operational overhead, and strengthens security through continuous least privilege.</w:t>
      </w:r>
    </w:p>
    <w:p>
      <w:pPr>
        <w:pStyle w:val="BodyText"/>
      </w:pPr>
      <w:r>
        <w:t xml:space="preserve">This paper summarizes the canonical AODIM specification,</w:t>
      </w:r>
      <w:r>
        <w:t xml:space="preserve"> </w:t>
      </w:r>
      <w:hyperlink r:id="rId12">
        <w:r>
          <w:rPr>
            <w:rStyle w:val="Hyperlink"/>
          </w:rPr>
          <w:t xml:space="preserve">UIAO_006 — AODIM Architecture (v1.1)</w:t>
        </w:r>
      </w:hyperlink>
      <w:r>
        <w:t xml:space="preserve">.</w:t>
      </w:r>
    </w:p>
    <w:bookmarkEnd w:id="13"/>
    <w:bookmarkStart w:id="17" w:name="problem-statement"/>
    <w:p>
      <w:pPr>
        <w:pStyle w:val="Heading1"/>
      </w:pPr>
      <w:r>
        <w:t xml:space="preserve">Problem Statement</w:t>
      </w:r>
    </w:p>
    <w:p>
      <w:pPr>
        <w:numPr>
          <w:ilvl w:val="0"/>
          <w:numId w:val="1001"/>
        </w:numPr>
      </w:pPr>
      <w:r>
        <w:t xml:space="preserve">Manual access management processes</w:t>
      </w:r>
    </w:p>
    <w:p>
      <w:pPr>
        <w:numPr>
          <w:ilvl w:val="0"/>
          <w:numId w:val="1001"/>
        </w:numPr>
      </w:pPr>
      <w:r>
        <w:t xml:space="preserve">Inefficient handling of role changes (movers)</w:t>
      </w:r>
    </w:p>
    <w:p>
      <w:pPr>
        <w:numPr>
          <w:ilvl w:val="0"/>
          <w:numId w:val="1001"/>
        </w:numPr>
      </w:pPr>
      <w:r>
        <w:t xml:space="preserve">Over-permissioning and access drift</w:t>
      </w:r>
    </w:p>
    <w:p>
      <w:pPr>
        <w:numPr>
          <w:ilvl w:val="0"/>
          <w:numId w:val="1001"/>
        </w:numPr>
      </w:pPr>
      <w:r>
        <w:t xml:space="preserve">Audit and compliance complexity</w:t>
      </w:r>
    </w:p>
    <w:p>
      <w:pPr>
        <w:numPr>
          <w:ilvl w:val="0"/>
          <w:numId w:val="1001"/>
        </w:numPr>
      </w:pPr>
      <w:r>
        <w:t xml:space="preserve">Misalignment between HR, IT,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warning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ILLUSTRATIVE — replace before external release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mover/joiner/leaver event today typically requires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ticket-hours across</w:t>
            </w:r>
            <w:r>
              <w:t xml:space="preserve"> </w:t>
            </w:r>
            <w:r>
              <w:rPr>
                <w:rStyle w:val="VerbatimChar"/>
              </w:rPr>
              <w:t xml:space="preserve">[M]</w:t>
            </w:r>
            <w:r>
              <w:t xml:space="preserve"> </w:t>
            </w:r>
            <w:r>
              <w:t xml:space="preserve">systems, with an average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-day lag between an</w:t>
            </w:r>
            <w:r>
              <w:t xml:space="preserve"> </w:t>
            </w:r>
            <w:r>
              <w:t xml:space="preserve">organizational change and the corresponding access update — during which</w:t>
            </w:r>
            <w:r>
              <w:t xml:space="preserve"> </w:t>
            </w:r>
            <w:r>
              <w:rPr>
                <w:rStyle w:val="VerbatimChar"/>
              </w:rPr>
              <w:t xml:space="preserve">[Y]</w:t>
            </w:r>
            <w:r>
              <w:t xml:space="preserve">% of accounts carry stale or over-permissioned access. Computing access</w:t>
            </w:r>
            <w:r>
              <w:t xml:space="preserve"> </w:t>
            </w:r>
            <w:r>
              <w:t xml:space="preserve">from attributes instead of assigning it manually removes this lag</w:t>
            </w:r>
            <w:r>
              <w:t xml:space="preserve"> </w:t>
            </w:r>
            <w:r>
              <w:t xml:space="preserve">structurally: once an attribute changes, dynamic group membership and the</w:t>
            </w:r>
            <w:r>
              <w:t xml:space="preserve"> </w:t>
            </w:r>
            <w:r>
              <w:t xml:space="preserve">access it drives recalculate automatically, with no ticket in the loop.</w:t>
            </w:r>
          </w:p>
          <w:p/>
        </w:tc>
      </w:tr>
    </w:tbl>
    <w:bookmarkEnd w:id="17"/>
    <w:bookmarkStart w:id="21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HR System →</w:t>
      </w:r>
      <w:r>
        <w:t xml:space="preserve"> </w:t>
      </w:r>
      <w:r>
        <w:rPr>
          <w:b/>
          <w:bCs/>
        </w:rPr>
        <w:t xml:space="preserve">on-premises AD</w:t>
      </w:r>
      <w:r>
        <w:t xml:space="preserve"> </w:t>
      </w:r>
      <w:r>
        <w:t xml:space="preserve">→ directory sync → Entra facets → Dynamic Groups → Access &amp; Policy Enforcement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8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facet write is AD-mastered, not cloud-mastered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any user with</w:t>
            </w:r>
            <w:r>
              <w:t xml:space="preserve"> </w:t>
            </w:r>
            <w:r>
              <w:rPr>
                <w:rStyle w:val="VerbatimChar"/>
              </w:rPr>
              <w:t xml:space="preserve">onPremisesSyncEnabled = true</w:t>
            </w:r>
            <w:r>
              <w:t xml:space="preserve">, Graph treats</w:t>
            </w:r>
            <w:r>
              <w:t xml:space="preserve"> </w:t>
            </w:r>
            <w:r>
              <w:rPr>
                <w:rStyle w:val="VerbatimChar"/>
              </w:rPr>
              <w:t xml:space="preserve">onPremisesExtensionAttributes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— the source of authority is</w:t>
            </w:r>
            <w:r>
              <w:t xml:space="preserve"> </w:t>
            </w:r>
            <w:r>
              <w:t xml:space="preserve">on-premises AD. In a hybrid agency that is every user, so the facet stamp</w:t>
            </w:r>
            <w:r>
              <w:t xml:space="preserve"> </w:t>
            </w:r>
            <w:r>
              <w:t xml:space="preserve">happens</w:t>
            </w:r>
            <w:r>
              <w:t xml:space="preserve"> </w:t>
            </w:r>
            <w:r>
              <w:rPr>
                <w:b/>
                <w:bCs/>
              </w:rPr>
              <w:t xml:space="preserve">on-premises and syncs down</w:t>
            </w:r>
            <w:r>
              <w:t xml:space="preserve">; it is not a cloud-side Graph write.</w:t>
            </w:r>
            <w:r>
              <w:t xml:space="preserve"> </w:t>
            </w:r>
            <w:r>
              <w:t xml:space="preserve">Device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extensionAttributes</w:t>
            </w:r>
            <w:r>
              <w:t xml:space="preserve"> </w:t>
            </w:r>
            <w:r>
              <w:t xml:space="preserve">are cloud-mastered and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writable through</w:t>
            </w:r>
            <w:r>
              <w:t xml:space="preserve"> </w:t>
            </w:r>
            <w:r>
              <w:t xml:space="preserve">Graph, which is why the device plane and the user plane use different</w:t>
            </w:r>
            <w:r>
              <w:t xml:space="preserve"> </w:t>
            </w:r>
            <w:r>
              <w:t xml:space="preserve">properties and different write paths (ADR-127). Two consequences follow and</w:t>
            </w:r>
            <w:r>
              <w:t xml:space="preserve"> </w:t>
            </w:r>
            <w:r>
              <w:t xml:space="preserve">neither is cosmetic: the flow carries a</w:t>
            </w:r>
            <w:r>
              <w:t xml:space="preserve"> </w:t>
            </w:r>
            <w:r>
              <w:rPr>
                <w:b/>
                <w:bCs/>
              </w:rPr>
              <w:t xml:space="preserve">directory-sync latency hop</w:t>
            </w:r>
            <w:r>
              <w:t xml:space="preserve">, and it</w:t>
            </w:r>
            <w:r>
              <w:t xml:space="preserve"> </w:t>
            </w:r>
            <w:r>
              <w:t xml:space="preserve">takes a hard dependency on Entra Connect Sync — which stops synchronising</w:t>
            </w:r>
            <w:r>
              <w:t xml:space="preserve"> </w:t>
            </w:r>
            <w:r>
              <w:t xml:space="preserve">below v2.5.79.0 on</w:t>
            </w:r>
            <w:r>
              <w:t xml:space="preserve"> </w:t>
            </w:r>
            <w:r>
              <w:rPr>
                <w:b/>
                <w:bCs/>
              </w:rPr>
              <w:t xml:space="preserve">30 September 2026</w:t>
            </w:r>
            <w:r>
              <w:t xml:space="preserve">. See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the hybrid-sync trap</w:t>
              </w:r>
            </w:hyperlink>
            <w:r>
              <w:t xml:space="preserve">.</w:t>
            </w:r>
          </w:p>
          <w:p/>
        </w:tc>
      </w:tr>
    </w:tbl>
    <w:bookmarkEnd w:id="21"/>
    <w:bookmarkStart w:id="22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Identity attributes define organizational structure; access is computed, not assigned.</w:t>
      </w:r>
    </w:p>
    <w:bookmarkEnd w:id="22"/>
    <w:bookmarkStart w:id="27" w:name="attribute-model"/>
    <w:p>
      <w:pPr>
        <w:pStyle w:val="Heading1"/>
      </w:pPr>
      <w:r>
        <w:t xml:space="preserve">Attribute Model</w:t>
      </w:r>
    </w:p>
    <w:p>
      <w:pPr>
        <w:pStyle w:val="FirstParagraph"/>
      </w:pPr>
      <w:r>
        <w:t xml:space="preserve">OrgPath is not a single hierarchical string. Under Model C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ADR-078</w:t>
        </w:r>
      </w:hyperlink>
      <w:r>
        <w:t xml:space="preserve">)</w:t>
      </w:r>
      <w:r>
        <w:t xml:space="preserve"> </w:t>
      </w:r>
      <w:r>
        <w:t xml:space="preserve">the organizational position of every principal is decomposed into 10 named</w:t>
      </w:r>
      <w:r>
        <w:t xml:space="preserve"> </w:t>
      </w:r>
      <w:r>
        <w:t xml:space="preserve">facets, each bound to exactly one Entra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slot:</w:t>
      </w:r>
    </w:p>
    <w:p>
      <w:pPr>
        <w:numPr>
          <w:ilvl w:val="0"/>
          <w:numId w:val="1002"/>
        </w:numPr>
      </w:pPr>
      <w:r>
        <w:t xml:space="preserve">Region, Department, Division, Role (organizational placement)</w:t>
      </w:r>
    </w:p>
    <w:p>
      <w:pPr>
        <w:numPr>
          <w:ilvl w:val="0"/>
          <w:numId w:val="1002"/>
        </w:numPr>
      </w:pPr>
      <w:r>
        <w:t xml:space="preserve">CostCenter, Classification (financial and workforce context)</w:t>
      </w:r>
    </w:p>
    <w:p>
      <w:pPr>
        <w:numPr>
          <w:ilvl w:val="0"/>
          <w:numId w:val="1002"/>
        </w:numPr>
      </w:pPr>
      <w:r>
        <w:t xml:space="preserve">HireDate, TermDate (lifecycle anchors)</w:t>
      </w:r>
    </w:p>
    <w:p>
      <w:pPr>
        <w:numPr>
          <w:ilvl w:val="0"/>
          <w:numId w:val="1002"/>
        </w:numPr>
      </w:pPr>
      <w:r>
        <w:t xml:space="preserve">ClearanceLevel, AccountType (security context)</w:t>
      </w:r>
    </w:p>
    <w:p>
      <w:pPr>
        <w:pStyle w:val="FirstParagraph"/>
      </w:pPr>
      <w:r>
        <w:t xml:space="preserve">Four further slots are reserved for tenant-declared facets, and slot 15</w:t>
      </w:r>
      <w:r>
        <w:t xml:space="preserve"> </w:t>
      </w:r>
      <w:r>
        <w:t xml:space="preserve">carries the</w:t>
      </w:r>
      <w:r>
        <w:t xml:space="preserve"> </w:t>
      </w:r>
      <w:r>
        <w:rPr>
          <w:b/>
          <w:bCs/>
        </w:rPr>
        <w:t xml:space="preserve">derived canonical OrgPath</w:t>
      </w:r>
      <w:r>
        <w:t xml:space="preserve"> </w:t>
      </w:r>
      <w:r>
        <w:t xml:space="preserve">of the Hybrid-C+Path model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ADR-127</w:t>
        </w:r>
      </w:hyperlink>
      <w:r>
        <w:t xml:space="preserve">):</w:t>
      </w:r>
      <w:r>
        <w:t xml:space="preserve"> </w:t>
      </w:r>
      <w:r>
        <w:t xml:space="preserve">a path string regenerated from the hierarchy facets — never</w:t>
      </w:r>
      <w:r>
        <w:t xml:space="preserve"> </w:t>
      </w:r>
      <w:r>
        <w:t xml:space="preserve">hand-authored — that restores collision-free subtree targeting. The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relationship is consumed alongside these facets but is</w:t>
      </w:r>
      <w:r>
        <w:t xml:space="preserve"> </w:t>
      </w:r>
      <w:r>
        <w:t xml:space="preserve">a standard directory attribute, not an OrgPath facet. See the</w:t>
      </w:r>
      <w:r>
        <w:t xml:space="preserve"> </w:t>
      </w:r>
      <w:hyperlink r:id="rId25">
        <w:r>
          <w:rPr>
            <w:rStyle w:val="Hyperlink"/>
          </w:rPr>
          <w:t xml:space="preserve">OrgPath Codebook (UIAO_151)</w:t>
        </w:r>
      </w:hyperlink>
      <w:r>
        <w:t xml:space="preserve"> </w:t>
      </w:r>
      <w:r>
        <w:t xml:space="preserve">for the canonical facet-to-slot map, and the</w:t>
      </w:r>
      <w:r>
        <w:t xml:space="preserve"> </w:t>
      </w:r>
      <w:hyperlink r:id="rId26">
        <w:r>
          <w:rPr>
            <w:rStyle w:val="Hyperlink"/>
          </w:rPr>
          <w:t xml:space="preserve">OrgPath narrative</w:t>
        </w:r>
      </w:hyperlink>
      <w:r>
        <w:t xml:space="preserve"> </w:t>
      </w:r>
      <w:r>
        <w:t xml:space="preserve">(Book 18 walks the</w:t>
      </w:r>
      <w:r>
        <w:t xml:space="preserve"> </w:t>
      </w:r>
      <w:r>
        <w:t xml:space="preserve">Model A → Model C evolution) for the series-length treatment.</w:t>
      </w:r>
    </w:p>
    <w:p>
      <w:pPr>
        <w:pStyle w:val="BodyText"/>
      </w:pPr>
      <w:r>
        <w:t xml:space="preserve">Example (per-facet values on one principal):</w:t>
      </w:r>
    </w:p>
    <w:p>
      <w:pPr>
        <w:pStyle w:val="SourceCode"/>
      </w:pPr>
      <w:r>
        <w:rPr>
          <w:rStyle w:val="VerbatimChar"/>
        </w:rPr>
        <w:t xml:space="preserve">extensionAttribute1 = EASTUS        # Region</w:t>
      </w:r>
      <w:r>
        <w:br/>
      </w:r>
      <w:r>
        <w:rPr>
          <w:rStyle w:val="VerbatimChar"/>
        </w:rPr>
        <w:t xml:space="preserve">extensionAttribute2 = IT            # Department</w:t>
      </w:r>
      <w:r>
        <w:br/>
      </w:r>
      <w:r>
        <w:rPr>
          <w:rStyle w:val="VerbatimChar"/>
        </w:rPr>
        <w:t xml:space="preserve">extensionAttribute3 = InfraOps      # Division</w:t>
      </w:r>
      <w:r>
        <w:br/>
      </w:r>
      <w:r>
        <w:rPr>
          <w:rStyle w:val="VerbatimChar"/>
        </w:rPr>
        <w:t xml:space="preserve">extensionAttribute4 = Engineer      # Role</w:t>
      </w:r>
    </w:p>
    <w:bookmarkEnd w:id="27"/>
    <w:bookmarkStart w:id="29" w:name="dynamic-group-model"/>
    <w:p>
      <w:pPr>
        <w:pStyle w:val="Heading1"/>
      </w:pPr>
      <w:r>
        <w:t xml:space="preserve">Dynamic Group Model</w:t>
      </w:r>
    </w:p>
    <w:p>
      <w:pPr>
        <w:pStyle w:val="FirstParagraph"/>
      </w:pPr>
      <w:r>
        <w:t xml:space="preserve">Groups are defined by boolean composition over facet predicates — not by</w:t>
      </w:r>
      <w:r>
        <w:t xml:space="preserve"> </w:t>
      </w:r>
      <w:r>
        <w:t xml:space="preserve">text-parsing a composite path:</w:t>
      </w:r>
    </w:p>
    <w:p>
      <w:pPr>
        <w:numPr>
          <w:ilvl w:val="0"/>
          <w:numId w:val="1003"/>
        </w:numPr>
      </w:pPr>
      <w:r>
        <w:t xml:space="preserve">Single-facet rules (</w:t>
      </w:r>
      <w:r>
        <w:rPr>
          <w:rStyle w:val="VerbatimChar"/>
        </w:rPr>
        <w:t xml:space="preserve">-eq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-in</w:t>
      </w:r>
      <w:r>
        <w:t xml:space="preserve">) — all principals carrying a value in one facet</w:t>
      </w:r>
    </w:p>
    <w:p>
      <w:pPr>
        <w:numPr>
          <w:ilvl w:val="0"/>
          <w:numId w:val="1003"/>
        </w:numPr>
      </w:pPr>
      <w:r>
        <w:t xml:space="preserve">Multi-facet AND rules — principals matching every clause across multiple facets</w:t>
      </w:r>
    </w:p>
    <w:p>
      <w:pPr>
        <w:numPr>
          <w:ilvl w:val="0"/>
          <w:numId w:val="1003"/>
        </w:numPr>
      </w:pPr>
      <w:r>
        <w:t xml:space="preserve">Multi-facet OR / set rules — cross-cutting groupings</w:t>
      </w:r>
    </w:p>
    <w:p>
      <w:pPr>
        <w:pStyle w:val="FirstParagraph"/>
      </w:pPr>
      <w:r>
        <w:t xml:space="preserve">Example Rules:</w:t>
      </w:r>
    </w:p>
    <w:p>
      <w:pPr>
        <w:pStyle w:val="SourceCode"/>
      </w:pPr>
      <w:r>
        <w:rPr>
          <w:rStyle w:val="VerbatimChar"/>
        </w:rPr>
        <w:t xml:space="preserve">(attr2 -eq "IT")                              # All IT department users</w:t>
      </w:r>
      <w:r>
        <w:br/>
      </w:r>
      <w:r>
        <w:rPr>
          <w:rStyle w:val="VerbatimChar"/>
        </w:rPr>
        <w:t xml:space="preserve">(attr2 -eq "IT") and (attr3 -eq "InfraOps")   # IT / Infrastructure division</w:t>
      </w:r>
      <w:r>
        <w:br/>
      </w:r>
      <w:r>
        <w:rPr>
          <w:rStyle w:val="VerbatimChar"/>
        </w:rPr>
        <w:t xml:space="preserve">(attr1 -in ["NCR","EASTUS","WESTUS"])         # All US-region users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8">
        <w:r>
          <w:rPr>
            <w:rStyle w:val="Hyperlink"/>
          </w:rPr>
          <w:t xml:space="preserve">Dynamic Group Library (UIAO_152)</w:t>
        </w:r>
      </w:hyperlink>
      <w:r>
        <w:t xml:space="preserve"> </w:t>
      </w:r>
      <w:r>
        <w:t xml:space="preserve">for the canonical rule inventory.</w:t>
      </w:r>
    </w:p>
    <w:bookmarkEnd w:id="29"/>
    <w:bookmarkStart w:id="31" w:name="delegation-model"/>
    <w:p>
      <w:pPr>
        <w:pStyle w:val="Heading1"/>
      </w:pPr>
      <w:r>
        <w:t xml:space="preserve">Delegation Model</w:t>
      </w:r>
    </w:p>
    <w:p>
      <w:pPr>
        <w:pStyle w:val="FirstParagraph"/>
      </w:pPr>
      <w:r>
        <w:t xml:space="preserve">Administrative Units and scoped roles replace traditional OU-based delegation. AU membership is driven by the same canonical facets, per the</w:t>
      </w:r>
      <w:r>
        <w:t xml:space="preserve"> </w:t>
      </w:r>
      <w:hyperlink r:id="rId30">
        <w:r>
          <w:rPr>
            <w:rStyle w:val="Hyperlink"/>
          </w:rPr>
          <w:t xml:space="preserve">Delegation Matrix (UIAO_154)</w:t>
        </w:r>
      </w:hyperlink>
      <w:r>
        <w:t xml:space="preserve">.</w:t>
      </w:r>
    </w:p>
    <w:bookmarkEnd w:id="31"/>
    <w:bookmarkStart w:id="32" w:name="operational-flow"/>
    <w:p>
      <w:pPr>
        <w:pStyle w:val="Heading1"/>
      </w:pPr>
      <w:r>
        <w:t xml:space="preserve">Operational Flow</w:t>
      </w:r>
    </w:p>
    <w:p>
      <w:pPr>
        <w:numPr>
          <w:ilvl w:val="0"/>
          <w:numId w:val="1004"/>
        </w:numPr>
      </w:pPr>
      <w:r>
        <w:t xml:space="preserve">HR system updates user data</w:t>
      </w:r>
    </w:p>
    <w:p>
      <w:pPr>
        <w:numPr>
          <w:ilvl w:val="0"/>
          <w:numId w:val="1004"/>
        </w:numPr>
      </w:pPr>
      <w:r>
        <w:t xml:space="preserve">The facet values are written</w:t>
      </w:r>
      <w:r>
        <w:t xml:space="preserve"> </w:t>
      </w:r>
      <w:r>
        <w:rPr>
          <w:b/>
          <w:bCs/>
        </w:rPr>
        <w:t xml:space="preserve">to on-premises AD</w:t>
      </w:r>
      <w:r>
        <w:t xml:space="preserve"> </w:t>
      </w:r>
      <w:r>
        <w:t xml:space="preserve">— the source of</w:t>
      </w:r>
      <w:r>
        <w:t xml:space="preserve"> </w:t>
      </w:r>
      <w:r>
        <w:t xml:space="preserve">authority for any synced user</w:t>
      </w:r>
    </w:p>
    <w:p>
      <w:pPr>
        <w:numPr>
          <w:ilvl w:val="0"/>
          <w:numId w:val="1004"/>
        </w:numPr>
      </w:pPr>
      <w:r>
        <w:t xml:space="preserve">Directory sync carries the change to Entra (this hop has latency; it is</w:t>
      </w:r>
      <w:r>
        <w:t xml:space="preserve"> </w:t>
      </w:r>
      <w:r>
        <w:t xml:space="preserve">not instantaneous)</w:t>
      </w:r>
    </w:p>
    <w:p>
      <w:pPr>
        <w:numPr>
          <w:ilvl w:val="0"/>
          <w:numId w:val="1004"/>
        </w:numPr>
      </w:pPr>
      <w:r>
        <w:t xml:space="preserve">Dynamic groups recalculate membership</w:t>
      </w:r>
    </w:p>
    <w:p>
      <w:pPr>
        <w:numPr>
          <w:ilvl w:val="0"/>
          <w:numId w:val="1004"/>
        </w:numPr>
      </w:pPr>
      <w:r>
        <w:t xml:space="preserve">Access and policies update automatically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cloud-only</w:t>
      </w:r>
      <w:r>
        <w:t xml:space="preserve"> </w:t>
      </w:r>
      <w:r>
        <w:t xml:space="preserve">user, or for a</w:t>
      </w:r>
      <w:r>
        <w:t xml:space="preserve"> </w:t>
      </w:r>
      <w:r>
        <w:rPr>
          <w:b/>
          <w:bCs/>
        </w:rPr>
        <w:t xml:space="preserve">device</w:t>
      </w:r>
      <w:r>
        <w:t xml:space="preserve">, steps 2–3 collapse into a</w:t>
      </w:r>
      <w:r>
        <w:t xml:space="preserve"> </w:t>
      </w:r>
      <w:r>
        <w:t xml:space="preserve">direct Graph write and the latency hop disappears.</w:t>
      </w:r>
    </w:p>
    <w:bookmarkEnd w:id="32"/>
    <w:bookmarkStart w:id="35" w:name="key-benefits"/>
    <w:p>
      <w:pPr>
        <w:pStyle w:val="Heading1"/>
      </w:pPr>
      <w:r>
        <w:t xml:space="preserve">Key Benefits</w:t>
      </w:r>
    </w:p>
    <w:p>
      <w:pPr>
        <w:numPr>
          <w:ilvl w:val="0"/>
          <w:numId w:val="1005"/>
        </w:numPr>
      </w:pPr>
      <w:r>
        <w:t xml:space="preserve">Access recalculates automatically when an attribute changes, instead of</w:t>
      </w:r>
      <w:r>
        <w:t xml:space="preserve"> </w:t>
      </w:r>
      <w:r>
        <w:t xml:space="preserve">requiring a manual ticket and admin action to reassign it.</w:t>
      </w:r>
    </w:p>
    <w:p>
      <w:pPr>
        <w:numPr>
          <w:ilvl w:val="0"/>
          <w:numId w:val="1005"/>
        </w:numPr>
      </w:pPr>
      <w:r>
        <w:t xml:space="preserve">Access decisions trace to a specific rule and facet value, instead of an</w:t>
      </w:r>
      <w:r>
        <w:t xml:space="preserve"> </w:t>
      </w:r>
      <w:r>
        <w:t xml:space="preserve">undocumented manual grant that has to be reconstructed after the fact.</w:t>
      </w:r>
    </w:p>
    <w:p>
      <w:pPr>
        <w:numPr>
          <w:ilvl w:val="0"/>
          <w:numId w:val="1005"/>
        </w:numPr>
      </w:pPr>
      <w:r>
        <w:t xml:space="preserve">Access narrows the moment a facet value narrows (e.g., a role or</w:t>
      </w:r>
      <w:r>
        <w:t xml:space="preserve"> </w:t>
      </w:r>
      <w:r>
        <w:t xml:space="preserve">clearance change), instead of persisting until someone notices and files</w:t>
      </w:r>
      <w:r>
        <w:t xml:space="preserve"> </w:t>
      </w:r>
      <w:r>
        <w:t xml:space="preserve">a revocation ticket.</w:t>
      </w:r>
    </w:p>
    <w:p>
      <w:pPr>
        <w:numPr>
          <w:ilvl w:val="0"/>
          <w:numId w:val="1005"/>
        </w:numPr>
      </w:pPr>
      <w:r>
        <w:t xml:space="preserve">Audit evidence is the facet-to-access rule set itself, instead of a</w:t>
      </w:r>
      <w:r>
        <w:t xml:space="preserve"> </w:t>
      </w:r>
      <w:r>
        <w:t xml:space="preserve">reconstructed history of tickets and manual grants.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warning.png" id="3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ILLUSTRATIVE — replace before external release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Cuts average provisioning lag from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days to the directory-sync interval —</w:t>
            </w:r>
            <w:r>
              <w:t xml:space="preserve"> </w:t>
            </w:r>
            <w:r>
              <w:t xml:space="preserve">not to zero: for synced users the AD-to-Entra hop is the floor, and a claim of</w:t>
            </w:r>
            <w:r>
              <w:t xml:space="preserve"> </w:t>
            </w:r>
            <w:r>
              <w:t xml:space="preserve">“near-zero” overstates it — and reduces the</w:t>
            </w:r>
            <w:r>
              <w:t xml:space="preserve"> </w:t>
            </w:r>
            <w:r>
              <w:t xml:space="preserve">share of accounts carrying stale/over-permissioned access from</w:t>
            </w:r>
            <w:r>
              <w:t xml:space="preserve"> </w:t>
            </w:r>
            <w:r>
              <w:rPr>
                <w:rStyle w:val="VerbatimChar"/>
              </w:rPr>
              <w:t xml:space="preserve">[Y]</w:t>
            </w:r>
            <w:r>
              <w:t xml:space="preserve">% to</w:t>
            </w:r>
            <w:r>
              <w:t xml:space="preserve"> </w:t>
            </w:r>
            <w:r>
              <w:rPr>
                <w:rStyle w:val="VerbatimChar"/>
              </w:rPr>
              <w:t xml:space="preserve">[Z]</w:t>
            </w:r>
            <w:r>
              <w:t xml:space="preserve">%.</w:t>
            </w:r>
          </w:p>
          <w:p/>
        </w:tc>
      </w:tr>
    </w:tbl>
    <w:bookmarkEnd w:id="35"/>
    <w:bookmarkStart w:id="36" w:name="risks-and-mitigations"/>
    <w:p>
      <w:pPr>
        <w:pStyle w:val="Heading1"/>
      </w:pPr>
      <w:r>
        <w:t xml:space="preserve">Risks and Mitigations</w:t>
      </w:r>
    </w:p>
    <w:p>
      <w:pPr>
        <w:numPr>
          <w:ilvl w:val="0"/>
          <w:numId w:val="1006"/>
        </w:numPr>
      </w:pPr>
      <w:r>
        <w:t xml:space="preserve">Data quality issues → implement validation pipelines</w:t>
      </w:r>
    </w:p>
    <w:p>
      <w:pPr>
        <w:numPr>
          <w:ilvl w:val="0"/>
          <w:numId w:val="1006"/>
        </w:numPr>
      </w:pPr>
      <w:r>
        <w:t xml:space="preserve">Group sprawl → enforce naming standards and lifecycle management</w:t>
      </w:r>
    </w:p>
    <w:p>
      <w:pPr>
        <w:numPr>
          <w:ilvl w:val="0"/>
          <w:numId w:val="1006"/>
        </w:numPr>
      </w:pPr>
      <w:r>
        <w:t xml:space="preserve">Complexity → apply governance and documentation</w:t>
      </w:r>
    </w:p>
    <w:p>
      <w:pPr>
        <w:numPr>
          <w:ilvl w:val="0"/>
          <w:numId w:val="1006"/>
        </w:numPr>
      </w:pPr>
      <w:r>
        <w:t xml:space="preserve">Delegation gaps → align administrative units with major org segments</w:t>
      </w:r>
    </w:p>
    <w:bookmarkEnd w:id="36"/>
    <w:bookmarkStart w:id="37" w:name="strategic-impact"/>
    <w:p>
      <w:pPr>
        <w:pStyle w:val="Heading1"/>
      </w:pPr>
      <w:r>
        <w:t xml:space="preserve">Strategic Impact</w:t>
      </w:r>
    </w:p>
    <w:p>
      <w:pPr>
        <w:numPr>
          <w:ilvl w:val="0"/>
          <w:numId w:val="1007"/>
        </w:numPr>
      </w:pPr>
      <w:r>
        <w:t xml:space="preserve">Enables Zero Trust security models</w:t>
      </w:r>
    </w:p>
    <w:p>
      <w:pPr>
        <w:numPr>
          <w:ilvl w:val="0"/>
          <w:numId w:val="1007"/>
        </w:numPr>
      </w:pPr>
      <w:r>
        <w:t xml:space="preserve">Aligns HR, IT, and Security operations</w:t>
      </w:r>
    </w:p>
    <w:p>
      <w:pPr>
        <w:numPr>
          <w:ilvl w:val="0"/>
          <w:numId w:val="1007"/>
        </w:numPr>
      </w:pPr>
      <w:r>
        <w:t xml:space="preserve">Supports SaaS and cloud-native environments</w:t>
      </w:r>
    </w:p>
    <w:p>
      <w:pPr>
        <w:numPr>
          <w:ilvl w:val="0"/>
          <w:numId w:val="1007"/>
        </w:numPr>
      </w:pPr>
      <w:r>
        <w:t xml:space="preserve">Transforms identity into a control plane</w:t>
      </w:r>
    </w:p>
    <w:bookmarkEnd w:id="37"/>
    <w:bookmarkStart w:id="3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AODIM transforms identity systems from static directories into dynamic, attribute-driven control planes. By aligning access with authoritative identity data, organizations achieve greater agility, security, and operational efficiency.</w:t>
      </w:r>
    </w:p>
    <w:bookmarkEnd w:id="38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14:52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hyperlink" Id="rId12" Target="https://github.com/WhalerMike/uiao/blob/main/src/uiao/canon/UIAO_006_AODIM_Architecture_v1.0.md" TargetMode="External" /><Relationship Type="http://schemas.openxmlformats.org/officeDocument/2006/relationships/hyperlink" Id="rId25" Target="https://github.com/WhalerMike/uiao/blob/main/src/uiao/canon/UIAO_151_OrgPath_Codebook.md" TargetMode="External" /><Relationship Type="http://schemas.openxmlformats.org/officeDocument/2006/relationships/hyperlink" Id="rId28" Target="https://github.com/WhalerMike/uiao/blob/main/src/uiao/canon/UIAO_152_Dynamic_Group_Library.md" TargetMode="External" /><Relationship Type="http://schemas.openxmlformats.org/officeDocument/2006/relationships/hyperlink" Id="rId30" Target="https://github.com/WhalerMike/uiao/blob/main/src/uiao/canon/UIAO_154_Delegation_Matrix_AUs_Roles.md" TargetMode="External" /><Relationship Type="http://schemas.openxmlformats.org/officeDocument/2006/relationships/hyperlink" Id="rId23" Target="https://whalermike.github.io/uiao/adr/adr-078-orgpath-attribute-schema-15-facet.html" TargetMode="External" /><Relationship Type="http://schemas.openxmlformats.org/officeDocument/2006/relationships/hyperlink" Id="rId24" Target="https://whalermike.github.io/uiao/adr/adr-127-orgpath-hybrid-derived-path.html" TargetMode="External" /><Relationship Type="http://schemas.openxmlformats.org/officeDocument/2006/relationships/hyperlink" Id="rId26" Target="https://whalermike.github.io/uiao/customer-documents/orgpath-narrative/index.html" TargetMode="External" /><Relationship Type="http://schemas.openxmlformats.org/officeDocument/2006/relationships/hyperlink" Id="rId20" Target="https://whalermike.github.io/uiao/customer-documents/reference-architecture/orgpath-minimal-implementation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WhalerMike/uiao/blob/main/src/uiao/canon/UIAO_006_AODIM_Architecture_v1.0.md" TargetMode="External" /><Relationship Type="http://schemas.openxmlformats.org/officeDocument/2006/relationships/hyperlink" Id="rId25" Target="https://github.com/WhalerMike/uiao/blob/main/src/uiao/canon/UIAO_151_OrgPath_Codebook.md" TargetMode="External" /><Relationship Type="http://schemas.openxmlformats.org/officeDocument/2006/relationships/hyperlink" Id="rId28" Target="https://github.com/WhalerMike/uiao/blob/main/src/uiao/canon/UIAO_152_Dynamic_Group_Library.md" TargetMode="External" /><Relationship Type="http://schemas.openxmlformats.org/officeDocument/2006/relationships/hyperlink" Id="rId30" Target="https://github.com/WhalerMike/uiao/blob/main/src/uiao/canon/UIAO_154_Delegation_Matrix_AUs_Roles.md" TargetMode="External" /><Relationship Type="http://schemas.openxmlformats.org/officeDocument/2006/relationships/hyperlink" Id="rId23" Target="https://whalermike.github.io/uiao/adr/adr-078-orgpath-attribute-schema-15-facet.html" TargetMode="External" /><Relationship Type="http://schemas.openxmlformats.org/officeDocument/2006/relationships/hyperlink" Id="rId24" Target="https://whalermike.github.io/uiao/adr/adr-127-orgpath-hybrid-derived-path.html" TargetMode="External" /><Relationship Type="http://schemas.openxmlformats.org/officeDocument/2006/relationships/hyperlink" Id="rId26" Target="https://whalermike.github.io/uiao/customer-documents/orgpath-narrative/index.html" TargetMode="External" /><Relationship Type="http://schemas.openxmlformats.org/officeDocument/2006/relationships/hyperlink" Id="rId20" Target="https://whalermike.github.io/uiao/customer-documents/reference-architecture/orgpath-minimal-implement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AODIM — Attribute-Oriented Directory &amp; Identity Model</dc:title>
  <dc:creator>Michael Stratton</dc:creator>
  <cp:keywords/>
  <dcterms:created xsi:type="dcterms:W3CDTF">2026-09-16T14:52:59Z</dcterms:created>
  <dcterms:modified xsi:type="dcterms:W3CDTF">2026-09-16T14:52:59Z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inbox/Posted/AODIM_Executive_Whitepaper.docx</vt:lpwstr>
  </property>
  <property fmtid="{D5CDD505-2E9C-101B-9397-08002B2CF9AE}" pid="7" name="created-at">
    <vt:lpwstr>2026-04-26</vt:lpwstr>
  </property>
  <property fmtid="{D5CDD505-2E9C-101B-9397-08002B2CF9AE}" pid="8" name="date">
    <vt:lpwstr>2026-04-01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2026-11-22</vt:lpwstr>
  </property>
  <property fmtid="{D5CDD505-2E9C-101B-9397-08002B2CF9AE}" pid="16" name="mermaid">
    <vt:lpwstr/>
  </property>
  <property fmtid="{D5CDD505-2E9C-101B-9397-08002B2CF9AE}" pid="17" name="repo-path">
    <vt:lpwstr>docs/customer-documents/whitepapers/aodim-executive-whitepaper.qmd</vt:lpwstr>
  </property>
  <property fmtid="{D5CDD505-2E9C-101B-9397-08002B2CF9AE}" pid="18" name="status">
    <vt:lpwstr>Active</vt:lpwstr>
  </property>
  <property fmtid="{D5CDD505-2E9C-101B-9397-08002B2CF9AE}" pid="19" name="subtitle">
    <vt:lpwstr>Making identity attributes the authoritative driver of access, policy, and governance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1.3</vt:lpwstr>
  </property>
</Properties>
</file>