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Style w:val="Normal"/>
        </w:rPr>
        <w:t xml:space="preserve">1. ** _</w:t>
      </w:r>
      <w:r>
        <w:rPr>
          <w:rStyle w:val="Normal"/>
        </w:rPr>
        <w:t xml:space="preserve">Book‑by‑Book Critique:**_ </w:t>
      </w:r>
      <w:r>
        <w:rPr>
          <w:b/>
          <w:bCs/>
          <w:rStyle w:val="Normal"/>
        </w:rPr>
        <w:t xml:space="preserve">Book 01 (Transformation Arc: Client–Server to Hybrid Cloud)</w:t>
      </w:r>
      <w:r>
        <w:rPr>
          <w:rStyle w:val="Normal"/>
        </w:rPr>
        <w:t xml:space="preserve"> – </w:t>
      </w:r>
      <w:r>
        <w:rPr>
          <w:b/>
          <w:bCs/>
          <w:rStyle w:val="Normal"/>
        </w:rPr>
        <w:t xml:space="preserve">Clarity &amp; Structure:</w:t>
      </w:r>
      <w:r>
        <w:rPr>
          <w:rStyle w:val="Normal"/>
        </w:rPr>
        <w:t xml:space="preserve"> As the overview, Book 01 is dense but generally well-organized; however, some content is repetitive and overburdened with footnotes, which can hinder readability. The “five prerequisites” for modernization are presented as the Workbook’s own synthesis – a valuable framing, but the text should more clearly separate these </w:t>
      </w:r>
      <w:r>
        <w:rPr>
          <w:i/>
          <w:iCs/>
          <w:rStyle w:val="Normal"/>
        </w:rPr>
        <w:t xml:space="preserve">framework</w:t>
      </w:r>
      <w:r>
        <w:rPr>
          <w:rStyle w:val="Normal"/>
        </w:rPr>
        <w:t xml:space="preserve"> recommendations from formal policy requirements. </w:t>
      </w:r>
      <w:r>
        <w:rPr>
          <w:b/>
          <w:bCs/>
          <w:rStyle w:val="Normal"/>
        </w:rPr>
        <w:t xml:space="preserve">Scope &amp; Assumptions:</w:t>
      </w:r>
      <w:r>
        <w:rPr>
          <w:rStyle w:val="Normal"/>
        </w:rPr>
        <w:t xml:space="preserve"> The assumed target environment is heavily Microsoft-centric (Entra ID, Intune, etc.), which may not be obvious to all readers. The </w:t>
      </w:r>
      <w:r>
        <w:rPr>
          <w:b/>
          <w:bCs/>
          <w:rStyle w:val="Normal"/>
        </w:rPr>
        <w:t xml:space="preserve">“environment this book assumes”</w:t>
      </w:r>
      <w:r>
        <w:rPr>
          <w:rStyle w:val="Normal"/>
        </w:rPr>
        <w:t xml:space="preserve"> section does note the dependence on Microsoft’s commercial cloud services, but the narrative could better clarify that this reference architecture presupposes moving to </w:t>
      </w:r>
      <w:r>
        <w:rPr>
          <w:b/>
          <w:bCs/>
          <w:rStyle w:val="Normal"/>
        </w:rPr>
        <w:t xml:space="preserve">Azure/Microsoft 365</w:t>
      </w:r>
      <w:r>
        <w:rPr>
          <w:rStyle w:val="Normal"/>
        </w:rPr>
        <w:t xml:space="preserve"> – important for agencies with multi-vendor ecosystems. </w:t>
      </w:r>
      <w:r>
        <w:rPr>
          <w:b/>
          <w:bCs/>
          <w:rStyle w:val="Normal"/>
        </w:rPr>
        <w:t xml:space="preserve">Technical Accuracy:</w:t>
      </w:r>
      <w:r>
        <w:rPr>
          <w:rStyle w:val="Normal"/>
        </w:rPr>
        <w:t xml:space="preserve"> The draft commendably corrects earlier errors (e.g. clarifying that NAT changes don’t inherently break Kerberos, which only becomes an issue if domain controllers are inaccessible or time skew exceeds 5 minutes). It also avoids the common pitfall of treating “hybrid join” as an end-state, consistently framing it as a </w:t>
      </w:r>
      <w:r>
        <w:rPr>
          <w:b/>
          <w:bCs/>
          <w:rStyle w:val="Normal"/>
        </w:rPr>
        <w:t xml:space="preserve">temporary waypoint</w:t>
      </w:r>
      <w:r>
        <w:rPr>
          <w:rStyle w:val="Normal"/>
        </w:rPr>
        <w:t xml:space="preserve"> to full cloud join. However, some broad claims could be tightened: for example, implying that </w:t>
      </w:r>
      <w:r>
        <w:rPr>
          <w:b/>
          <w:bCs/>
          <w:rStyle w:val="Normal"/>
        </w:rPr>
        <w:t xml:space="preserve">OMB M-22-09</w:t>
      </w:r>
      <w:r>
        <w:rPr>
          <w:rStyle w:val="Normal"/>
        </w:rPr>
        <w:t xml:space="preserve"> (Federal Zero Trust strategy) contains a “Section 4” may confuse readers (the memo isn’t organized by numbered sections). Book 01 should carefully distinguish </w:t>
      </w:r>
      <w:r>
        <w:rPr>
          <w:b/>
          <w:bCs/>
          <w:rStyle w:val="Normal"/>
        </w:rPr>
        <w:t xml:space="preserve">“prerequisites” that the authors derive</w:t>
      </w:r>
      <w:r>
        <w:rPr>
          <w:rStyle w:val="Normal"/>
        </w:rPr>
        <w:t xml:space="preserve"> (like having a single identity source or continuous monitoring) from what policies </w:t>
      </w:r>
      <w:r>
        <w:rPr>
          <w:i/>
          <w:iCs/>
          <w:rStyle w:val="Normal"/>
        </w:rPr>
        <w:t xml:space="preserve">literally</w:t>
      </w:r>
      <w:r>
        <w:rPr>
          <w:rStyle w:val="Normal"/>
        </w:rPr>
        <w:t xml:space="preserve"> mandate; e.g. M-22-09 requires </w:t>
      </w:r>
      <w:r>
        <w:rPr>
          <w:i/>
          <w:iCs/>
          <w:rStyle w:val="Normal"/>
        </w:rPr>
        <w:t xml:space="preserve">phishing-resistant MFA and continuous logging</w:t>
      </w:r>
      <w:r>
        <w:rPr>
          <w:rStyle w:val="Normal"/>
        </w:rPr>
        <w:t xml:space="preserve">, but it doesn’t prescribe the specific Microsoft solutions recommended here. </w:t>
      </w:r>
      <w:r>
        <w:rPr>
          <w:b/>
          <w:bCs/>
          <w:rStyle w:val="Normal"/>
        </w:rPr>
        <w:t xml:space="preserve">Applicability:</w:t>
      </w:r>
      <w:r>
        <w:rPr>
          <w:rStyle w:val="Normal"/>
        </w:rPr>
        <w:t xml:space="preserve"> The text appropriately notes it is </w:t>
      </w:r>
      <w:r>
        <w:rPr>
          <w:i/>
          <w:iCs/>
          <w:rStyle w:val="Normal"/>
        </w:rPr>
        <w:t xml:space="preserve">not</w:t>
      </w:r>
      <w:r>
        <w:rPr>
          <w:rStyle w:val="Normal"/>
        </w:rPr>
        <w:t xml:space="preserve"> an official government publication and that partial adoption (such as leaving a minimal on-prem AD) is a valid outcome. Still, it might better emphasize that agencies with strict air-gapped or non-Microsoft environments will need alternative approaches (a point touched on in an applicability appendix). </w:t>
      </w:r>
      <w:r>
        <w:rPr>
          <w:b/>
          <w:bCs/>
          <w:rStyle w:val="Normal"/>
        </w:rPr>
        <w:t xml:space="preserve">Implementability:</w:t>
      </w:r>
      <w:r>
        <w:rPr>
          <w:rStyle w:val="Normal"/>
        </w:rPr>
        <w:t xml:space="preserve"> Book 01’s phased roadmap (Inventory → Identity → Devices → Retire AD, etc.) is sound and methodical. One concern is the </w:t>
      </w:r>
      <w:r>
        <w:rPr>
          <w:b/>
          <w:bCs/>
          <w:rStyle w:val="Normal"/>
        </w:rPr>
        <w:t xml:space="preserve">ambitious 2027 timeline</w:t>
      </w:r>
      <w:r>
        <w:rPr>
          <w:rStyle w:val="Normal"/>
        </w:rPr>
        <w:t xml:space="preserve"> implicitly suggested in places; the text references a January 1, 2027 date for agencies to reach “steady-state” modernization, seemingly tied to expected </w:t>
      </w:r>
      <w:r>
        <w:rPr>
          <w:b/>
          <w:bCs/>
          <w:rStyle w:val="Normal"/>
        </w:rPr>
        <w:t xml:space="preserve">FedRAMP</w:t>
      </w:r>
      <w:r>
        <w:rPr>
          <w:rStyle w:val="Normal"/>
        </w:rPr>
        <w:t xml:space="preserve"> changes. This could mislead readers – FedRAMP deadlines apply to </w:t>
      </w:r>
      <w:r>
        <w:rPr>
          <w:b/>
          <w:bCs/>
          <w:rStyle w:val="Normal"/>
        </w:rPr>
        <w:t xml:space="preserve">cloud service providers</w:t>
      </w:r>
      <w:r>
        <w:rPr>
          <w:rStyle w:val="Normal"/>
        </w:rPr>
        <w:t xml:space="preserve"> (CSPs) obtaining </w:t>
      </w:r>
      <w:r>
        <w:rPr>
          <w:b/>
          <w:bCs/>
          <w:rStyle w:val="Normal"/>
        </w:rPr>
        <w:t xml:space="preserve">FedRAMP Rev. 5 certification by 2026–2027</w:t>
      </w:r>
      <w:r>
        <w:rPr>
          <w:rStyle w:val="Normal"/>
        </w:rPr>
        <w:t xml:space="preserve">, not to agencies finishing their internal migrations. Clarifying that distinction would prevent a false sense of compliance urgency. Overall, Book 01 sets a strong vision but should more explicitly call out where it is interpreting federal guidance (e.g. translating CISA’s maturity model into “prerequisites”) versus stating established mandates, to avoid confusion between the authors’ advice and official policy. </w:t>
      </w:r>
      <w:hyperlink w:history="1" r:id="rIdxndopo8hkb6v6krwp4jw8">
        <w:r>
          <w:rPr>
            <w:rStyle w:val="Hyperlink"/>
          </w:rPr>
          <w:t xml:space="preserve">[ | Word]</w:t>
        </w:r>
      </w:hyperlink>
      <w:r>
        <w:rPr>
          <w:rStyle w:val="Normal"/>
        </w:rPr>
        <w:t xml:space="preserve"> </w:t>
      </w:r>
      <w:hyperlink w:history="1" r:id="rIdclp15g4ye_kdnch1wlvpx">
        <w:r>
          <w:rPr>
            <w:rStyle w:val="Hyperlink"/>
          </w:rPr>
          <w:t xml:space="preserve">[b06-data-p...orm-bundle | Word]</w:t>
        </w:r>
      </w:hyperlink>
      <w:r>
        <w:rPr>
          <w:rStyle w:val="Normal"/>
        </w:rPr>
        <w:t xml:space="preserve">, </w:t>
      </w:r>
      <w:hyperlink w:history="1" r:id="rId_krs9iwpnc4a2h7llin_e">
        <w:r>
          <w:rPr>
            <w:rStyle w:val="Hyperlink"/>
          </w:rPr>
          <w:t xml:space="preserve">[b06-data-p...orm-bundle | Word]</w:t>
        </w:r>
      </w:hyperlink>
      <w:r>
        <w:rPr>
          <w:rStyle w:val="Normal"/>
        </w:rPr>
        <w:t xml:space="preserve"> </w:t>
      </w:r>
      <w:hyperlink w:history="1" r:id="rIddqrkxdgwhst4zwpa7ml1c">
        <w:r>
          <w:rPr>
            <w:rStyle w:val="Hyperlink"/>
          </w:rPr>
          <w:t xml:space="preserve">[b01-transf...arc-bundle | Word]</w:t>
        </w:r>
      </w:hyperlink>
      <w:r>
        <w:rPr>
          <w:rStyle w:val="Normal"/>
        </w:rPr>
        <w:t xml:space="preserve">, </w:t>
      </w:r>
      <w:hyperlink w:history="1" r:id="rIdmeer6172xfcgzr-0ytxvw">
        <w:r>
          <w:rPr>
            <w:rStyle w:val="Hyperlink"/>
          </w:rPr>
          <w:t xml:space="preserve">[b01-transf...arc-bundle | Word]</w:t>
        </w:r>
      </w:hyperlink>
      <w:r>
        <w:rPr>
          <w:rStyle w:val="Normal"/>
        </w:rPr>
        <w:t xml:space="preserve"> </w:t>
      </w:r>
      <w:hyperlink w:history="1" r:id="rIdsexwrq2xaiy-mjr088cff">
        <w:r>
          <w:rPr>
            <w:rStyle w:val="Hyperlink"/>
          </w:rPr>
          <w:t xml:space="preserve">[b06-data-p...orm-bundle | Word]</w:t>
        </w:r>
      </w:hyperlink>
    </w:p>
    <w:p>
      <w:r>
        <w:rPr>
          <w:b/>
          <w:bCs/>
          <w:rStyle w:val="Normal"/>
        </w:rPr>
        <w:t xml:space="preserve">Book 02 (Identity &amp; Directory – AD to Entra ID)</w:t>
      </w:r>
      <w:r>
        <w:rPr>
          <w:rStyle w:val="Normal"/>
        </w:rPr>
        <w:t xml:space="preserve"> – </w:t>
      </w:r>
      <w:r>
        <w:rPr>
          <w:b/>
          <w:bCs/>
          <w:rStyle w:val="Normal"/>
        </w:rPr>
        <w:t xml:space="preserve">Clarity &amp; Organization:</w:t>
      </w:r>
      <w:r>
        <w:rPr>
          <w:rStyle w:val="Normal"/>
        </w:rPr>
        <w:t xml:space="preserve"> This book dives deep into comparing Active Directory with </w:t>
      </w:r>
      <w:r>
        <w:rPr>
          <w:b/>
          <w:bCs/>
          <w:rStyle w:val="Normal"/>
        </w:rPr>
        <w:t xml:space="preserve">Microsoft Entra ID (Azure AD)</w:t>
      </w:r>
      <w:r>
        <w:rPr>
          <w:rStyle w:val="Normal"/>
        </w:rPr>
        <w:t xml:space="preserve">, using side-by-side tables and dense technical narrative. Many sections are highly detailed (e.g. the “AD vs Entra” protocol and feature mappings), but some tables and diagrams are difficult to follow due to their complexity and occasional formatting issues. For instance, overlapping headings and raw Markdown/HTML artifacts appear in the draft, suggesting a need for editing and visual aids (cleaner tables or diagrams) to convey complex comparisons more clearly. There are also instances of incomplete sentences or placeholder text (the draft shows an “excerpt ends mid-sentence” in one section, and footnote markers like </w:t>
      </w:r>
      <w:r>
        <w:rPr>
          <w:rStyle w:val="Quote"/>
        </w:rPr>
        <w:t xml:space="preserve">and</w:t>
      </w:r>
      <w:r>
        <w:rPr>
          <w:rStyle w:val="Normal"/>
        </w:rPr>
        <w:t xml:space="preserve"> with no content) – indicating some editing glitches that impair clarity. </w:t>
      </w:r>
      <w:r>
        <w:rPr>
          <w:b/>
          <w:bCs/>
          <w:rStyle w:val="Normal"/>
        </w:rPr>
        <w:t xml:space="preserve">Scope &amp; Assumptions:</w:t>
      </w:r>
      <w:r>
        <w:rPr>
          <w:rStyle w:val="Normal"/>
        </w:rPr>
        <w:t xml:space="preserve"> Book 02 focuses almost exclusively on Microsoft’s cloud identity stack as the target state (e.g. Entra ID as the single IdP, Intune for device management, etc.), which is a reasonable scenario for many agencies but should be acknowledged as an assumption. Some statements risk overgeneralization – for example, the claim that zero trust “makes the identity provider the policy decision point for the </w:t>
      </w:r>
      <w:r>
        <w:rPr>
          <w:b/>
          <w:bCs/>
          <w:rStyle w:val="Normal"/>
        </w:rPr>
        <w:t xml:space="preserve">whole estate</w:t>
      </w:r>
      <w:r>
        <w:rPr>
          <w:rStyle w:val="Normal"/>
        </w:rPr>
        <w:t xml:space="preserve">” overlooks on-prem systems and legacy auth that still rely on Kerberos, LDAP, etc.. The guidance that </w:t>
      </w:r>
      <w:r>
        <w:rPr>
          <w:i/>
          <w:iCs/>
          <w:rStyle w:val="Normal"/>
        </w:rPr>
        <w:t xml:space="preserve">“Cloud Sync is replacing Entra Connect Sync”</w:t>
      </w:r>
      <w:r>
        <w:rPr>
          <w:rStyle w:val="Normal"/>
        </w:rPr>
        <w:t xml:space="preserve"> is presented too categorically; in reality Microsoft’s Cloud Sync </w:t>
      </w:r>
      <w:r>
        <w:rPr>
          <w:b/>
          <w:bCs/>
          <w:rStyle w:val="Normal"/>
        </w:rPr>
        <w:t xml:space="preserve">is not yet a full replacement</w:t>
      </w:r>
      <w:r>
        <w:rPr>
          <w:rStyle w:val="Normal"/>
        </w:rPr>
        <w:t xml:space="preserve"> – it lacks support for certain object types and advanced rules, and the timeline for completely deprecating Azure AD Connect is not yet settled. The book should couch such statements as forward-looking (e.g. “Cloud Sync is expected to eventually replace Connect Sync for most scenarios”) and provide Microsoft’s up-to-date guidance or roadmap for transitioning, to avoid over-committing readers to a technology that may not meet all their current needs. </w:t>
      </w:r>
      <w:r>
        <w:rPr>
          <w:b/>
          <w:bCs/>
          <w:rStyle w:val="Normal"/>
        </w:rPr>
        <w:t xml:space="preserve">Technical Accuracy &amp; Consistency:</w:t>
      </w:r>
      <w:r>
        <w:rPr>
          <w:rStyle w:val="Normal"/>
        </w:rPr>
        <w:t xml:space="preserve"> Most technical content is solid, but a few points need correction or elaboration. For example, the explanation of OAuth </w:t>
      </w:r>
      <w:r>
        <w:rPr>
          <w:b/>
          <w:bCs/>
          <w:rStyle w:val="Normal"/>
        </w:rPr>
        <w:t xml:space="preserve">access tokens vs. OpenID Connect ID tokens</w:t>
      </w:r>
      <w:r>
        <w:rPr>
          <w:rStyle w:val="Normal"/>
        </w:rPr>
        <w:t xml:space="preserve"> could be clearer: the text should avoid implying they are both primary “authentication” tokens – in fact, ID tokens are used for authentication while access tokens authorize API calls. Another example is token lifetimes: stating “access tokens are valid for one hour </w:t>
      </w:r>
      <w:r>
        <w:rPr>
          <w:i/>
          <w:iCs/>
          <w:rStyle w:val="Normal"/>
        </w:rPr>
        <w:t xml:space="preserve">by default</w:t>
      </w:r>
      <w:r>
        <w:rPr>
          <w:rStyle w:val="Normal"/>
        </w:rPr>
        <w:t xml:space="preserve">” is true for many Azure AD apps but not a universal constant (some tokens may be issued with different lifespans, and Continuous Access Evaluation can revoke tokens sooner) – adding a phrase like “in general, e.g. for Microsoft 365, default access token lifetime is ~1 hour” would add precision. The draft’s internal consistency is generally good, but a contradiction exists in how often privileged access reviews occur (e.g. if Book 04 says monthly vs quarterly in different chapters – this might be a content overlap between Book 02 and Book 04). </w:t>
      </w:r>
      <w:r>
        <w:rPr>
          <w:b/>
          <w:bCs/>
          <w:rStyle w:val="Normal"/>
        </w:rPr>
        <w:t xml:space="preserve">Applicability &amp; Implementation:</w:t>
      </w:r>
      <w:r>
        <w:rPr>
          <w:rStyle w:val="Normal"/>
        </w:rPr>
        <w:t xml:space="preserve"> The book astutely warns that some Azure AD features it recommends (like dynamic Administrative Units) are not available in GCC High/DoD environments. It could more directly advise federal readers to check the availability of each recommended Azure AD feature in their tenant’s service level (GCC Moderate vs High). The authors might also highlight that some </w:t>
      </w:r>
      <w:r>
        <w:rPr>
          <w:b/>
          <w:bCs/>
          <w:rStyle w:val="Normal"/>
        </w:rPr>
        <w:t xml:space="preserve">“every user/device”</w:t>
      </w:r>
      <w:r>
        <w:rPr>
          <w:rStyle w:val="Normal"/>
        </w:rPr>
        <w:t xml:space="preserve"> assumptions (e.g. </w:t>
      </w:r>
      <w:r>
        <w:rPr>
          <w:i/>
          <w:iCs/>
          <w:rStyle w:val="Normal"/>
        </w:rPr>
        <w:t xml:space="preserve">“Every user is provisioned from HR…every device is managed by Intune”</w:t>
      </w:r>
      <w:r>
        <w:rPr>
          <w:rStyle w:val="Normal"/>
        </w:rPr>
        <w:t xml:space="preserve">) are end-state goals – agencies may need interim exceptions (for legacy systems, external partners, etc.), and that’s okay. Explicit guidance on handling such exceptions would improve practical implementability. </w:t>
      </w:r>
      <w:r>
        <w:rPr>
          <w:b/>
          <w:bCs/>
          <w:rStyle w:val="Normal"/>
        </w:rPr>
        <w:t xml:space="preserve">Citations &amp; Sources:</w:t>
      </w:r>
      <w:r>
        <w:rPr>
          <w:rStyle w:val="Normal"/>
        </w:rPr>
        <w:t xml:space="preserve"> Book 02 is well-researched with many Microsoft Learn references, but a number of footnotes in the draft appear to be broken or duplicated (e.g. multiple references to the same “Configure Entra for increased security (Preview)” article, and an apparent mix-up where a cited limit on group membership is “5000” in text but the source’s title says “500”). Ensuring each claim is supported by a clear, unique citation (preferably to primary sources like official OMB, CISA, or product documentation rather than secondary blogs) is important, especially given the fast-changing nature of cloud features. </w:t>
      </w:r>
      <w:hyperlink w:history="1" r:id="rId1963hpevz0zrwvoktjn1j">
        <w:r>
          <w:rPr>
            <w:rStyle w:val="Hyperlink"/>
          </w:rPr>
          <w:t xml:space="preserve">[b06-data-p...orm-bundle | Word]</w:t>
        </w:r>
      </w:hyperlink>
      <w:r>
        <w:rPr>
          <w:rStyle w:val="Normal"/>
        </w:rPr>
        <w:t xml:space="preserve"> </w:t>
      </w:r>
      <w:hyperlink w:history="1" r:id="rIdunwhycy6ulbfmpkh1fhc4">
        <w:r>
          <w:rPr>
            <w:rStyle w:val="Hyperlink"/>
          </w:rPr>
          <w:t xml:space="preserve">[b06-data-p...orm-bundle | Word]</w:t>
        </w:r>
      </w:hyperlink>
      <w:r>
        <w:rPr>
          <w:rStyle w:val="Normal"/>
        </w:rPr>
        <w:t xml:space="preserve">, </w:t>
      </w:r>
      <w:hyperlink w:history="1" r:id="rIdjy9wivzuvtmg_kfgcuzd6">
        <w:r>
          <w:rPr>
            <w:rStyle w:val="Hyperlink"/>
          </w:rPr>
          <w:t xml:space="preserve">[b06-data-p...orm-bundle | Word]</w:t>
        </w:r>
      </w:hyperlink>
      <w:r>
        <w:rPr>
          <w:rStyle w:val="Normal"/>
        </w:rPr>
        <w:t xml:space="preserve"> </w:t>
      </w:r>
      <w:hyperlink w:history="1" r:id="rIdaozj07rqdhsqqjnjimroa">
        <w:r>
          <w:rPr>
            <w:rStyle w:val="Hyperlink"/>
          </w:rPr>
          <w:t xml:space="preserve">[hr-driven-iam-bundle | Word]</w:t>
        </w:r>
      </w:hyperlink>
    </w:p>
    <w:p>
      <w:r>
        <w:rPr>
          <w:b/>
          <w:bCs/>
          <w:rStyle w:val="Normal"/>
        </w:rPr>
        <w:t xml:space="preserve">Book 03 (HR-Driven Identity)</w:t>
      </w:r>
      <w:r>
        <w:rPr>
          <w:rStyle w:val="Normal"/>
        </w:rPr>
        <w:t xml:space="preserve"> – </w:t>
      </w:r>
      <w:r>
        <w:rPr>
          <w:b/>
          <w:bCs/>
          <w:rStyle w:val="Normal"/>
        </w:rPr>
        <w:t xml:space="preserve">Clarity &amp; Scope:</w:t>
      </w:r>
      <w:r>
        <w:rPr>
          <w:rStyle w:val="Normal"/>
        </w:rPr>
        <w:t xml:space="preserve"> This book tackles integrating </w:t>
      </w:r>
      <w:r>
        <w:rPr>
          <w:b/>
          <w:bCs/>
          <w:rStyle w:val="Normal"/>
        </w:rPr>
        <w:t xml:space="preserve">OPM’s Federal HR 2.0 (Oracle Cloud HCM)</w:t>
      </w:r>
      <w:r>
        <w:rPr>
          <w:rStyle w:val="Normal"/>
        </w:rPr>
        <w:t xml:space="preserve"> as the authoritative identity source, a crucial topic. It effectively explains the vision of HR-driven provisioning (accounts and access entitlements flowing from personnel data). However, parts of the narrative assume the reader is already familiar with the Federal HR 2.0 program and its timelines – e.g. mentions of waves of agency onboarding by FY2027/FY2028 and the Oracle HCM “award” – which may quickly become outdated or irrelevant to readers in later years. The text should be updated to reflect current status (or generalized to apply even if the Oracle HCM implementation details change). </w:t>
      </w:r>
      <w:r>
        <w:rPr>
          <w:b/>
          <w:bCs/>
          <w:rStyle w:val="Normal"/>
        </w:rPr>
        <w:t xml:space="preserve">Assumptions &amp; Policy Interpretation:</w:t>
      </w:r>
      <w:r>
        <w:rPr>
          <w:rStyle w:val="Normal"/>
        </w:rPr>
        <w:t xml:space="preserve"> Book 03 sometimes blurs the line between </w:t>
      </w:r>
      <w:r>
        <w:rPr>
          <w:i/>
          <w:iCs/>
          <w:rStyle w:val="Normal"/>
        </w:rPr>
        <w:t xml:space="preserve">policy</w:t>
      </w:r>
      <w:r>
        <w:rPr>
          <w:rStyle w:val="Normal"/>
        </w:rPr>
        <w:t xml:space="preserve"> and </w:t>
      </w:r>
      <w:r>
        <w:rPr>
          <w:i/>
          <w:iCs/>
          <w:rStyle w:val="Normal"/>
        </w:rPr>
        <w:t xml:space="preserve">program design</w:t>
      </w:r>
      <w:r>
        <w:rPr>
          <w:rStyle w:val="Normal"/>
        </w:rPr>
        <w:t xml:space="preserve">. For instance, it references Privacy Act “need-to-know” and OPM’s </w:t>
      </w:r>
      <w:r>
        <w:rPr>
          <w:b/>
          <w:bCs/>
          <w:rStyle w:val="Normal"/>
        </w:rPr>
        <w:t xml:space="preserve">GOVT-1 SORN</w:t>
      </w:r>
      <w:r>
        <w:rPr>
          <w:rStyle w:val="Normal"/>
        </w:rPr>
        <w:t xml:space="preserve"> in discussing data sharing, but these are complex legal areas; agencies will still require their </w:t>
      </w:r>
      <w:r>
        <w:rPr>
          <w:b/>
          <w:bCs/>
          <w:rStyle w:val="Normal"/>
        </w:rPr>
        <w:t xml:space="preserve">Privacy and HR offices to validate</w:t>
      </w:r>
      <w:r>
        <w:rPr>
          <w:rStyle w:val="Normal"/>
        </w:rPr>
        <w:t xml:space="preserve"> any use of personal data for provisioning. The guidance should reinforce that these are areas for careful review, rather than implying the Workbook’s approach automatically satisfies all Privacy Act requirements. Another example is the treatment of identity </w:t>
      </w:r>
      <w:r>
        <w:rPr>
          <w:b/>
          <w:bCs/>
          <w:rStyle w:val="Normal"/>
        </w:rPr>
        <w:t xml:space="preserve">assurance levels</w:t>
      </w:r>
      <w:r>
        <w:rPr>
          <w:rStyle w:val="Normal"/>
        </w:rPr>
        <w:t xml:space="preserve"> (IAL2/IAL3 from FIPS 201-3 for PIV credentials) – the book touches on them but should ensure any claims about identity proofing standards are precise and referenced to authoritative policy. </w:t>
      </w:r>
      <w:r>
        <w:rPr>
          <w:b/>
          <w:bCs/>
          <w:rStyle w:val="Normal"/>
        </w:rPr>
        <w:t xml:space="preserve">Technical Accuracy:</w:t>
      </w:r>
      <w:r>
        <w:rPr>
          <w:rStyle w:val="Normal"/>
        </w:rPr>
        <w:t xml:space="preserve"> The content on Oracle HCM integration is forward-looking; it correctly notes that Microsoft has no native Oracle connector and endorses a SCIM API approach. But certain technical details like Graph API limits and behaviors (for example, the Microsoft Graph-based </w:t>
      </w:r>
      <w:r>
        <w:rPr>
          <w:rStyle w:val="Quote"/>
        </w:rPr>
        <w:t xml:space="preserve">/beta</w:t>
      </w:r>
      <w:r>
        <w:rPr>
          <w:rStyle w:val="Normal"/>
        </w:rPr>
        <w:t xml:space="preserve"> API for HR provisioning) should be double-checked against the latest documentation. The draft flags one potential error: a throughput limit for the SCIM </w:t>
      </w:r>
      <w:r>
        <w:rPr>
          <w:rStyle w:val="Quote"/>
        </w:rPr>
        <w:t xml:space="preserve">/bulkUpload</w:t>
      </w:r>
      <w:r>
        <w:rPr>
          <w:rStyle w:val="Normal"/>
        </w:rPr>
        <w:t xml:space="preserve"> API is described inconsistently (40 calls per 5 seconds vs 40 per second) – this should be resolved with an up-to-date Microsoft source. </w:t>
      </w:r>
      <w:r>
        <w:rPr>
          <w:b/>
          <w:bCs/>
          <w:rStyle w:val="Normal"/>
        </w:rPr>
        <w:t xml:space="preserve">Internal Consistency:</w:t>
      </w:r>
      <w:r>
        <w:rPr>
          <w:rStyle w:val="Normal"/>
        </w:rPr>
        <w:t xml:space="preserve"> A minor point – the term “source of authority” is used in two ways (for HR data vs. directory objects), which could confuse readers. It might help to consistently qualify this (e.g. “HR system as authoritative source for personnel data” vs “AD as source of authority for some accounts”) to avoid ambiguity. </w:t>
      </w:r>
      <w:r>
        <w:rPr>
          <w:b/>
          <w:bCs/>
          <w:rStyle w:val="Normal"/>
        </w:rPr>
        <w:t xml:space="preserve">Citations:</w:t>
      </w:r>
      <w:r>
        <w:rPr>
          <w:rStyle w:val="Normal"/>
        </w:rPr>
        <w:t xml:space="preserve"> This draft has several footnote issues: some references are truncated or empty (e.g. footnote 168 appears to be cut off mid-text), and numerous others are duplicated or overlapping in scope. Also, a few supporting facts (like details of the HR 2.0 contract award and Oracle’s capabilities) currently cite press releases or vendor pages – these would carry more weight if replaced or supplemented with primary sources (e.g. OPM/OMB memos, official program documentation). Ensuring each claim about policy or system limitations (e.g. which data HRIT covers, or how PIV identity proofing requirements map to agency processes) has a solid citation will strengthen the book’s credibility. </w:t>
      </w:r>
      <w:hyperlink w:history="1" r:id="rIdiwfwv_9punmy4gi6swrzl">
        <w:r>
          <w:rPr>
            <w:rStyle w:val="Hyperlink"/>
          </w:rPr>
          <w:t xml:space="preserve">[hr-driven-iam-bundle | Word]</w:t>
        </w:r>
      </w:hyperlink>
      <w:r>
        <w:rPr>
          <w:rStyle w:val="Normal"/>
        </w:rPr>
        <w:t xml:space="preserve">, </w:t>
      </w:r>
      <w:hyperlink w:history="1" r:id="rId5woqxkgvbsjso7asiu3lk">
        <w:r>
          <w:rPr>
            <w:rStyle w:val="Hyperlink"/>
          </w:rPr>
          <w:t xml:space="preserve">[hr-driven-iam-bundle | Word]</w:t>
        </w:r>
      </w:hyperlink>
    </w:p>
    <w:p>
      <w:r>
        <w:rPr>
          <w:b/>
          <w:bCs/>
          <w:rStyle w:val="Normal"/>
        </w:rPr>
        <w:t xml:space="preserve">Book 04 (Access &amp; Privilege)</w:t>
      </w:r>
      <w:r>
        <w:rPr>
          <w:rStyle w:val="Normal"/>
        </w:rPr>
        <w:t xml:space="preserve"> – </w:t>
      </w:r>
      <w:r>
        <w:rPr>
          <w:b/>
          <w:bCs/>
          <w:rStyle w:val="Normal"/>
        </w:rPr>
        <w:t xml:space="preserve">Clarity &amp; Consistency:</w:t>
      </w:r>
      <w:r>
        <w:rPr>
          <w:rStyle w:val="Normal"/>
        </w:rPr>
        <w:t xml:space="preserve"> This volume covers </w:t>
      </w:r>
      <w:r>
        <w:rPr>
          <w:b/>
          <w:bCs/>
          <w:rStyle w:val="Normal"/>
        </w:rPr>
        <w:t xml:space="preserve">Conditional Access policy and Privileged Identity Management (PIM)</w:t>
      </w:r>
      <w:r>
        <w:rPr>
          <w:rStyle w:val="Normal"/>
        </w:rPr>
        <w:t xml:space="preserve">, but some points need refinement. There is a discrepancy in how frequently PIM reviews should occur: one chapter mandates </w:t>
      </w:r>
      <w:r>
        <w:rPr>
          <w:b/>
          <w:bCs/>
          <w:rStyle w:val="Normal"/>
        </w:rPr>
        <w:t xml:space="preserve">Tier 0 admin role reviews monthly</w:t>
      </w:r>
      <w:r>
        <w:rPr>
          <w:rStyle w:val="Normal"/>
        </w:rPr>
        <w:t xml:space="preserve"> while another suggests </w:t>
      </w:r>
      <w:r>
        <w:rPr>
          <w:b/>
          <w:bCs/>
          <w:rStyle w:val="Normal"/>
        </w:rPr>
        <w:t xml:space="preserve">quarterly</w:t>
      </w:r>
      <w:r>
        <w:rPr>
          <w:rStyle w:val="Normal"/>
        </w:rPr>
        <w:t xml:space="preserve">, which readers might find confusing (the authors should reconcile this or explain the different contexts). The draft also contains minor content errors like a sentence fragment (“nly…”) at a chapter start and undefined shorthand (e.g. “AU” for Administrative Unit, “PRV” for privileged role or review) that appear without prior explanation. Cleaning up these editorial issues will improve clarity. </w:t>
      </w:r>
      <w:r>
        <w:rPr>
          <w:b/>
          <w:bCs/>
          <w:rStyle w:val="Normal"/>
        </w:rPr>
        <w:t xml:space="preserve">Assumptions &amp; Scope:</w:t>
      </w:r>
      <w:r>
        <w:rPr>
          <w:rStyle w:val="Normal"/>
        </w:rPr>
        <w:t xml:space="preserve"> Book 04 assumes a fairly advanced state of Azure AD licensing and adoption – it recommends a comprehensive set of CA policies and full use of PIM for just-in-time admin access. That’s appropriate for a “target” Zero Trust posture, but readers should be warned that some capabilities (like </w:t>
      </w:r>
      <w:r>
        <w:rPr>
          <w:b/>
          <w:bCs/>
          <w:rStyle w:val="Normal"/>
        </w:rPr>
        <w:t xml:space="preserve">PIM “breakglass” accounts, or certain cross-tenant access settings</w:t>
      </w:r>
      <w:r>
        <w:rPr>
          <w:rStyle w:val="Normal"/>
        </w:rPr>
        <w:t xml:space="preserve">) may not be available in GCC-High/DoD environments or may require Azure AD Premium P2 licenses, which not all agencies have. The content would benefit from calling out such prerequisites or suggesting interim mitigations for agencies that can’t immediately deploy PIM. </w:t>
      </w:r>
      <w:r>
        <w:rPr>
          <w:b/>
          <w:bCs/>
          <w:rStyle w:val="Normal"/>
        </w:rPr>
        <w:t xml:space="preserve">Technical Accuracy:</w:t>
      </w:r>
      <w:r>
        <w:rPr>
          <w:rStyle w:val="Normal"/>
        </w:rPr>
        <w:t xml:space="preserve"> Most guidance here aligns with best practices, but a few specifics need checking. For example, the book references a “CA024” persistent browser session control and how it behaves on certain platforms – if this is drawn from a specific Microsoft article, the exact behavior (and any limitations for government clouds) should be clearly cited to avoid misconfiguration. Additionally, one section states that </w:t>
      </w:r>
      <w:r>
        <w:rPr>
          <w:i/>
          <w:iCs/>
          <w:rStyle w:val="Normal"/>
        </w:rPr>
        <w:t xml:space="preserve">license expiration</w:t>
      </w:r>
      <w:r>
        <w:rPr>
          <w:rStyle w:val="Normal"/>
        </w:rPr>
        <w:t xml:space="preserve"> will remove PIM eligible assignments and settings – a significant point, if true. This claim needs a proper citation and perhaps a caution to monitor license status, or else it should be clarified if it’s a theoretical scenario (since losing P2 licenses could indeed disable PIM features, but the statement may exaggerate by saying assignments “will be removed”). Another example: the guidance that “Microsoft’s minimum is a week in report-only mode for Conditional Access testing” should specify that this is a </w:t>
      </w:r>
      <w:r>
        <w:rPr>
          <w:b/>
          <w:bCs/>
          <w:rStyle w:val="Normal"/>
        </w:rPr>
        <w:t xml:space="preserve">recommendation</w:t>
      </w:r>
      <w:r>
        <w:rPr>
          <w:rStyle w:val="Normal"/>
        </w:rPr>
        <w:t xml:space="preserve"> from Microsoft, not a hard requirement. </w:t>
      </w:r>
      <w:r>
        <w:rPr>
          <w:b/>
          <w:bCs/>
          <w:rStyle w:val="Normal"/>
        </w:rPr>
        <w:t xml:space="preserve">Practicality:</w:t>
      </w:r>
      <w:r>
        <w:rPr>
          <w:rStyle w:val="Normal"/>
        </w:rPr>
        <w:t xml:space="preserve"> The Conditional Access policy “waves” are well thought-out, but the text might overestimate how quickly agencies can implement them; it may help to mention common challenges (like legacy apps that don’t support modern auth, or user experience issues with constant MFA prompts) so that readers can plan mitigations (e.g. using Azure AD Authentication Contexts or application exemptions). </w:t>
      </w:r>
      <w:r>
        <w:rPr>
          <w:b/>
          <w:bCs/>
          <w:rStyle w:val="Normal"/>
        </w:rPr>
        <w:t xml:space="preserve">Citations &amp; Evidence:</w:t>
      </w:r>
      <w:r>
        <w:rPr>
          <w:rStyle w:val="Normal"/>
        </w:rPr>
        <w:t xml:space="preserve"> There are numerous footnotes in Book 04, but some appear out of order or misallocated (e.g. a Microsoft Learn reference about licensing is embedded in a table cell describing a PIM setting, making it unclear what exactly is being cited). Moreover, several footnotes are missing from the draft excerpt (e.g. , ,  are referenced but not listed), implying an editorial glitch in the reference section. To fortify the content, ensure every rule or statement (like specific Graph API deprecations, “October 28, 2026 legacy API shutdown” dates, or device platform limitations for CA policies) has an authoritative source cited. Also, reduce duplicate citations – the draft currently cites some Microsoft documentation multiple times (e.g. the same Conditional Access documentation appears in footnotes  and , etc.). Consolidating these and removing redundant references will make the reference list more digestible. </w:t>
      </w:r>
      <w:hyperlink w:history="1" r:id="rIdmgkkavrnevcxcfeqdgnrp">
        <w:r>
          <w:rPr>
            <w:rStyle w:val="Hyperlink"/>
          </w:rPr>
          <w:t xml:space="preserve">[ | Word]</w:t>
        </w:r>
      </w:hyperlink>
      <w:r>
        <w:rPr>
          <w:rStyle w:val="Normal"/>
        </w:rPr>
        <w:t xml:space="preserve">, </w:t>
      </w:r>
      <w:hyperlink w:history="1" r:id="rIdudoq0worymz-asdddzlla">
        <w:r>
          <w:rPr>
            <w:rStyle w:val="Hyperlink"/>
          </w:rPr>
          <w:t xml:space="preserve">[ | Word]</w:t>
        </w:r>
      </w:hyperlink>
      <w:r>
        <w:rPr>
          <w:rStyle w:val="Normal"/>
        </w:rPr>
        <w:t xml:space="preserve"> </w:t>
      </w:r>
      <w:hyperlink w:history="1" r:id="rIdewkcsgzkeug7vh79-zryv">
        <w:r>
          <w:rPr>
            <w:rStyle w:val="Hyperlink"/>
          </w:rPr>
          <w:t xml:space="preserve">[ | Word]</w:t>
        </w:r>
      </w:hyperlink>
      <w:r>
        <w:rPr>
          <w:rStyle w:val="Normal"/>
        </w:rPr>
        <w:t xml:space="preserve"> </w:t>
      </w:r>
      <w:hyperlink w:history="1" r:id="rIddwuksb9w16kowk1mz6gtx">
        <w:r>
          <w:rPr>
            <w:rStyle w:val="Hyperlink"/>
          </w:rPr>
          <w:t xml:space="preserve">[b09-network-bundle | Word]</w:t>
        </w:r>
      </w:hyperlink>
      <w:r>
        <w:rPr>
          <w:rStyle w:val="Normal"/>
        </w:rPr>
        <w:t xml:space="preserve">, </w:t>
      </w:r>
      <w:hyperlink w:history="1" r:id="rIda48o0mmtvm38pgzdj9nfi">
        <w:r>
          <w:rPr>
            <w:rStyle w:val="Hyperlink"/>
          </w:rPr>
          <w:t xml:space="preserve">[b09-network-bundle | Word]</w:t>
        </w:r>
      </w:hyperlink>
    </w:p>
    <w:p>
      <w:r>
        <w:rPr>
          <w:b/>
          <w:bCs/>
          <w:rStyle w:val="Normal"/>
        </w:rPr>
        <w:t xml:space="preserve">Book 05 (Devices &amp; Endpoints)</w:t>
      </w:r>
      <w:r>
        <w:rPr>
          <w:rStyle w:val="Normal"/>
        </w:rPr>
        <w:t xml:space="preserve"> – </w:t>
      </w:r>
      <w:r>
        <w:rPr>
          <w:b/>
          <w:bCs/>
          <w:rStyle w:val="Normal"/>
        </w:rPr>
        <w:t xml:space="preserve">Clarity &amp; Content Volume:</w:t>
      </w:r>
      <w:r>
        <w:rPr>
          <w:rStyle w:val="Normal"/>
        </w:rPr>
        <w:t xml:space="preserve"> This book is very comprehensive (covering Intune migration, device compliance, legacy GPO analysis, Windows update plans, etc.), but the sheer volume of detail may overwhelm readers. The draft includes large blocks of JSON, PowerShell, and Intune reporting queries; to improve clarity, consider moving some of these to an appendix or summarizing their outcomes in tables or diagrams. Additionally, some explanatory text seems to be missing or misordered – e.g. the draft’s reference section begins at footnote , suggesting that references – (which presumably correspond to the core content) were not properly captured. Ensuring the final publication includes a complete, sequential reference list is critical for traceability. </w:t>
      </w:r>
      <w:r>
        <w:rPr>
          <w:b/>
          <w:bCs/>
          <w:rStyle w:val="Normal"/>
        </w:rPr>
        <w:t xml:space="preserve">Assumptions &amp; Scope:</w:t>
      </w:r>
      <w:r>
        <w:rPr>
          <w:rStyle w:val="Normal"/>
        </w:rPr>
        <w:t xml:space="preserve"> Book 05’s guidance is built around modern Windows 10/11 management via Intune, which fits most federal agencies’ trajectory. But it should explicitly acknowledge that </w:t>
      </w:r>
      <w:r>
        <w:rPr>
          <w:b/>
          <w:bCs/>
          <w:rStyle w:val="Normal"/>
        </w:rPr>
        <w:t xml:space="preserve">Intune does not manage traditional Windows Servers</w:t>
      </w:r>
      <w:r>
        <w:rPr>
          <w:rStyle w:val="Normal"/>
        </w:rPr>
        <w:t xml:space="preserve"> (beyond some endpoint protection settings) – agencies will need Azure Arc + automation for servers. The draft does note this, but earlier wording may have implied Intune would fully replace ConfigMgr for servers (which is not the case). Also, the text suggests </w:t>
      </w:r>
      <w:r>
        <w:rPr>
          <w:i/>
          <w:iCs/>
          <w:rStyle w:val="Normal"/>
        </w:rPr>
        <w:t xml:space="preserve">all</w:t>
      </w:r>
      <w:r>
        <w:rPr>
          <w:rStyle w:val="Normal"/>
        </w:rPr>
        <w:t xml:space="preserve"> devices must be Intune-managed and compliant for Conditional Access to allow them; while that is the Zero Trust ideal, in practice agencies might have lab or specialized systems that cannot be Intune-enrolled – guidance on handling those (perhaps via network controls or exceptions) would be useful. </w:t>
      </w:r>
      <w:r>
        <w:rPr>
          <w:b/>
          <w:bCs/>
          <w:rStyle w:val="Normal"/>
        </w:rPr>
        <w:t xml:space="preserve">Technical Accuracy:</w:t>
      </w:r>
      <w:r>
        <w:rPr>
          <w:rStyle w:val="Normal"/>
        </w:rPr>
        <w:t xml:space="preserve"> Several technical clarifications are needed. For example, the statement “Defender for Servers Plan 1 and Plan 2 both provide Defender for Endpoint P2 capabilities” is too broad – in reality, </w:t>
      </w:r>
      <w:r>
        <w:rPr>
          <w:i/>
          <w:iCs/>
          <w:rStyle w:val="Normal"/>
        </w:rPr>
        <w:t xml:space="preserve">some</w:t>
      </w:r>
      <w:r>
        <w:rPr>
          <w:rStyle w:val="Normal"/>
        </w:rPr>
        <w:t xml:space="preserve"> Microsoft Defender for Endpoint features are included, but there are differences (e.g. Plan 2 adds threat hunting, etc.). The discussion of </w:t>
      </w:r>
      <w:r>
        <w:rPr>
          <w:b/>
          <w:bCs/>
          <w:rStyle w:val="Normal"/>
        </w:rPr>
        <w:t xml:space="preserve">NTLM</w:t>
      </w:r>
      <w:r>
        <w:rPr>
          <w:rStyle w:val="Normal"/>
        </w:rPr>
        <w:t xml:space="preserve"> deprecation is another area to tighten: Book 05 implies </w:t>
      </w:r>
      <w:r>
        <w:rPr>
          <w:i/>
          <w:iCs/>
          <w:rStyle w:val="Normal"/>
        </w:rPr>
        <w:t xml:space="preserve">“NTLM is deprecated in all its versions”</w:t>
      </w:r>
      <w:r>
        <w:rPr>
          <w:rStyle w:val="Normal"/>
        </w:rPr>
        <w:t xml:space="preserve">, but Microsoft’s actual stance is more nuanced – NTLMv1 is being disabled in new Windows versions (and </w:t>
      </w:r>
      <w:r>
        <w:rPr>
          <w:b/>
          <w:bCs/>
          <w:rStyle w:val="Normal"/>
        </w:rPr>
        <w:t xml:space="preserve">CISA BOD “Memory Safety” 25-01</w:t>
      </w:r>
      <w:r>
        <w:rPr>
          <w:rStyle w:val="Normal"/>
        </w:rPr>
        <w:t xml:space="preserve"> calls for eliminating clear-text LDAP and old protocols) but NTLMv2 is still supported in Windows for now. The plan to progressively “deny NTLM for domain accounts then all accounts” is good, but the exact Windows settings and GPOs for that should be clearly referenced to avoid misconfiguration. Likewise, caution readers that fully disabling NTLM may break legacy systems – agencies must inventory and mitigate those (this is touched on in Book 06 for SQL Servers). Some Intune policy guidance in this book appears to correct earlier mistakes – for instance, clarifying that </w:t>
      </w:r>
      <w:r>
        <w:rPr>
          <w:b/>
          <w:bCs/>
          <w:rStyle w:val="Normal"/>
        </w:rPr>
        <w:t xml:space="preserve">Windows MDM “compliance policy” by itself doesn’t block access without Conditional Access</w:t>
      </w:r>
      <w:r>
        <w:rPr>
          <w:rStyle w:val="Normal"/>
        </w:rPr>
        <w:t xml:space="preserve"> (an earlier misunderstanding in some drafts) and that </w:t>
      </w:r>
      <w:r>
        <w:rPr>
          <w:b/>
          <w:bCs/>
          <w:rStyle w:val="Normal"/>
        </w:rPr>
        <w:t xml:space="preserve">Hybrid Azure AD Join is a temporary state</w:t>
      </w:r>
      <w:r>
        <w:rPr>
          <w:rStyle w:val="Normal"/>
        </w:rPr>
        <w:t xml:space="preserve"> rather than a final solution. These corrections are important, but they make the text a bit difficult to follow – the final version should cleanly present the correct guidance (perhaps in fewer words), rather than describing the evolution of the authors’ thinking. </w:t>
      </w:r>
      <w:r>
        <w:rPr>
          <w:b/>
          <w:bCs/>
          <w:rStyle w:val="Normal"/>
        </w:rPr>
        <w:t xml:space="preserve">Citations &amp; Reliability:</w:t>
      </w:r>
      <w:r>
        <w:rPr>
          <w:rStyle w:val="Normal"/>
        </w:rPr>
        <w:t xml:space="preserve"> The draft is peppered with strong opinions on Microsoft’s tooling (e.g. calling certain source materials “wrong” or “deprecated”) which should be backed by references or clearly marked as the authors’ analysis. Many statements are supported by Microsoft Learn links, but a number of footnotes are either duplicates or missing (for example, a chunk of references – is referenced in the text but not seen in the excerpt). It’s essential to fix these broken references so that readers can verify claims about things like “Edge IE mode support through 2029” or the status of </w:t>
      </w:r>
      <w:r>
        <w:rPr>
          <w:b/>
          <w:bCs/>
          <w:rStyle w:val="Normal"/>
        </w:rPr>
        <w:t xml:space="preserve">“memberOf” attribute deprecation</w:t>
      </w:r>
      <w:r>
        <w:rPr>
          <w:rStyle w:val="Normal"/>
        </w:rPr>
        <w:t xml:space="preserve"> (slated for November 2026) – all of which are mentioned in the text and need current confirmation from Microsoft documentation. Given the highly technical nature, providing a condensed summary table of key device-management changes (e.g. GPO vs. Intune replacement capabilities, WSUS vs. Windows Update for Business, etc.) could improve comprehension. The content is vigorous and detailed; a careful editorial pass to enforce consistency (e.g. using one term for the Azure AD/Entra ID directory, standardizing acronyms) and to trim unnecessary verbiage will enhance its usability for practitioners. </w:t>
      </w:r>
      <w:hyperlink w:history="1" r:id="rIdh6akiopfnojwza1pqciaz">
        <w:r>
          <w:rPr>
            <w:rStyle w:val="Hyperlink"/>
          </w:rPr>
          <w:t xml:space="preserve">[ | Word]</w:t>
        </w:r>
      </w:hyperlink>
      <w:r>
        <w:rPr>
          <w:rStyle w:val="Normal"/>
        </w:rPr>
        <w:t xml:space="preserve"> </w:t>
      </w:r>
      <w:hyperlink w:history="1" r:id="rIdu-dn5qombxef1ymecmauf">
        <w:r>
          <w:rPr>
            <w:rStyle w:val="Hyperlink"/>
          </w:rPr>
          <w:t xml:space="preserve">[b05-devices-bundle | Word]</w:t>
        </w:r>
      </w:hyperlink>
      <w:r>
        <w:rPr>
          <w:rStyle w:val="Normal"/>
        </w:rPr>
        <w:t xml:space="preserve">, </w:t>
      </w:r>
      <w:hyperlink w:history="1" r:id="rIdkfbp3dw0ildqwb5qcuhkb">
        <w:r>
          <w:rPr>
            <w:rStyle w:val="Hyperlink"/>
          </w:rPr>
          <w:t xml:space="preserve">[b05-devices-bundle | Word]</w:t>
        </w:r>
      </w:hyperlink>
      <w:r>
        <w:rPr>
          <w:rStyle w:val="Normal"/>
        </w:rPr>
        <w:t xml:space="preserve"> </w:t>
      </w:r>
      <w:hyperlink w:history="1" r:id="rIds0d2sc6fczczk4namumxb">
        <w:r>
          <w:rPr>
            <w:rStyle w:val="Hyperlink"/>
          </w:rPr>
          <w:t xml:space="preserve">[b05-devices-bundle | Word]</w:t>
        </w:r>
      </w:hyperlink>
      <w:r>
        <w:rPr>
          <w:rStyle w:val="Normal"/>
        </w:rPr>
        <w:t xml:space="preserve"> </w:t>
      </w:r>
      <w:hyperlink w:history="1" r:id="rIdjhga_ujglz-ydpq6kqfoy">
        <w:r>
          <w:rPr>
            <w:rStyle w:val="Hyperlink"/>
          </w:rPr>
          <w:t xml:space="preserve">[b01-transf...arc-bundle | Word]</w:t>
        </w:r>
      </w:hyperlink>
      <w:r>
        <w:rPr>
          <w:rStyle w:val="Normal"/>
        </w:rPr>
        <w:t xml:space="preserve">, </w:t>
      </w:r>
      <w:hyperlink w:history="1" r:id="rIdtmkyaeriu29vjf4wvrsy8">
        <w:r>
          <w:rPr>
            <w:rStyle w:val="Hyperlink"/>
          </w:rPr>
          <w:t xml:space="preserve">[b01-transf...arc-bundle | Word]</w:t>
        </w:r>
      </w:hyperlink>
      <w:r>
        <w:rPr>
          <w:rStyle w:val="Normal"/>
        </w:rPr>
        <w:t xml:space="preserve"> </w:t>
      </w:r>
      <w:hyperlink w:history="1" r:id="rIdggwn5on-gjmoplwueozcp">
        <w:r>
          <w:rPr>
            <w:rStyle w:val="Hyperlink"/>
          </w:rPr>
          <w:t xml:space="preserve">[ | Word]</w:t>
        </w:r>
      </w:hyperlink>
      <w:r>
        <w:rPr>
          <w:rStyle w:val="Normal"/>
        </w:rPr>
        <w:t xml:space="preserve">, </w:t>
      </w:r>
      <w:hyperlink w:history="1" r:id="rIdzrubcznkiice39qtrpfoo">
        <w:r>
          <w:rPr>
            <w:rStyle w:val="Hyperlink"/>
          </w:rPr>
          <w:t xml:space="preserve">[ | Word]</w:t>
        </w:r>
      </w:hyperlink>
    </w:p>
    <w:p>
      <w:r>
        <w:rPr>
          <w:b/>
          <w:bCs/>
          <w:rStyle w:val="Normal"/>
        </w:rPr>
        <w:t xml:space="preserve">Book 06 (Data Platform – SQL Server Identity)</w:t>
      </w:r>
      <w:r>
        <w:rPr>
          <w:rStyle w:val="Normal"/>
        </w:rPr>
        <w:t xml:space="preserve"> – </w:t>
      </w:r>
      <w:r>
        <w:rPr>
          <w:b/>
          <w:bCs/>
          <w:rStyle w:val="Normal"/>
        </w:rPr>
        <w:t xml:space="preserve">Clarity &amp; Accuracy:</w:t>
      </w:r>
      <w:r>
        <w:rPr>
          <w:rStyle w:val="Normal"/>
        </w:rPr>
        <w:t xml:space="preserve"> This book covers removing Windows integrated authentication from </w:t>
      </w:r>
      <w:r>
        <w:rPr>
          <w:b/>
          <w:bCs/>
          <w:rStyle w:val="Normal"/>
        </w:rPr>
        <w:t xml:space="preserve">SQL Server</w:t>
      </w:r>
      <w:r>
        <w:rPr>
          <w:rStyle w:val="Normal"/>
        </w:rPr>
        <w:t xml:space="preserve"> in favor of Azure AD, a nuanced topic. Generally it is well-researched, but some sequences need clarification. For example, the text describes multiple “Phases” for tightening NTLM, labeled A, B, etc., but the draft has a confusing reuse of </w:t>
      </w:r>
      <w:r>
        <w:rPr>
          <w:b/>
          <w:bCs/>
          <w:rStyle w:val="Normal"/>
        </w:rPr>
        <w:t xml:space="preserve">“Phase B”</w:t>
      </w:r>
      <w:r>
        <w:rPr>
          <w:rStyle w:val="Normal"/>
        </w:rPr>
        <w:t xml:space="preserve"> to describe two different steps (one for NTLMv1, one for NTLMv2 restrictions) – the naming should be made unambiguous (perhaps B1/B2). The instructions for detecting residual NTLM usage rely on log events and a custom script: notably, </w:t>
      </w:r>
      <w:r>
        <w:rPr>
          <w:b/>
          <w:bCs/>
          <w:rStyle w:val="Normal"/>
        </w:rPr>
        <w:t xml:space="preserve">Event ID 4624</w:t>
      </w:r>
      <w:r>
        <w:rPr>
          <w:rStyle w:val="Normal"/>
        </w:rPr>
        <w:t xml:space="preserve"> (Logon Type 3 vs. Type 8) is used as evidence of NTLM, but strictly speaking Logon Type 3 covers all network logons, not just NTLM. The methodology might need refining to avoid false positives – e.g. using </w:t>
      </w:r>
      <w:r>
        <w:rPr>
          <w:b/>
          <w:bCs/>
          <w:rStyle w:val="Normal"/>
        </w:rPr>
        <w:t xml:space="preserve">Event ID 4776</w:t>
      </w:r>
      <w:r>
        <w:rPr>
          <w:rStyle w:val="Normal"/>
        </w:rPr>
        <w:t xml:space="preserve"> (specific to NTLM authentication failures), or correlating with NTLM usage metrics from security logs. </w:t>
      </w:r>
      <w:r>
        <w:rPr>
          <w:b/>
          <w:bCs/>
          <w:rStyle w:val="Normal"/>
        </w:rPr>
        <w:t xml:space="preserve">Technical Assumptions:</w:t>
      </w:r>
      <w:r>
        <w:rPr>
          <w:rStyle w:val="Normal"/>
        </w:rPr>
        <w:t xml:space="preserve"> The book suggests enabling Conditional Access for Arc-enabled SQL Servers, treating them like Azure AD app clients – this is forward-leaning and may not work for all scenarios (since CA for Arc machine identities is limited). It’s good that the text flags this as an assumption to be verified. Similarly, it notes uncertainty about whether the SQL “AuthenticationScheme=AAD” field appears in logs – an honest admission, but readers would benefit from updated info as Microsoft’s documentation evolves. Book 06 also wisely emphasizes that </w:t>
      </w:r>
      <w:r>
        <w:rPr>
          <w:b/>
          <w:bCs/>
          <w:rStyle w:val="Normal"/>
        </w:rPr>
        <w:t xml:space="preserve">SQL 2022+ and Azure Arc</w:t>
      </w:r>
      <w:r>
        <w:rPr>
          <w:rStyle w:val="Normal"/>
        </w:rPr>
        <w:t xml:space="preserve"> are needed for Azure AD authentication; agencies should be cautioned that older SQL versions or down-level Windows Servers will not support this and must be upgraded or replaced. </w:t>
      </w:r>
      <w:r>
        <w:rPr>
          <w:b/>
          <w:bCs/>
          <w:rStyle w:val="Normal"/>
        </w:rPr>
        <w:t xml:space="preserve">Factual Issues &amp; Citations:</w:t>
      </w:r>
      <w:r>
        <w:rPr>
          <w:rStyle w:val="Normal"/>
        </w:rPr>
        <w:t xml:space="preserve"> A few factual claims should be double-checked against primary sources: e.g., the draft references an “October 2026 Windows update disabling NTLMv1” and a “2027-04-01” date for planning complete NTLM removal. These sound like internal timelines (perhaps tied to Microsoft’s product roadmap or CISA guidance) – any such dates should be verified against authoritative announcements (e.g. a Microsoft lifecycle blog or a CISA directive – note: </w:t>
      </w:r>
      <w:r>
        <w:rPr>
          <w:b/>
          <w:bCs/>
          <w:rStyle w:val="Normal"/>
        </w:rPr>
        <w:t xml:space="preserve">CISA’s Binding Operational Directive 23-02</w:t>
      </w:r>
      <w:r>
        <w:rPr>
          <w:rStyle w:val="Normal"/>
        </w:rPr>
        <w:t xml:space="preserve"> requires agencies to mitigate </w:t>
      </w:r>
      <w:r>
        <w:rPr>
          <w:i/>
          <w:iCs/>
          <w:rStyle w:val="Normal"/>
        </w:rPr>
        <w:t xml:space="preserve">Kerberos</w:t>
      </w:r>
      <w:r>
        <w:rPr>
          <w:rStyle w:val="Normal"/>
        </w:rPr>
        <w:t xml:space="preserve"> protocol vulnerabilities by 2023, but there’s no BOD mandating NTLM removal yet). The citations section shows many duplicated Microsoft Docs references and some malformed URLs (e.g. an incomplete URL starting with “soft.com/azure/…” in footnote 301). Cleaning up the reference list and ensuring each cited source is complete (with correct link and title) will let readers find the supporting details – crucial for a technical audience verifying SQL settings, registry changes, and exact command syntax. </w:t>
      </w:r>
      <w:r>
        <w:rPr>
          <w:b/>
          <w:bCs/>
          <w:rStyle w:val="Normal"/>
        </w:rPr>
        <w:t xml:space="preserve">Implementability:</w:t>
      </w:r>
      <w:r>
        <w:rPr>
          <w:rStyle w:val="Normal"/>
        </w:rPr>
        <w:t xml:space="preserve"> The guidance to audit SQL “zombie” accounts, enable Azure AD authentication, and disable NTLM is extremely valuable, but the book could better address the </w:t>
      </w:r>
      <w:r>
        <w:rPr>
          <w:b/>
          <w:bCs/>
          <w:rStyle w:val="Normal"/>
        </w:rPr>
        <w:t xml:space="preserve">operational risk</w:t>
      </w:r>
      <w:r>
        <w:rPr>
          <w:rStyle w:val="Normal"/>
        </w:rPr>
        <w:t xml:space="preserve"> of such changes. For instance, completely disabling NTLM authentication for SQL requires thorough testing, since many third-party apps may still attempt it; a phased approach (as the book outlines) is critical, and perhaps more emphasis on using tools like Microsoft’s </w:t>
      </w:r>
      <w:r>
        <w:rPr>
          <w:b/>
          <w:bCs/>
          <w:rStyle w:val="Normal"/>
        </w:rPr>
        <w:t xml:space="preserve">Login Analyzer</w:t>
      </w:r>
      <w:r>
        <w:rPr>
          <w:rStyle w:val="Normal"/>
        </w:rPr>
        <w:t xml:space="preserve"> or Azure AD sign-in reports to identify lingering SQL clients using old protocols. Additionally, where the text outlines using </w:t>
      </w:r>
      <w:r>
        <w:rPr>
          <w:b/>
          <w:bCs/>
          <w:rStyle w:val="Normal"/>
        </w:rPr>
        <w:t xml:space="preserve">Azure Policy and logging</w:t>
      </w:r>
      <w:r>
        <w:rPr>
          <w:rStyle w:val="Normal"/>
        </w:rPr>
        <w:t xml:space="preserve"> to ensure no new Windows Auth connections occur, citing an example Azure Policy or Log Analytics query (with references to the official docs for those) would help readers implement the monitoring controls correctly. </w:t>
      </w:r>
      <w:hyperlink w:history="1" r:id="rIdjmchkoidkploe-h3jzgmc">
        <w:r>
          <w:rPr>
            <w:rStyle w:val="Hyperlink"/>
          </w:rPr>
          <w:t xml:space="preserve">[ | Word]</w:t>
        </w:r>
      </w:hyperlink>
      <w:r>
        <w:rPr>
          <w:rStyle w:val="Normal"/>
        </w:rPr>
        <w:t xml:space="preserve">, </w:t>
      </w:r>
      <w:hyperlink w:history="1" r:id="rId1yjmca4o9ppugay4v9by4">
        <w:r>
          <w:rPr>
            <w:rStyle w:val="Hyperlink"/>
          </w:rPr>
          <w:t xml:space="preserve">[ | Word]</w:t>
        </w:r>
      </w:hyperlink>
      <w:r>
        <w:rPr>
          <w:rStyle w:val="Normal"/>
        </w:rPr>
        <w:t xml:space="preserve"> </w:t>
      </w:r>
      <w:hyperlink w:history="1" r:id="rIdnu5hpxyntzpyguc3y6fed">
        <w:r>
          <w:rPr>
            <w:rStyle w:val="Hyperlink"/>
          </w:rPr>
          <w:t xml:space="preserve">[ | Word]</w:t>
        </w:r>
      </w:hyperlink>
      <w:r>
        <w:rPr>
          <w:rStyle w:val="Normal"/>
        </w:rPr>
        <w:t xml:space="preserve"> </w:t>
      </w:r>
      <w:hyperlink w:history="1" r:id="rIdq26h4wam77evipqtkhlyd">
        <w:r>
          <w:rPr>
            <w:rStyle w:val="Hyperlink"/>
          </w:rPr>
          <w:t xml:space="preserve">[b04-access-bundle | Word]</w:t>
        </w:r>
      </w:hyperlink>
      <w:r>
        <w:rPr>
          <w:rStyle w:val="Normal"/>
        </w:rPr>
        <w:t xml:space="preserve">, </w:t>
      </w:r>
      <w:hyperlink w:history="1" r:id="rId_bjvawlunacttrmsuhxoi">
        <w:r>
          <w:rPr>
            <w:rStyle w:val="Hyperlink"/>
          </w:rPr>
          <w:t xml:space="preserve">[b04-access-bundle | Word]</w:t>
        </w:r>
      </w:hyperlink>
    </w:p>
    <w:p>
      <w:r>
        <w:rPr>
          <w:b/>
          <w:bCs/>
          <w:rStyle w:val="Normal"/>
        </w:rPr>
        <w:t xml:space="preserve">Book 07 (PKI &amp; Certificates)</w:t>
      </w:r>
      <w:r>
        <w:rPr>
          <w:rStyle w:val="Normal"/>
        </w:rPr>
        <w:t xml:space="preserve"> – </w:t>
      </w:r>
      <w:r>
        <w:rPr>
          <w:b/>
          <w:bCs/>
          <w:rStyle w:val="Normal"/>
        </w:rPr>
        <w:t xml:space="preserve">Clarity &amp; Scope:</w:t>
      </w:r>
      <w:r>
        <w:rPr>
          <w:rStyle w:val="Normal"/>
        </w:rPr>
        <w:t xml:space="preserve"> Book 07 addresses moving off </w:t>
      </w:r>
      <w:r>
        <w:rPr>
          <w:b/>
          <w:bCs/>
          <w:rStyle w:val="Normal"/>
        </w:rPr>
        <w:t xml:space="preserve">Active Directory Certificate Services (AD CS)</w:t>
      </w:r>
      <w:r>
        <w:rPr>
          <w:rStyle w:val="Normal"/>
        </w:rPr>
        <w:t xml:space="preserve"> to modern cloud or hybrid PKI, which is complex. It provides a detailed classification of certificate template “escape routes” (ESC1, ESC2, etc. from Microsoft’s ADCS security assessments) and a matrix of migration plans for each use-case. While thorough, some parts are hard to parse; e.g. the “strong mapping” event table lists Windows Event IDs 39, 40, 41 but the text refers to 41, 48, 49 – a likely typo or mapping error in the draft that should be fixed for accuracy. The content would benefit from more visuals (perhaps a flowchart of certificate migration steps) to break up long textual descriptions. </w:t>
      </w:r>
      <w:r>
        <w:rPr>
          <w:b/>
          <w:bCs/>
          <w:rStyle w:val="Normal"/>
        </w:rPr>
        <w:t xml:space="preserve">Technical Accuracy &amp; Completeness:</w:t>
      </w:r>
      <w:r>
        <w:rPr>
          <w:rStyle w:val="Normal"/>
        </w:rPr>
        <w:t xml:space="preserve"> A notable potential inaccuracy is the recommendation to always “sign cloud PKI subordinate CAs with the root CA” for a Bring-Your-Own-CA approach, suggesting signing with an intermediate is insufficient. In reality, Microsoft’s documentation allows </w:t>
      </w:r>
      <w:r>
        <w:rPr>
          <w:b/>
          <w:bCs/>
          <w:rStyle w:val="Normal"/>
        </w:rPr>
        <w:t xml:space="preserve">enterprise internal CAs</w:t>
      </w:r>
      <w:r>
        <w:rPr>
          <w:rStyle w:val="Normal"/>
        </w:rPr>
        <w:t xml:space="preserve"> to issue the required certs at either root or subordinate tier. This should be reframed as a program design choice (to reduce complexity) rather than a hard requirement. Also, the draft makes strong claims about how </w:t>
      </w:r>
      <w:r>
        <w:rPr>
          <w:b/>
          <w:bCs/>
          <w:rStyle w:val="Normal"/>
        </w:rPr>
        <w:t xml:space="preserve">Azure AD Certificate-Based Authentication (CBA)</w:t>
      </w:r>
      <w:r>
        <w:rPr>
          <w:rStyle w:val="Normal"/>
        </w:rPr>
        <w:t xml:space="preserve"> works – e.g. that Azure “requires one HTTP CRL endpoint per CA and will fail sign-in if a single CA’s CRL is unreachable”. While it’s true Azure AD CBA must reach certificate revocation lists (CRLs) for each cert in the chain, the phrasing “fails sign-in” needs a solid reference or testing evidence, because Azure AD’s exact CBA behavior (particularly in GCC clouds) isn’t broadly documented. </w:t>
      </w:r>
      <w:r>
        <w:rPr>
          <w:b/>
          <w:bCs/>
          <w:rStyle w:val="Normal"/>
        </w:rPr>
        <w:t xml:space="preserve">Consistency &amp; Overgeneralization:</w:t>
      </w:r>
      <w:r>
        <w:rPr>
          <w:rStyle w:val="Normal"/>
        </w:rPr>
        <w:t xml:space="preserve"> The book tends to use absolute language where conditional language is safer. For example: </w:t>
      </w:r>
      <w:r>
        <w:rPr>
          <w:i/>
          <w:iCs/>
          <w:rStyle w:val="Normal"/>
        </w:rPr>
        <w:t xml:space="preserve">“Android doesn’t follow AIA (Authority Information Access)”</w:t>
      </w:r>
      <w:r>
        <w:rPr>
          <w:rStyle w:val="Normal"/>
        </w:rPr>
        <w:t xml:space="preserve"> – in fact some Android devices do retrieve intermediate certs but the behavior varies by version. </w:t>
      </w:r>
      <w:r>
        <w:rPr>
          <w:i/>
          <w:iCs/>
          <w:rStyle w:val="Normal"/>
        </w:rPr>
        <w:t xml:space="preserve">“Entra ID doesn’t support OCSP”</w:t>
      </w:r>
      <w:r>
        <w:rPr>
          <w:rStyle w:val="Normal"/>
        </w:rPr>
        <w:t xml:space="preserve"> – true in a sense (Azure AD only uses CRLs for now), but phrasing it as a blanket statement could become outdated if Microsoft adds OCSP. Similarly, the text asserts “cloud PKI in Intune is only for Intune-enrolled devices” and has a “three-CA limit” – these statements come from Microsoft’s documentation and should be cited, with an eye on changes (e.g. if Intune supports more scenarios or raises limits later). The guidance on including the on-prem AD user’s </w:t>
      </w:r>
      <w:r>
        <w:rPr>
          <w:b/>
          <w:bCs/>
          <w:rStyle w:val="Normal"/>
        </w:rPr>
        <w:t xml:space="preserve">security identifier (SID)</w:t>
      </w:r>
      <w:r>
        <w:rPr>
          <w:rStyle w:val="Normal"/>
        </w:rPr>
        <w:t xml:space="preserve"> in certificate SANs is initially confusing: the draft first says Azure AD’s cloud issuing </w:t>
      </w:r>
      <w:r>
        <w:rPr>
          <w:i/>
          <w:iCs/>
          <w:rStyle w:val="Normal"/>
        </w:rPr>
        <w:t xml:space="preserve">“automatically includes the SID”</w:t>
      </w:r>
      <w:r>
        <w:rPr>
          <w:rStyle w:val="Normal"/>
        </w:rPr>
        <w:t xml:space="preserve"> then later implies you must manually include the SID using </w:t>
      </w:r>
      <w:r>
        <w:rPr>
          <w:rStyle w:val="Quote"/>
        </w:rPr>
        <w:t xml:space="preserve">{OnPremisesSecurityIdentifier}</w:t>
      </w:r>
      <w:r>
        <w:rPr>
          <w:rStyle w:val="Normal"/>
        </w:rPr>
        <w:t xml:space="preserve"> in the certificate profile. This could confuse readers – it should be clarified that cloud-issued certs include the object GUID (for device certs) or user principal name (UPN) by default, but not the old AD SID, which matters only if you need to use the cert with on-prem AD services. </w:t>
      </w:r>
      <w:r>
        <w:rPr>
          <w:b/>
          <w:bCs/>
          <w:rStyle w:val="Normal"/>
        </w:rPr>
        <w:t xml:space="preserve">Citations &amp; Sources:</w:t>
      </w:r>
      <w:r>
        <w:rPr>
          <w:rStyle w:val="Normal"/>
        </w:rPr>
        <w:t xml:space="preserve"> The reference list for Book 07 is extensive (over 270 footnotes) but exhibits duplication and formatting problems. For instance, multiple footnotes cite the same Microsoft Docs page on Intune’s certificate support, and some footnotes contain HTML break tags (</w:t>
      </w:r>
      <w:r>
        <w:rPr>
          <w:rStyle w:val="Quote"/>
        </w:rPr>
        <w:t xml:space="preserve">&lt;br&gt;</w:t>
      </w:r>
      <w:r>
        <w:rPr>
          <w:rStyle w:val="Normal"/>
        </w:rPr>
        <w:t xml:space="preserve">) or inconsistent naming (e.g. references , – about CyberArk/Venafi’s acquisition use different descriptors for the same event). To improve credibility, the authors should trim redundant references and ensure that each external claim (e.g. about </w:t>
      </w:r>
      <w:r>
        <w:rPr>
          <w:b/>
          <w:bCs/>
          <w:rStyle w:val="Normal"/>
        </w:rPr>
        <w:t xml:space="preserve">CA/Browser Forum baseline requirements, or NIST Special Publications like IR 7939 for PKI</w:t>
      </w:r>
      <w:r>
        <w:rPr>
          <w:rStyle w:val="Normal"/>
        </w:rPr>
        <w:t xml:space="preserve">) is backed by a current, primary source. One factual update to consider: the text cites </w:t>
      </w:r>
      <w:r>
        <w:rPr>
          <w:i/>
          <w:iCs/>
          <w:rStyle w:val="Normal"/>
        </w:rPr>
        <w:t xml:space="preserve">NIST IR 8547 draft</w:t>
      </w:r>
      <w:r>
        <w:rPr>
          <w:rStyle w:val="Normal"/>
        </w:rPr>
        <w:t xml:space="preserve"> – as of 2024 that IR has likely been finalized (or renumbered), so the final version should be referenced. In summary, Book 07’s content is valuable for securing and modernizing certificate services (a traditionally under-documented area), but it needs careful editing for consistency (both in text and tables) and a review of all statements against the latest Microsoft and federal PKI guidance to ensure long-term accuracy. </w:t>
      </w:r>
      <w:hyperlink w:history="1" r:id="rIdvojjrhehahzgszida5cer">
        <w:r>
          <w:rPr>
            <w:rStyle w:val="Hyperlink"/>
          </w:rPr>
          <w:t xml:space="preserve">[b07-pki-bundle | Word]</w:t>
        </w:r>
      </w:hyperlink>
      <w:r>
        <w:rPr>
          <w:rStyle w:val="Normal"/>
        </w:rPr>
        <w:t xml:space="preserve">, </w:t>
      </w:r>
      <w:hyperlink w:history="1" r:id="rIdz9occ10wnk47qdagtiixe">
        <w:r>
          <w:rPr>
            <w:rStyle w:val="Hyperlink"/>
          </w:rPr>
          <w:t xml:space="preserve">[b07-pki-bundle | Word]</w:t>
        </w:r>
      </w:hyperlink>
      <w:r>
        <w:rPr>
          <w:rStyle w:val="Normal"/>
        </w:rPr>
        <w:t xml:space="preserve"> </w:t>
      </w:r>
      <w:hyperlink w:history="1" r:id="rId0wln7z8surmlayzwp9ob0">
        <w:r>
          <w:rPr>
            <w:rStyle w:val="Hyperlink"/>
          </w:rPr>
          <w:t xml:space="preserve">[ | Word]</w:t>
        </w:r>
      </w:hyperlink>
      <w:r>
        <w:rPr>
          <w:rStyle w:val="Normal"/>
        </w:rPr>
        <w:t xml:space="preserve"> </w:t>
      </w:r>
      <w:hyperlink w:history="1" r:id="rIdo3ln-qjmqhae_rrm9c17o">
        <w:r>
          <w:rPr>
            <w:rStyle w:val="Hyperlink"/>
          </w:rPr>
          <w:t xml:space="preserve">[ | Word]</w:t>
        </w:r>
      </w:hyperlink>
      <w:r>
        <w:rPr>
          <w:rStyle w:val="Normal"/>
        </w:rPr>
        <w:t xml:space="preserve">, </w:t>
      </w:r>
      <w:hyperlink w:history="1" r:id="rId4mhedxhdxfvlv-mz-ssrn">
        <w:r>
          <w:rPr>
            <w:rStyle w:val="Hyperlink"/>
          </w:rPr>
          <w:t xml:space="preserve">[ | Word]</w:t>
        </w:r>
      </w:hyperlink>
    </w:p>
    <w:p>
      <w:r>
        <w:rPr>
          <w:b/>
          <w:bCs/>
          <w:rStyle w:val="Normal"/>
        </w:rPr>
        <w:t xml:space="preserve">Book 08 (DNS, DHCP &amp; IPAM)</w:t>
      </w:r>
      <w:r>
        <w:rPr>
          <w:rStyle w:val="Normal"/>
        </w:rPr>
        <w:t xml:space="preserve"> – </w:t>
      </w:r>
      <w:r>
        <w:rPr>
          <w:b/>
          <w:bCs/>
          <w:rStyle w:val="Normal"/>
        </w:rPr>
        <w:t xml:space="preserve">Scope &amp; Clarity:</w:t>
      </w:r>
      <w:r>
        <w:rPr>
          <w:rStyle w:val="Normal"/>
        </w:rPr>
        <w:t xml:space="preserve"> This book tackles </w:t>
      </w:r>
      <w:r>
        <w:rPr>
          <w:b/>
          <w:bCs/>
          <w:rStyle w:val="Normal"/>
        </w:rPr>
        <w:t xml:space="preserve">enterprise DDI (DNS/DHCP/IP Address Management)</w:t>
      </w:r>
      <w:r>
        <w:rPr>
          <w:rStyle w:val="Normal"/>
        </w:rPr>
        <w:t xml:space="preserve"> as a unified “control plane”. The core argument – that agencies must eliminate “split-brain” DNS by establishing one authoritative IPAM and integrated DNS/DHCP across on-prem and cloud – is compelling and well-founded. However, the draft content appears to have some disorganized sections. Parts of the “Custom roles” chapter were missing in the provided draft excerpt, and the reference list was present without the narrative context. This suggests a formatting or export issue; it should be remedied so that readers get the full explanatory text (e.g. on custom Azure roles for DNS administration or Infoblox integration) before diving into the reference footnotes. </w:t>
      </w:r>
      <w:r>
        <w:rPr>
          <w:b/>
          <w:bCs/>
          <w:rStyle w:val="Normal"/>
        </w:rPr>
        <w:t xml:space="preserve">Technical Content:</w:t>
      </w:r>
      <w:r>
        <w:rPr>
          <w:rStyle w:val="Normal"/>
        </w:rPr>
        <w:t xml:space="preserve"> The book includes deep technical guidance on things like Azure DNS Private Resolver, InfoBlox connector features, and encrypted DNS (DoH/DoT) requirements, all highly relevant to federal networks. One possible improvement is to better distinguish between </w:t>
      </w:r>
      <w:r>
        <w:rPr>
          <w:b/>
          <w:bCs/>
          <w:rStyle w:val="Normal"/>
        </w:rPr>
        <w:t xml:space="preserve">“must-do” actions vs. optional design choices.</w:t>
      </w:r>
      <w:r>
        <w:rPr>
          <w:rStyle w:val="Normal"/>
        </w:rPr>
        <w:t xml:space="preserve"> For example, enabling DNSSEC and encrypted DNS (DNS-over-HTTPS/TLS) is discussed as part of Zero Trust requirements, but agencies have latitude in how to implement protective DNS per CISA’s mandate. The book should clarify which recommendations are derived from mandates (e.g. CISA’s directive to use a Protective DNS service) and which are best-practice enhancements (e.g. using DNSSEC internally – not required, but potentially beneficial). </w:t>
      </w:r>
      <w:r>
        <w:rPr>
          <w:b/>
          <w:bCs/>
          <w:rStyle w:val="Normal"/>
        </w:rPr>
        <w:t xml:space="preserve">Assumptions:</w:t>
      </w:r>
      <w:r>
        <w:rPr>
          <w:rStyle w:val="Normal"/>
        </w:rPr>
        <w:t xml:space="preserve"> It assumes the reader has a mix of on-prem AD-integrated DNS, cloud DNS (Azure, AWS, etc.), and possibly an existing IPAM like Infoblox. This will match many agencies, but some (with simpler networks or single-cloud environments) may not need an elaborate unified DDI solution – perhaps mention that smaller agencies or single-cloud environments might handle DNS differently (e.g. using only cloud-native DNS and decommissioning on-prem DNS entirely). </w:t>
      </w:r>
      <w:r>
        <w:rPr>
          <w:b/>
          <w:bCs/>
          <w:rStyle w:val="Normal"/>
        </w:rPr>
        <w:t xml:space="preserve">Factual Accuracy &amp; Citations:</w:t>
      </w:r>
      <w:r>
        <w:rPr>
          <w:rStyle w:val="Normal"/>
        </w:rPr>
        <w:t xml:space="preserve"> In the draft, many footnotes cover RFCs and Microsoft docs about DNS and DHCP, which is good. Yet some references seem oddly placed or duplicated (e.g. multiple citations for the same Windows DNS settings). One footnote in the references section has an access date of Oct 21, 2026 while others are Oct 20, suggesting minor inconsistencies in when sources were checked. Also, the draft references an OMB memo “M-26-14” (presumably a future 2026 logging mandate) that isn’t yet publicly known; if using a placeholder for upcoming policy, it should be clearly marked as such. The authors should verify all such forward-looking references against final published policies before release. </w:t>
      </w:r>
      <w:r>
        <w:rPr>
          <w:b/>
          <w:bCs/>
          <w:rStyle w:val="Normal"/>
        </w:rPr>
        <w:t xml:space="preserve">Practicality:</w:t>
      </w:r>
      <w:r>
        <w:rPr>
          <w:rStyle w:val="Normal"/>
        </w:rPr>
        <w:t xml:space="preserve"> The step-by-step guidance for migrating DNS zones and DHCP configurations is quite detailed – perhaps too much so for a narrative format. It might be better presented as a checklist or runbook (maybe in an appendix) so that the main text can focus on explaining </w:t>
      </w:r>
      <w:r>
        <w:rPr>
          <w:i/>
          <w:iCs/>
          <w:rStyle w:val="Normal"/>
        </w:rPr>
        <w:t xml:space="preserve">why</w:t>
      </w:r>
      <w:r>
        <w:rPr>
          <w:rStyle w:val="Normal"/>
        </w:rPr>
        <w:t xml:space="preserve"> these steps matter (e.g. preventing name resolution failures, ensuring MITM protections via DNSSEC, etc.) in a higher-level way. Overall, the content is technically rich but needs final polishing to ensure the complete narrative is delivered and that each important recommendation is clearly tied to authoritative guidance (for instance, citing CISA’s </w:t>
      </w:r>
      <w:r>
        <w:rPr>
          <w:b/>
          <w:bCs/>
          <w:rStyle w:val="Normal"/>
        </w:rPr>
        <w:t xml:space="preserve">Protective DNS</w:t>
      </w:r>
      <w:r>
        <w:rPr>
          <w:rStyle w:val="Normal"/>
        </w:rPr>
        <w:t xml:space="preserve"> guidelines or </w:t>
      </w:r>
      <w:r>
        <w:rPr>
          <w:b/>
          <w:bCs/>
          <w:rStyle w:val="Normal"/>
        </w:rPr>
        <w:t xml:space="preserve">OMB M-22-09’s</w:t>
      </w:r>
      <w:r>
        <w:rPr>
          <w:rStyle w:val="Normal"/>
        </w:rPr>
        <w:t xml:space="preserve"> call for encrypted DNS in federal networks). </w:t>
      </w:r>
      <w:hyperlink w:history="1" r:id="rId2keuhpcrdjzp97zqbiua9">
        <w:r>
          <w:rPr>
            <w:rStyle w:val="Hyperlink"/>
          </w:rPr>
          <w:t xml:space="preserve">[b08-ddi-bundle | Word]</w:t>
        </w:r>
      </w:hyperlink>
      <w:r>
        <w:rPr>
          <w:rStyle w:val="Normal"/>
        </w:rPr>
        <w:t xml:space="preserve"> </w:t>
      </w:r>
      <w:hyperlink w:history="1" r:id="rId9aejlwhdy-_zcvpdgcmfk">
        <w:r>
          <w:rPr>
            <w:rStyle w:val="Hyperlink"/>
          </w:rPr>
          <w:t xml:space="preserve">[b08-ddi-bundle | Word]</w:t>
        </w:r>
      </w:hyperlink>
      <w:r>
        <w:rPr>
          <w:rStyle w:val="Normal"/>
        </w:rPr>
        <w:t xml:space="preserve">, </w:t>
      </w:r>
      <w:hyperlink w:history="1" r:id="rId7donupxphnwklrx0_qsyc">
        <w:r>
          <w:rPr>
            <w:rStyle w:val="Hyperlink"/>
          </w:rPr>
          <w:t xml:space="preserve">[b08-ddi-bundle | Word]</w:t>
        </w:r>
      </w:hyperlink>
      <w:r>
        <w:rPr>
          <w:rStyle w:val="Normal"/>
        </w:rPr>
        <w:t xml:space="preserve"> </w:t>
      </w:r>
      <w:hyperlink w:history="1" r:id="rIdlhyxbkccscc7dabzstdw5">
        <w:r>
          <w:rPr>
            <w:rStyle w:val="Hyperlink"/>
          </w:rPr>
          <w:t xml:space="preserve">[ | Word]</w:t>
        </w:r>
      </w:hyperlink>
      <w:r>
        <w:rPr>
          <w:rStyle w:val="Normal"/>
        </w:rPr>
        <w:t xml:space="preserve">, </w:t>
      </w:r>
      <w:hyperlink w:history="1" r:id="rIdiz2jmujni9fqwleho4eyp">
        <w:r>
          <w:rPr>
            <w:rStyle w:val="Hyperlink"/>
          </w:rPr>
          <w:t xml:space="preserve">[ | Word]</w:t>
        </w:r>
      </w:hyperlink>
      <w:r>
        <w:rPr>
          <w:rStyle w:val="Normal"/>
        </w:rPr>
        <w:t xml:space="preserve"> </w:t>
      </w:r>
      <w:hyperlink w:history="1" r:id="rIdgi76lmtxq8pjmdjcsypgh">
        <w:r>
          <w:rPr>
            <w:rStyle w:val="Hyperlink"/>
          </w:rPr>
          <w:t xml:space="preserve">[ | Word]</w:t>
        </w:r>
      </w:hyperlink>
    </w:p>
    <w:p>
      <w:r>
        <w:rPr>
          <w:b/>
          <w:bCs/>
          <w:rStyle w:val="Normal"/>
        </w:rPr>
        <w:t xml:space="preserve">Book 09 (Network &amp; Transport)</w:t>
      </w:r>
      <w:r>
        <w:rPr>
          <w:rStyle w:val="Normal"/>
        </w:rPr>
        <w:t xml:space="preserve"> – </w:t>
      </w:r>
      <w:r>
        <w:rPr>
          <w:b/>
          <w:bCs/>
          <w:rStyle w:val="Normal"/>
        </w:rPr>
        <w:t xml:space="preserve">Clarity &amp; Structure:</w:t>
      </w:r>
      <w:r>
        <w:rPr>
          <w:rStyle w:val="Normal"/>
        </w:rPr>
        <w:t xml:space="preserve"> Book 09 appears to cover network architecture shifts (SD-WAN, TIC 3.0/SASE, and related compliance). The draft shows signs of incomplete editing: for example, HTML table tags and raw markup (e.g. </w:t>
      </w:r>
      <w:r>
        <w:rPr>
          <w:rStyle w:val="Quote"/>
        </w:rPr>
        <w:t xml:space="preserve">&lt;table&gt;</w:t>
      </w:r>
      <w:r>
        <w:rPr>
          <w:rStyle w:val="Normal"/>
        </w:rPr>
        <w:t xml:space="preserve">, </w:t>
      </w:r>
      <w:r>
        <w:rPr>
          <w:rStyle w:val="Quote"/>
        </w:rPr>
        <w:t xml:space="preserve">&lt;/td&gt;</w:t>
      </w:r>
      <w:r>
        <w:rPr>
          <w:rStyle w:val="Normal"/>
        </w:rPr>
        <w:t xml:space="preserve"> in the text) which make some sections hard to read. Ensuring these are cleaned up and properly formatted (perhaps converting complex tables into clear diagrams or summarized text) will help. Also, sections of the compliance mapping read like working notes – e.g. some capabilities are listed with “[status]” or “Assess each” placeholders still present, and some references to a “memo clause 4” are made without identifying which memo (likely TIC 3.0 guidance). This suggests the need for a thorough editorial pass to replace placeholders with final content or remove them if not needed. </w:t>
      </w:r>
      <w:r>
        <w:rPr>
          <w:b/>
          <w:bCs/>
          <w:rStyle w:val="Normal"/>
        </w:rPr>
        <w:t xml:space="preserve">Technical &amp; Policy Accuracy:</w:t>
      </w:r>
      <w:r>
        <w:rPr>
          <w:rStyle w:val="Normal"/>
        </w:rPr>
        <w:t xml:space="preserve"> The book covers topics like </w:t>
      </w:r>
      <w:r>
        <w:rPr>
          <w:b/>
          <w:bCs/>
          <w:rStyle w:val="Normal"/>
        </w:rPr>
        <w:t xml:space="preserve">TIC 3.0 Telemetry and Trust zones</w:t>
      </w:r>
      <w:r>
        <w:rPr>
          <w:rStyle w:val="Normal"/>
        </w:rPr>
        <w:t xml:space="preserve"> and the integration of Zero Trust Network Access (ZTNA) with legacy Trusted Internet Connections policy. A critical point is the concept of </w:t>
      </w:r>
      <w:r>
        <w:rPr>
          <w:b/>
          <w:bCs/>
          <w:rStyle w:val="Normal"/>
        </w:rPr>
        <w:t xml:space="preserve">“Policy Enforcement Parity”</w:t>
      </w:r>
      <w:r>
        <w:rPr>
          <w:rStyle w:val="Normal"/>
        </w:rPr>
        <w:t xml:space="preserve"> – the authors interpret TIC 3.0 to mean all egress paths (VPN, local ISP breakout, cloud egress) must have equivalent security controls. While logical, this is an interpretation of CISA’s intent rather than an explicit requirement; it should be clearly attributed to TIC 3.0 documentation (e.g. citing the TIC 3.0 Core Guidance) and not framed as the authors’ own mandate. Similarly, the discussion of “GCC High limitations (Graph-only, no GSA)” and statements like “Global Secure Access is Microsoft Graph only” need confirmation – Microsoft’s </w:t>
      </w:r>
      <w:r>
        <w:rPr>
          <w:b/>
          <w:bCs/>
          <w:rStyle w:val="Normal"/>
        </w:rPr>
        <w:t xml:space="preserve">Entra Global Secure Access (SASE solution)</w:t>
      </w:r>
      <w:r>
        <w:rPr>
          <w:rStyle w:val="Normal"/>
        </w:rPr>
        <w:t xml:space="preserve"> is new (preview in 2023) and not yet available in GCC High; the text should explicitly mention this is current as of 2026 but may change. Also, any references to specific CISA </w:t>
      </w:r>
      <w:r>
        <w:rPr>
          <w:b/>
          <w:bCs/>
          <w:rStyle w:val="Normal"/>
        </w:rPr>
        <w:t xml:space="preserve">Binding Operational Directives (BODs)</w:t>
      </w:r>
      <w:r>
        <w:rPr>
          <w:rStyle w:val="Normal"/>
        </w:rPr>
        <w:t xml:space="preserve"> or OMB memos (e.g. BOD 26-02 on IPv6, M-21-07 on DNS encryption) should be checked for precise wording. The draft’s mention of </w:t>
      </w:r>
      <w:r>
        <w:rPr>
          <w:b/>
          <w:bCs/>
          <w:rStyle w:val="Normal"/>
        </w:rPr>
        <w:t xml:space="preserve">FedRAMP “Class C vs D”</w:t>
      </w:r>
      <w:r>
        <w:rPr>
          <w:rStyle w:val="Normal"/>
        </w:rPr>
        <w:t xml:space="preserve"> for M365 GCC offerings is informative, but could confuse readers unfamiliar with FedRAMP’s class designations – a brief explanation or footnote would help. </w:t>
      </w:r>
      <w:r>
        <w:rPr>
          <w:b/>
          <w:bCs/>
          <w:rStyle w:val="Normal"/>
        </w:rPr>
        <w:t xml:space="preserve">Internal Consistency:</w:t>
      </w:r>
      <w:r>
        <w:rPr>
          <w:rStyle w:val="Normal"/>
        </w:rPr>
        <w:t xml:space="preserve"> The compliance mapping in Book 09 cites TIC 3.0 Version 3.3 as of “September 2026” while also mentioning July 2025 – likely referring to a revision history. To avoid confusion, the final text should state clearly that the guidance is based on TIC 3.0 documentation (which had an update in 2025) and note any subsequent changes up to 2026. Additionally, the authors’ commentary on draft CISA documents (e.g. BOD 26-01/02 on network architecture) should be updated if those drafts became final. </w:t>
      </w:r>
      <w:r>
        <w:rPr>
          <w:b/>
          <w:bCs/>
          <w:rStyle w:val="Normal"/>
        </w:rPr>
        <w:t xml:space="preserve">Citations &amp; Formatting:</w:t>
      </w:r>
      <w:r>
        <w:rPr>
          <w:rStyle w:val="Normal"/>
        </w:rPr>
        <w:t xml:space="preserve"> The reference section for Book 09 reveals many duplicate citations and some reliance on secondary sources. For example, the DoD Zero Trust Strategy is cited via a DefenseScoop article because the primary PDF was unavailable – ideally, the final version should cite the official DoD document if possible. Also, computed calendar dates (like the “6,150 km = 62 ms RTT” network latency claim) are included in footnotes; while it’s fine to show calculations, it may be clearer to present them in-text or in a figure. The citations around NIST SP 800-120 (which was </w:t>
      </w:r>
      <w:r>
        <w:rPr>
          <w:b/>
          <w:bCs/>
          <w:rStyle w:val="Normal"/>
        </w:rPr>
        <w:t xml:space="preserve">withdrawn in 2018</w:t>
      </w:r>
      <w:r>
        <w:rPr>
          <w:rStyle w:val="Normal"/>
        </w:rPr>
        <w:t xml:space="preserve">) should probably be removed or updated to current guidance if that content is still relevant. Lastly, ensure all hyperlinks are correctly formatted – the draft has at least one truncated URL at footnote 301. </w:t>
      </w:r>
      <w:hyperlink w:history="1" r:id="rIdvut5alcu4dfzhqc2kcbd2">
        <w:r>
          <w:rPr>
            <w:rStyle w:val="Hyperlink"/>
          </w:rPr>
          <w:t xml:space="preserve">[ | Word]</w:t>
        </w:r>
      </w:hyperlink>
      <w:r>
        <w:rPr>
          <w:rStyle w:val="Normal"/>
        </w:rPr>
        <w:t xml:space="preserve">, </w:t>
      </w:r>
      <w:hyperlink w:history="1" r:id="rIdt98o8f8l2_5r_bfv_89xx">
        <w:r>
          <w:rPr>
            <w:rStyle w:val="Hyperlink"/>
          </w:rPr>
          <w:t xml:space="preserve">[ | Word]</w:t>
        </w:r>
      </w:hyperlink>
      <w:r>
        <w:rPr>
          <w:rStyle w:val="Normal"/>
        </w:rPr>
        <w:t xml:space="preserve"> </w:t>
      </w:r>
      <w:hyperlink w:history="1" r:id="rIdywudumgx1gormxbbt3xhv">
        <w:r>
          <w:rPr>
            <w:rStyle w:val="Hyperlink"/>
          </w:rPr>
          <w:t xml:space="preserve">[ | Word]</w:t>
        </w:r>
      </w:hyperlink>
    </w:p>
    <w:p>
      <w:r>
        <w:rPr>
          <w:b/>
          <w:bCs/>
          <w:rStyle w:val="Normal"/>
        </w:rPr>
        <w:t xml:space="preserve">Book 10 (Cloud &amp; Authorization Boundaries)</w:t>
      </w:r>
      <w:r>
        <w:rPr>
          <w:rStyle w:val="Normal"/>
        </w:rPr>
        <w:t xml:space="preserve"> – </w:t>
      </w:r>
      <w:r>
        <w:rPr>
          <w:b/>
          <w:bCs/>
          <w:rStyle w:val="Normal"/>
        </w:rPr>
        <w:t xml:space="preserve">Clarity &amp; Focus:</w:t>
      </w:r>
      <w:r>
        <w:rPr>
          <w:rStyle w:val="Normal"/>
        </w:rPr>
        <w:t xml:space="preserve"> Book 10 addresses the critical concept of </w:t>
      </w:r>
      <w:r>
        <w:rPr>
          <w:b/>
          <w:bCs/>
          <w:rStyle w:val="Normal"/>
        </w:rPr>
        <w:t xml:space="preserve">cloud authorization boundaries and shared responsibility</w:t>
      </w:r>
      <w:r>
        <w:rPr>
          <w:rStyle w:val="Normal"/>
        </w:rPr>
        <w:t xml:space="preserve">, but it sometimes conflates multiple issues. The draft’s core message – “</w:t>
      </w:r>
      <w:r>
        <w:rPr>
          <w:b/>
          <w:bCs/>
          <w:rStyle w:val="Normal"/>
        </w:rPr>
        <w:t xml:space="preserve">the product/service catalog is not the boundary</w:t>
      </w:r>
      <w:r>
        <w:rPr>
          <w:rStyle w:val="Normal"/>
        </w:rPr>
        <w:t xml:space="preserve">” – is an important insight (i.e. federal agencies must determine their own ATO boundaries and cannot assume a vendor’s marketing materials cover FedRAMP compliance). However, the text jumps between topics: feature availability in GCC vs Commercial clouds, FedRAMP package listings, and internal agency boundary decisions, all under the broad term “boundary”. To improve clarity, the book should distinctly define the types of “boundaries” being discussed: e.g., </w:t>
      </w:r>
      <w:r>
        <w:rPr>
          <w:b/>
          <w:bCs/>
          <w:rStyle w:val="Normal"/>
        </w:rPr>
        <w:t xml:space="preserve">(a)</w:t>
      </w:r>
      <w:r>
        <w:rPr>
          <w:rStyle w:val="Normal"/>
        </w:rPr>
        <w:t xml:space="preserve"> cloud feature parity limitations by sovereign cloud environment; </w:t>
      </w:r>
      <w:r>
        <w:rPr>
          <w:b/>
          <w:bCs/>
          <w:rStyle w:val="Normal"/>
        </w:rPr>
        <w:t xml:space="preserve">(b)</w:t>
      </w:r>
      <w:r>
        <w:rPr>
          <w:rStyle w:val="Normal"/>
        </w:rPr>
        <w:t xml:space="preserve"> the scope of a cloud service’s FedRAMP authorization (the CSP’s boundary); </w:t>
      </w:r>
      <w:r>
        <w:rPr>
          <w:b/>
          <w:bCs/>
          <w:rStyle w:val="Normal"/>
        </w:rPr>
        <w:t xml:space="preserve">(c)</w:t>
      </w:r>
      <w:r>
        <w:rPr>
          <w:rStyle w:val="Normal"/>
        </w:rPr>
        <w:t xml:space="preserve"> an agency’s own system boundary for ATO purposes. Keeping these threads separate (perhaps as different subsections) would prevent reader confusion. </w:t>
      </w:r>
      <w:r>
        <w:rPr>
          <w:b/>
          <w:bCs/>
          <w:rStyle w:val="Normal"/>
        </w:rPr>
        <w:t xml:space="preserve">Technical Accuracy &amp; Policy Alignment:</w:t>
      </w:r>
      <w:r>
        <w:rPr>
          <w:rStyle w:val="Normal"/>
        </w:rPr>
        <w:t xml:space="preserve"> Some statements need calibration. For example, the claim that </w:t>
      </w:r>
      <w:r>
        <w:rPr>
          <w:i/>
          <w:iCs/>
          <w:rStyle w:val="Normal"/>
        </w:rPr>
        <w:t xml:space="preserve">“the only boundary [FedRAMP packages] name belongs to the agency”</w:t>
      </w:r>
      <w:r>
        <w:rPr>
          <w:rStyle w:val="Normal"/>
        </w:rPr>
        <w:t xml:space="preserve"> might mislead – in reality, FedRAMP authorizations clearly delineate the </w:t>
      </w:r>
      <w:r>
        <w:rPr>
          <w:i/>
          <w:iCs/>
          <w:rStyle w:val="Normal"/>
        </w:rPr>
        <w:t xml:space="preserve">CSP’s cloud service boundary</w:t>
      </w:r>
      <w:r>
        <w:rPr>
          <w:rStyle w:val="Normal"/>
        </w:rPr>
        <w:t xml:space="preserve">, and anything outside that (including agency configurations and integrations) falls under the agency’s risk management. The intent is likely to urge agencies to treat anything not explicitly covered by the provider as </w:t>
      </w:r>
      <w:r>
        <w:rPr>
          <w:i/>
          <w:iCs/>
          <w:rStyle w:val="Normal"/>
        </w:rPr>
        <w:t xml:space="preserve">their</w:t>
      </w:r>
      <w:r>
        <w:rPr>
          <w:rStyle w:val="Normal"/>
        </w:rPr>
        <w:t xml:space="preserve"> responsibility, which is valid; it just needs to be worded carefully. Also, ensure that references to upcoming policies (e.g. a potential OMB “M-26-14” logging memo, or </w:t>
      </w:r>
      <w:r>
        <w:rPr>
          <w:b/>
          <w:bCs/>
          <w:rStyle w:val="Normal"/>
        </w:rPr>
        <w:t xml:space="preserve">FedRAMP Rev. 5 transition deadlines</w:t>
      </w:r>
      <w:r>
        <w:rPr>
          <w:rStyle w:val="Normal"/>
        </w:rPr>
        <w:t xml:space="preserve"> in 2026) are up-to-date and accurately described – avoid implying, for instance, that every agency system must be fully modernized by 2027 because of FedRAMP (which is about cloud services). </w:t>
      </w:r>
      <w:r>
        <w:rPr>
          <w:b/>
          <w:bCs/>
          <w:rStyle w:val="Normal"/>
        </w:rPr>
        <w:t xml:space="preserve">Citation Issues:</w:t>
      </w:r>
      <w:r>
        <w:rPr>
          <w:rStyle w:val="Normal"/>
        </w:rPr>
        <w:t xml:space="preserve"> The draft’s latter half has many footnotes missing or out-of-sync – the reference list seemingly stops at , whereas in-text citations go much higher. This indicates a major editing error: the final book must include the complete list of references through the last footnote (likely ~). Many sources are repeated (for example, multiple footnotes reference the FedRAMP Marketplace or the NIST RMF SP 800-37) and a few are even drawn from forum posts or Q&amp;A sites. Given the sensitivity of compliance assertions, it is better to cite official sources – e.g., NIST SP 800-37 for risk management,  FedRAMP Program publications for marketplace data, and OMB/CISA memos for dates and requirements – rather than community forums. </w:t>
      </w:r>
      <w:r>
        <w:rPr>
          <w:b/>
          <w:bCs/>
          <w:rStyle w:val="Normal"/>
        </w:rPr>
        <w:t xml:space="preserve">Implementability &amp; Risks:</w:t>
      </w:r>
      <w:r>
        <w:rPr>
          <w:rStyle w:val="Normal"/>
        </w:rPr>
        <w:t xml:space="preserve"> The guidance about analyzing FedRAMP Marketplace data (counting package listings, inferring GCC High status, etc.) is insightful, but the book should caution that this is </w:t>
      </w:r>
      <w:r>
        <w:rPr>
          <w:i/>
          <w:iCs/>
          <w:rStyle w:val="Normal"/>
        </w:rPr>
        <w:t xml:space="preserve">the authors’ analysis</w:t>
      </w:r>
      <w:r>
        <w:rPr>
          <w:rStyle w:val="Normal"/>
        </w:rPr>
        <w:t xml:space="preserve"> and not an official guarantee of agency compliance. For example, pointing out that </w:t>
      </w:r>
      <w:r>
        <w:rPr>
          <w:b/>
          <w:bCs/>
          <w:rStyle w:val="Normal"/>
        </w:rPr>
        <w:t xml:space="preserve">Microsoft 365 GCC has a FedRAMP Moderate (Class C) package</w:t>
      </w:r>
      <w:r>
        <w:rPr>
          <w:rStyle w:val="Normal"/>
        </w:rPr>
        <w:t xml:space="preserve"> while GCC-High is pursuing High (Class D) is useful context, but agencies still must coordinate with their ISSOs and the FedRAMP Joint Authorization Board to understand any compensating controls needed – the book could explicitly advise readers to do so. In addition, where the book enumerates “the largest single documented loss” or “most consequential exceptions” in cloud services, it should provide evidence or at least context (e.g., referencing a known incident or study, if available) to support those superlatives, or else tone down the wording. On the whole, Book 10 addresses a crucial area (resolving confusion about responsibility gaps in cloud migrations), and with revisions to fix its citation holes, tighten its language, and update any policy references, it will serve as a strong conclusion to the series. </w:t>
      </w:r>
      <w:hyperlink w:history="1" r:id="rIdavs_l-exw4gzukndsozld">
        <w:r>
          <w:rPr>
            <w:rStyle w:val="Hyperlink"/>
          </w:rPr>
          <w:t xml:space="preserve">[b10-cloud-...ary-bundle | Word]</w:t>
        </w:r>
      </w:hyperlink>
      <w:r>
        <w:rPr>
          <w:rStyle w:val="Normal"/>
        </w:rPr>
        <w:t xml:space="preserve">, </w:t>
      </w:r>
      <w:hyperlink w:history="1" r:id="rIdpu1fqrudeuvgf2xftf6aq">
        <w:r>
          <w:rPr>
            <w:rStyle w:val="Hyperlink"/>
          </w:rPr>
          <w:t xml:space="preserve">[b10-cloud-...ary-bundle | Word]</w:t>
        </w:r>
      </w:hyperlink>
      <w:r>
        <w:rPr>
          <w:rStyle w:val="Normal"/>
        </w:rPr>
        <w:t xml:space="preserve"> </w:t>
      </w:r>
      <w:hyperlink w:history="1" r:id="rIdz99ccujaelora3fbx7lnl">
        <w:r>
          <w:rPr>
            <w:rStyle w:val="Hyperlink"/>
          </w:rPr>
          <w:t xml:space="preserve">[b06-data-p...orm-bundle | Word]</w:t>
        </w:r>
      </w:hyperlink>
      <w:r>
        <w:rPr>
          <w:rStyle w:val="Normal"/>
        </w:rPr>
        <w:t xml:space="preserve"> </w:t>
      </w:r>
      <w:hyperlink w:history="1" r:id="rIdqd7u_yu_tjgxvq_w_lkih">
        <w:r>
          <w:rPr>
            <w:rStyle w:val="Hyperlink"/>
          </w:rPr>
          <w:t xml:space="preserve">[ | Word]</w:t>
        </w:r>
      </w:hyperlink>
      <w:r>
        <w:rPr>
          <w:rStyle w:val="Normal"/>
        </w:rPr>
        <w:t xml:space="preserve"> </w:t>
      </w:r>
      <w:hyperlink w:history="1" r:id="rIdywfk5gcdnvwmhrc5xwyz5">
        <w:r>
          <w:rPr>
            <w:rStyle w:val="Hyperlink"/>
          </w:rPr>
          <w:t xml:space="preserve">[ | Word]</w:t>
        </w:r>
      </w:hyperlink>
      <w:r>
        <w:rPr>
          <w:rStyle w:val="Normal"/>
        </w:rPr>
        <w:t xml:space="preserve">, </w:t>
      </w:r>
      <w:hyperlink w:history="1" r:id="rIdergun5n_tvdgyjefoskxv">
        <w:r>
          <w:rPr>
            <w:rStyle w:val="Hyperlink"/>
          </w:rPr>
          <w:t xml:space="preserve">[ | Word]</w:t>
        </w:r>
      </w:hyperlink>
      <w:r>
        <w:rPr>
          <w:rStyle w:val="Normal"/>
        </w:rPr>
        <w:t xml:space="preserve"> </w:t>
      </w:r>
      <w:hyperlink w:history="1" r:id="rIdoxx1dxnyuigyv1dd8urjf">
        <w:r>
          <w:rPr>
            <w:rStyle w:val="Hyperlink"/>
          </w:rPr>
          <w:t xml:space="preserve">[b10-cloud-...ary-bundle | Word]</w:t>
        </w:r>
      </w:hyperlink>
    </w:p>
    <w:p>
      <w:pPr>
        <w:pBdr>
          <w:top w:val="single" w:color="auto" w:sz="12"/>
        </w:pBdr>
        <w:spacing w:after="0"/>
      </w:pPr>
    </w:p>
    <w:p>
      <w:r>
        <w:rPr>
          <w:b/>
          <w:bCs/>
          <w:rStyle w:val="Normal"/>
        </w:rPr>
        <w:t xml:space="preserve">2. ** _</w:t>
      </w:r>
      <w:r>
        <w:rPr>
          <w:rStyle w:val="Normal"/>
        </w:rPr>
        <w:t xml:space="preserve">Key Factual or Citation Issues by Book:**_ </w:t>
      </w:r>
      <w:r>
        <w:rPr>
          <w:b/>
          <w:bCs/>
          <w:rStyle w:val="Normal"/>
        </w:rPr>
        <w:t xml:space="preserve">Book 01:</w:t>
      </w:r>
      <w:r>
        <w:rPr>
          <w:rStyle w:val="Normal"/>
        </w:rPr>
        <w:t xml:space="preserve"> (a) </w:t>
      </w:r>
      <w:r>
        <w:rPr>
          <w:i/>
          <w:iCs/>
          <w:rStyle w:val="Normal"/>
        </w:rPr>
        <w:t xml:space="preserve">Policy references:</w:t>
      </w:r>
      <w:r>
        <w:rPr>
          <w:rStyle w:val="Normal"/>
        </w:rPr>
        <w:t xml:space="preserve"> Implies OMB Memo </w:t>
      </w:r>
      <w:r>
        <w:rPr>
          <w:b/>
          <w:bCs/>
          <w:rStyle w:val="Normal"/>
        </w:rPr>
        <w:t xml:space="preserve">M-22-09</w:t>
      </w:r>
      <w:r>
        <w:rPr>
          <w:rStyle w:val="Normal"/>
        </w:rPr>
        <w:t xml:space="preserve"> has a “§ 4” with prescriptive requirements – in reality, M-22-09 (Jan 2022 Federal Zero Trust strategy) isn’t formatted with numbered clauses, so this reference is confusing. (b) </w:t>
      </w:r>
      <w:r>
        <w:rPr>
          <w:i/>
          <w:iCs/>
          <w:rStyle w:val="Normal"/>
        </w:rPr>
        <w:t xml:space="preserve">FedRAMP/ATO confusion:</w:t>
      </w:r>
      <w:r>
        <w:rPr>
          <w:rStyle w:val="Normal"/>
        </w:rPr>
        <w:t xml:space="preserve"> States that agencies must be “modernized by 2027” to maintain certification; in fact, </w:t>
      </w:r>
      <w:r>
        <w:rPr>
          <w:b/>
          <w:bCs/>
          <w:rStyle w:val="Normal"/>
        </w:rPr>
        <w:t xml:space="preserve">FedRAMP Rev. 5 deadlines in 2026–27 apply to cloud service providers</w:t>
      </w:r>
      <w:r>
        <w:rPr>
          <w:rStyle w:val="Normal"/>
        </w:rPr>
        <w:t xml:space="preserve">, not to federal agency networks, and agency Authority to Operate (ATO) decisions remain internal. </w:t>
      </w:r>
      <w:r>
        <w:rPr>
          <w:b/>
          <w:bCs/>
          <w:rStyle w:val="Normal"/>
        </w:rPr>
        <w:t xml:space="preserve">Book 02:</w:t>
      </w:r>
      <w:r>
        <w:rPr>
          <w:rStyle w:val="Normal"/>
        </w:rPr>
        <w:t xml:space="preserve"> (a) </w:t>
      </w:r>
      <w:r>
        <w:rPr>
          <w:i/>
          <w:iCs/>
          <w:rStyle w:val="Normal"/>
        </w:rPr>
        <w:t xml:space="preserve">“Cloud Sync replacing Connect” overstated:</w:t>
      </w:r>
      <w:r>
        <w:rPr>
          <w:rStyle w:val="Normal"/>
        </w:rPr>
        <w:t xml:space="preserve"> The text suggests Cloud Sync will fully replace Entra Connect Sync, without caveats. Microsoft’s own guidance encourages </w:t>
      </w:r>
      <w:r>
        <w:rPr>
          <w:b/>
          <w:bCs/>
          <w:rStyle w:val="Normal"/>
        </w:rPr>
        <w:t xml:space="preserve">Cloud Sync “where it meets requirements”</w:t>
      </w:r>
      <w:r>
        <w:rPr>
          <w:rStyle w:val="Normal"/>
        </w:rPr>
        <w:t xml:space="preserve"> but notes it has limitations (e.g. 50k group member limit, fewer sync rules) and that </w:t>
      </w:r>
      <w:r>
        <w:rPr>
          <w:b/>
          <w:bCs/>
          <w:rStyle w:val="Normal"/>
        </w:rPr>
        <w:t xml:space="preserve">Entra Connect remains necessary for complex scenarios</w:t>
      </w:r>
      <w:r>
        <w:rPr>
          <w:rStyle w:val="Normal"/>
        </w:rPr>
        <w:t xml:space="preserve">. This claim should be nuanced and sourced to Microsoft’s roadmap or decision guide. (b) </w:t>
      </w:r>
      <w:r>
        <w:rPr>
          <w:i/>
          <w:iCs/>
          <w:rStyle w:val="Normal"/>
        </w:rPr>
        <w:t xml:space="preserve">Misleading “identity provider for whole estate”:</w:t>
      </w:r>
      <w:r>
        <w:rPr>
          <w:rStyle w:val="Normal"/>
        </w:rPr>
        <w:t xml:space="preserve"> Book 02 asserts that in Zero Trust, “the identity provider becomes the policy decision point for the entire estate,” seemingly ignoring on-premises authentication that bypasses the IdP. This overgeneralization should be clarified – many legacy apps (using NTLM/Kerberos) won’t route every access through the cloud IdP/Conditional Access, until they’re modernized or retired. (c) </w:t>
      </w:r>
      <w:r>
        <w:rPr>
          <w:i/>
          <w:iCs/>
          <w:rStyle w:val="Normal"/>
        </w:rPr>
        <w:t xml:space="preserve">Footnote formatting:</w:t>
      </w:r>
      <w:r>
        <w:rPr>
          <w:rStyle w:val="Normal"/>
        </w:rPr>
        <w:t xml:space="preserve"> Several footnotes are out of order or empty (e.g. </w:t>
      </w:r>
      <w:r>
        <w:rPr>
          <w:rStyle w:val="Quote"/>
        </w:rPr>
        <w:t xml:space="preserve">appears with no content)[^4], and one citation about LDAP group membership limits contradicts itself (text says 5,000; cited source’s title says 500) – the correct limit (500 members in a token for LDAP queries) should be confirmed and the text/citation made consistent[^8]. **Book 03:** (a) *Forward-looking statements:* References to the **Federal HR 2.0 (Oracle HCM) deployment timeline** (e.g. “government-wide adoption by FY 2028”) will date quickly; these should be updated with the latest official schedule or rephrased to remain useful even if timelines slip[^9]. (b) *Privacy &amp; legal citations:* The book alludes to Privacy Act constraints (routine use, need-to-know) and OPM’s Government-wide SORN (GOVT-1) but doesn’t cite them directly[^9]. These are critical legal foundations – the final version should explicitly reference the Privacy Act (5 U.S.C. §552a) and OPM’s GOVT-1 SORN to ensure accuracy. (c) *Orphaned references:* Many footnotes in Book 03 are incomplete – e.g. footnotes</w:t>
      </w:r>
      <w:r>
        <w:rPr>
          <w:rStyle w:val="Normal"/>
        </w:rPr>
        <w:t xml:space="preserve">–</w:t>
      </w:r>
      <w:r>
        <w:rPr>
          <w:rStyle w:val="Quote"/>
        </w:rPr>
        <w:t xml:space="preserve">appear in text but corresponding entries are missing in the draft, and footnote</w:t>
      </w:r>
      <w:r>
        <w:rPr>
          <w:rStyle w:val="Normal"/>
        </w:rPr>
        <w:t xml:space="preserve"> is truncated mid-title. This must be fixed to avoid losing the sources of key claims (such as Microsoft’s documentation on dynamic Administrative Units or the HR 2.0 announcement). </w:t>
      </w:r>
      <w:r>
        <w:rPr>
          <w:b/>
          <w:bCs/>
          <w:rStyle w:val="Normal"/>
        </w:rPr>
        <w:t xml:space="preserve">Book 04:</w:t>
      </w:r>
      <w:r>
        <w:rPr>
          <w:rStyle w:val="Normal"/>
        </w:rPr>
        <w:t xml:space="preserve"> (a) </w:t>
      </w:r>
      <w:r>
        <w:rPr>
          <w:i/>
          <w:iCs/>
          <w:rStyle w:val="Normal"/>
        </w:rPr>
        <w:t xml:space="preserve">Conflicting frequency of PIM reviews:</w:t>
      </w:r>
      <w:r>
        <w:rPr>
          <w:rStyle w:val="Normal"/>
        </w:rPr>
        <w:t xml:space="preserve"> Chapter 08 vs Chapter 09 provide different guidance (monthly vs quarterly) on how often privileged role assignments should be reviewed. This inconsistency can confuse compliance efforts; the authors should align on one schedule or explain the distinction (perhaps Tier 0 roles monthly, lower-tier quarterly, etc.) to reflect a coherent policy. (b) </w:t>
      </w:r>
      <w:r>
        <w:rPr>
          <w:i/>
          <w:iCs/>
          <w:rStyle w:val="Normal"/>
        </w:rPr>
        <w:t xml:space="preserve">Missing citations:</w:t>
      </w:r>
      <w:r>
        <w:rPr>
          <w:rStyle w:val="Normal"/>
        </w:rPr>
        <w:t xml:space="preserve"> Certain strong claims lack visible support. For example, the statement that </w:t>
      </w:r>
      <w:r>
        <w:rPr>
          <w:i/>
          <w:iCs/>
          <w:rStyle w:val="Normal"/>
        </w:rPr>
        <w:t xml:space="preserve">license expiration will remove all PIM configurations</w:t>
      </w:r>
      <w:r>
        <w:rPr>
          <w:rStyle w:val="Normal"/>
        </w:rPr>
        <w:t xml:space="preserve"> is significant – if drawn from Microsoft documentation, that source (or a Microsoft support statement) should be cited. Similarly, claims about the “dev” endpoints for APIs, Graph sunset dates, and default policy behavior need references to Microsoft’s announcements, given their time-sensitive nature. (c) </w:t>
      </w:r>
      <w:r>
        <w:rPr>
          <w:i/>
          <w:iCs/>
          <w:rStyle w:val="Normal"/>
        </w:rPr>
        <w:t xml:space="preserve">Table content errors:</w:t>
      </w:r>
      <w:r>
        <w:rPr>
          <w:rStyle w:val="Normal"/>
        </w:rPr>
        <w:t xml:space="preserve"> In a role mapping table, “Teams Administrator” is listed as Tier 1 but then omitted from a summary sentence, which instead lists Exchange, SharePoint, Intune, etc., suggesting an oversight. Also, the concept of a “Privileged Access Workstation </w:t>
      </w:r>
      <w:r>
        <w:rPr>
          <w:b/>
          <w:bCs/>
          <w:rStyle w:val="Normal"/>
        </w:rPr>
        <w:t xml:space="preserve">(PAW)</w:t>
      </w:r>
      <w:r>
        <w:rPr>
          <w:rStyle w:val="Normal"/>
        </w:rPr>
        <w:t xml:space="preserve"> label” is described as if still in preview without context – if this refers to Azure AD’s “Sensitivity labels for Azure RBAC roles” preview, it should be clearly labeled as such and accompanied by a reference or removed if the feature is now GA. </w:t>
      </w:r>
      <w:r>
        <w:rPr>
          <w:b/>
          <w:bCs/>
          <w:rStyle w:val="Normal"/>
        </w:rPr>
        <w:t xml:space="preserve">Book 05:</w:t>
      </w:r>
      <w:r>
        <w:rPr>
          <w:rStyle w:val="Normal"/>
        </w:rPr>
        <w:t xml:space="preserve"> (a) </w:t>
      </w:r>
      <w:r>
        <w:rPr>
          <w:i/>
          <w:iCs/>
          <w:rStyle w:val="Normal"/>
        </w:rPr>
        <w:t xml:space="preserve">Citations missing for large sections:</w:t>
      </w:r>
      <w:r>
        <w:rPr>
          <w:rStyle w:val="Normal"/>
        </w:rPr>
        <w:t xml:space="preserve"> The draft’s main content references footnotes – for many technical claims (Intune settings, Windows security baselines, etc.), but these references weren’t present in the excerpt. It’s critical to restore and verify these citations, as readers must trust the guidance on topics like “Hybrid Azure AD Join vs. Azure AD Join” or the exact Windows Update policies – especially where the text calls certain external sources “wrong” or “outdated”. (b) </w:t>
      </w:r>
      <w:r>
        <w:rPr>
          <w:i/>
          <w:iCs/>
          <w:rStyle w:val="Normal"/>
        </w:rPr>
        <w:t xml:space="preserve">Potential outdated info:</w:t>
      </w:r>
      <w:r>
        <w:rPr>
          <w:rStyle w:val="Normal"/>
        </w:rPr>
        <w:t xml:space="preserve"> Statements about Windows versions and features should be checked against current Microsoft support timelines. For instance, references to </w:t>
      </w:r>
      <w:r>
        <w:rPr>
          <w:b/>
          <w:bCs/>
          <w:rStyle w:val="Normal"/>
        </w:rPr>
        <w:t xml:space="preserve">Windows 10 21H2/22H2</w:t>
      </w:r>
      <w:r>
        <w:rPr>
          <w:rStyle w:val="Normal"/>
        </w:rPr>
        <w:t xml:space="preserve"> as minimum versions for certain features may need updating since those versions are already superseded by Windows 11 in many agencies. (c) </w:t>
      </w:r>
      <w:r>
        <w:rPr>
          <w:i/>
          <w:iCs/>
          <w:rStyle w:val="Normal"/>
        </w:rPr>
        <w:t xml:space="preserve">Intune and servers:</w:t>
      </w:r>
      <w:r>
        <w:rPr>
          <w:rStyle w:val="Normal"/>
        </w:rPr>
        <w:t xml:space="preserve"> The book should correct any lingering implication that </w:t>
      </w:r>
      <w:r>
        <w:rPr>
          <w:b/>
          <w:bCs/>
          <w:rStyle w:val="Normal"/>
        </w:rPr>
        <w:t xml:space="preserve">Intune can fully manage Windows Server OS</w:t>
      </w:r>
      <w:r>
        <w:rPr>
          <w:rStyle w:val="Normal"/>
        </w:rPr>
        <w:t xml:space="preserve">. The draft now notes that servers require Azure Arc and Machine Configuration (since Intune is only for </w:t>
      </w:r>
      <w:r>
        <w:rPr>
          <w:i/>
          <w:iCs/>
          <w:rStyle w:val="Normal"/>
        </w:rPr>
        <w:t xml:space="preserve">clients</w:t>
      </w:r>
      <w:r>
        <w:rPr>
          <w:rStyle w:val="Normal"/>
        </w:rPr>
        <w:t xml:space="preserve">); any contradictory earlier text (if it existed) must be removed to avoid instructing readers to attempt unsupported scenarios. (d) </w:t>
      </w:r>
      <w:r>
        <w:rPr>
          <w:i/>
          <w:iCs/>
          <w:rStyle w:val="Normal"/>
        </w:rPr>
        <w:t xml:space="preserve">NTLM elimination timeline:</w:t>
      </w:r>
      <w:r>
        <w:rPr>
          <w:rStyle w:val="Normal"/>
        </w:rPr>
        <w:t xml:space="preserve"> Book 05 discusses disabling NTLM authentication but should clarify this is a </w:t>
      </w:r>
      <w:r>
        <w:rPr>
          <w:b/>
          <w:bCs/>
          <w:rStyle w:val="Normal"/>
        </w:rPr>
        <w:t xml:space="preserve">program goal</w:t>
      </w:r>
      <w:r>
        <w:rPr>
          <w:rStyle w:val="Normal"/>
        </w:rPr>
        <w:t xml:space="preserve">, not a federal mandate per se. BOD 25-01 (2023) requires agencies to </w:t>
      </w:r>
      <w:r>
        <w:rPr>
          <w:b/>
          <w:bCs/>
          <w:rStyle w:val="Normal"/>
        </w:rPr>
        <w:t xml:space="preserve">mitigate or disable legacy protocols if possible</w:t>
      </w:r>
      <w:r>
        <w:rPr>
          <w:rStyle w:val="Normal"/>
        </w:rPr>
        <w:t xml:space="preserve">, but it doesn’t set a hard deadline to turn off NTLM network-wide. The workbook can recommend phasing out NTLM by 2025–2026 in alignment with Microsoft’s security advisories, but it should not present that as a binding “CISA mandate” absent an authoritative citation. </w:t>
      </w:r>
      <w:r>
        <w:rPr>
          <w:b/>
          <w:bCs/>
          <w:rStyle w:val="Normal"/>
        </w:rPr>
        <w:t xml:space="preserve">Book 06:</w:t>
      </w:r>
      <w:r>
        <w:rPr>
          <w:rStyle w:val="Normal"/>
        </w:rPr>
        <w:t xml:space="preserve"> (a) </w:t>
      </w:r>
      <w:r>
        <w:rPr>
          <w:i/>
          <w:iCs/>
          <w:rStyle w:val="Normal"/>
        </w:rPr>
        <w:t xml:space="preserve">Event log interpretation:</w:t>
      </w:r>
      <w:r>
        <w:rPr>
          <w:rStyle w:val="Normal"/>
        </w:rPr>
        <w:t xml:space="preserve"> The guidance to detect lingering SQL authentication usage via Windows Event 4624 (Logon Type 8 for “cleartext” LDAP binds or Type 3 for network NTLM) could lead to misidentification. It would be safer to recommend specialized tools or scripts (and indeed Microsoft offers an </w:t>
      </w:r>
      <w:r>
        <w:rPr>
          <w:b/>
          <w:bCs/>
          <w:rStyle w:val="Normal"/>
        </w:rPr>
        <w:t xml:space="preserve">NTLM auditing</w:t>
      </w:r>
      <w:r>
        <w:rPr>
          <w:rStyle w:val="Normal"/>
        </w:rPr>
        <w:t xml:space="preserve"> option and Azure AD sign-in logs for hybrid identities) – or at least caution that event logs need careful analysis to filter out false positives. (b) </w:t>
      </w:r>
      <w:r>
        <w:rPr>
          <w:i/>
          <w:iCs/>
          <w:rStyle w:val="Normal"/>
        </w:rPr>
        <w:t xml:space="preserve">Azure AD Conditional Access for SQL:</w:t>
      </w:r>
      <w:r>
        <w:rPr>
          <w:rStyle w:val="Normal"/>
        </w:rPr>
        <w:t xml:space="preserve"> The claim that </w:t>
      </w:r>
      <w:r>
        <w:rPr>
          <w:b/>
          <w:bCs/>
          <w:rStyle w:val="Normal"/>
        </w:rPr>
        <w:t xml:space="preserve">Conditional Access will apply to Azure Arc-enabled SQL Server connections</w:t>
      </w:r>
      <w:r>
        <w:rPr>
          <w:rStyle w:val="Normal"/>
        </w:rPr>
        <w:t xml:space="preserve"> should be verified – as of 2026, CA can enforce </w:t>
      </w:r>
      <w:r>
        <w:rPr>
          <w:i/>
          <w:iCs/>
          <w:rStyle w:val="Normal"/>
        </w:rPr>
        <w:t xml:space="preserve">token issuance conditions</w:t>
      </w:r>
      <w:r>
        <w:rPr>
          <w:rStyle w:val="Normal"/>
        </w:rPr>
        <w:t xml:space="preserve">, but once a token is issued to a server (e.g. using an Arc-managed identity for SQL), CA wouldn’t continuously govern the SQL client’s behavior. If this is the authors’ projection of how Arc might eventually integrate with CA, mark it clearly as such to avoid over-promising. (c) </w:t>
      </w:r>
      <w:r>
        <w:rPr>
          <w:i/>
          <w:iCs/>
          <w:rStyle w:val="Normal"/>
        </w:rPr>
        <w:t xml:space="preserve">Footnote accuracy:</w:t>
      </w:r>
      <w:r>
        <w:rPr>
          <w:rStyle w:val="Normal"/>
        </w:rPr>
        <w:t xml:space="preserve"> As with other books, footnotes need attention. E.g., footnotes – in the references are blank in the draft, and several contain stray HTML (</w:t>
      </w:r>
      <w:r>
        <w:rPr>
          <w:rStyle w:val="Quote"/>
        </w:rPr>
        <w:t xml:space="preserve">&lt;br&gt;</w:t>
      </w:r>
      <w:r>
        <w:rPr>
          <w:rStyle w:val="Normal"/>
        </w:rPr>
        <w:t xml:space="preserve">) or inconsistent URL formats. Every reference to Microsoft Docs (e.g. for “enabling Azure AD auth on SQL 2022” or “Arc server sign-in with Azure AD”) should be complete and point to the correct service (Azure Government vs Commercial documentation) as applicable. </w:t>
      </w:r>
      <w:r>
        <w:rPr>
          <w:b/>
          <w:bCs/>
          <w:rStyle w:val="Normal"/>
        </w:rPr>
        <w:t xml:space="preserve">Book 07:</w:t>
      </w:r>
      <w:r>
        <w:rPr>
          <w:rStyle w:val="Normal"/>
        </w:rPr>
        <w:t xml:space="preserve"> (a) </w:t>
      </w:r>
      <w:r>
        <w:rPr>
          <w:i/>
          <w:iCs/>
          <w:rStyle w:val="Normal"/>
        </w:rPr>
        <w:t xml:space="preserve">CBA requirements:</w:t>
      </w:r>
      <w:r>
        <w:rPr>
          <w:rStyle w:val="Normal"/>
        </w:rPr>
        <w:t xml:space="preserve"> The book asserts that for Azure AD Certificate-Based Authentication </w:t>
      </w:r>
      <w:r>
        <w:rPr>
          <w:i/>
          <w:iCs/>
          <w:rStyle w:val="Normal"/>
        </w:rPr>
        <w:t xml:space="preserve">“Entra ID requires full certificate chain trust and exactly one HTTP URL per CRL; if any CA’s CRL is unreachable, login fails”</w:t>
      </w:r>
      <w:r>
        <w:rPr>
          <w:rStyle w:val="Normal"/>
        </w:rPr>
        <w:t xml:space="preserve">. While fundamentally Azure AD CBA does require accessible CRLs for each cert issuer, the “exactly one URL” nuance should be double-checked with Microsoft’s documentation – if this is an interpretation of how Azure validates certs (perhaps derived from experimentation or support cases), it might belong in a footnote or appendix. (b) </w:t>
      </w:r>
      <w:r>
        <w:rPr>
          <w:i/>
          <w:iCs/>
          <w:rStyle w:val="Normal"/>
        </w:rPr>
        <w:t xml:space="preserve">Android and AIA:</w:t>
      </w:r>
      <w:r>
        <w:rPr>
          <w:rStyle w:val="Normal"/>
        </w:rPr>
        <w:t xml:space="preserve"> The statement “Android doesn’t check AIA (Authority Information Access) for intermediate CA fetching” is a simplified take on a complex issue. Some Android devices do perform AIA chasing, others historically did not – to avoid misleading, perhaps cite a source (like Android documentation) or simply advise ensuring the full cert chain is provided in the certificate during authentication, which is a best practice for all clients. (c) </w:t>
      </w:r>
      <w:r>
        <w:rPr>
          <w:i/>
          <w:iCs/>
          <w:rStyle w:val="Normal"/>
        </w:rPr>
        <w:t xml:space="preserve">Intune’s cloud PKI limitations:</w:t>
      </w:r>
      <w:r>
        <w:rPr>
          <w:rStyle w:val="Normal"/>
        </w:rPr>
        <w:t xml:space="preserve"> The book notes the current Intune </w:t>
      </w:r>
      <w:r>
        <w:rPr>
          <w:b/>
          <w:bCs/>
          <w:rStyle w:val="Normal"/>
        </w:rPr>
        <w:t xml:space="preserve">PKI</w:t>
      </w:r>
      <w:r>
        <w:rPr>
          <w:rStyle w:val="Normal"/>
        </w:rPr>
        <w:t xml:space="preserve"> preview has a fixed 3-tier CA limit and lacks certain capabilities (no user smartcard issuance, etc.). These are based on Microsoft’s documentation circa 2023–2024; they need confirmation at release time, and the text should explicitly mark these as current limitations (since Microsoft’s “Cloud PKI” service could expand). (d) </w:t>
      </w:r>
      <w:r>
        <w:rPr>
          <w:i/>
          <w:iCs/>
          <w:rStyle w:val="Normal"/>
        </w:rPr>
        <w:t xml:space="preserve">Citation issues:</w:t>
      </w:r>
      <w:r>
        <w:rPr>
          <w:rStyle w:val="Normal"/>
        </w:rPr>
        <w:t xml:space="preserve"> Footnotes  and  appear in the text without explanation – likely errors. Many references are duplicated (e.g. multiple citations for the same TechNet articles on certificate templates and Intune SCEP profile docs). Also, some vendor marketing materials (e.g. CyberArk’s acquisition of Idaptive, “Next-Gen Trust Platform” whitepapers) are cited – the authors should ensure these are accompanied by objective context or, if used to justify a statement, that the statement is neutral (to avoid the appearance of endorsing a product). </w:t>
      </w:r>
      <w:r>
        <w:rPr>
          <w:b/>
          <w:bCs/>
          <w:rStyle w:val="Normal"/>
        </w:rPr>
        <w:t xml:space="preserve">Book 08:</w:t>
      </w:r>
      <w:r>
        <w:rPr>
          <w:rStyle w:val="Normal"/>
        </w:rPr>
        <w:t xml:space="preserve"> (a) </w:t>
      </w:r>
      <w:r>
        <w:rPr>
          <w:i/>
          <w:iCs/>
          <w:rStyle w:val="Normal"/>
        </w:rPr>
        <w:t xml:space="preserve">Missing content:</w:t>
      </w:r>
      <w:r>
        <w:rPr>
          <w:rStyle w:val="Normal"/>
        </w:rPr>
        <w:t xml:space="preserve"> The draft we reviewed for Book 08 seemed to be missing substantial content (the “Custom roles” section wasn’t present, just its title and references). Obviously, restoring any omitted text is top priority. (b) </w:t>
      </w:r>
      <w:r>
        <w:rPr>
          <w:i/>
          <w:iCs/>
          <w:rStyle w:val="Normal"/>
        </w:rPr>
        <w:t xml:space="preserve">RFC references vs implementation:</w:t>
      </w:r>
      <w:r>
        <w:rPr>
          <w:rStyle w:val="Normal"/>
        </w:rPr>
        <w:t xml:space="preserve"> The book heavily references DNS RFCs (e.g. RFC 2136 for dynamic updates, RFC 3645 for GSS-TSIG) – that’s excellent for completeness, but ensure that the guidance also reflects how these standards are implemented (e.g., make it clear that </w:t>
      </w:r>
      <w:r>
        <w:rPr>
          <w:b/>
          <w:bCs/>
          <w:rStyle w:val="Normal"/>
        </w:rPr>
        <w:t xml:space="preserve">secure dynamic DNS updates require AD or a similarly managed DNS server, which is why a unified DDI solution is needed</w:t>
      </w:r>
      <w:r>
        <w:rPr>
          <w:rStyle w:val="Normal"/>
        </w:rPr>
        <w:t xml:space="preserve">). (c) </w:t>
      </w:r>
      <w:r>
        <w:rPr>
          <w:i/>
          <w:iCs/>
          <w:rStyle w:val="Normal"/>
        </w:rPr>
        <w:t xml:space="preserve">CISA Protective DNS:</w:t>
      </w:r>
      <w:r>
        <w:rPr>
          <w:rStyle w:val="Normal"/>
        </w:rPr>
        <w:t xml:space="preserve"> If not already cited, consider referencing </w:t>
      </w:r>
      <w:r>
        <w:rPr>
          <w:b/>
          <w:bCs/>
          <w:rStyle w:val="Normal"/>
        </w:rPr>
        <w:t xml:space="preserve">CISA’s “Protective DNS” guidance (2021)</w:t>
      </w:r>
      <w:r>
        <w:rPr>
          <w:rStyle w:val="Normal"/>
        </w:rPr>
        <w:t xml:space="preserve"> or Binding Operational Directive 20-01, which discuss using government-provided DNS services for security – since Book 08’s recommendations (DNS filtering, logging all queries, etc.) align with that. (d) </w:t>
      </w:r>
      <w:r>
        <w:rPr>
          <w:i/>
          <w:iCs/>
          <w:rStyle w:val="Normal"/>
        </w:rPr>
        <w:t xml:space="preserve">Date and source consistency:</w:t>
      </w:r>
      <w:r>
        <w:rPr>
          <w:rStyle w:val="Normal"/>
        </w:rPr>
        <w:t xml:space="preserve"> One footnote in the draft reference list had an October 21, 2026 access date whereas all others were October 20 – a tiny issue, but it suggests some references were updated later; ensure all sources are consistently updated to the same date for final publication. </w:t>
      </w:r>
      <w:r>
        <w:rPr>
          <w:b/>
          <w:bCs/>
          <w:rStyle w:val="Normal"/>
        </w:rPr>
        <w:t xml:space="preserve">Book 09:</w:t>
      </w:r>
      <w:r>
        <w:rPr>
          <w:rStyle w:val="Normal"/>
        </w:rPr>
        <w:t xml:space="preserve"> (a) </w:t>
      </w:r>
      <w:r>
        <w:rPr>
          <w:i/>
          <w:iCs/>
          <w:rStyle w:val="Normal"/>
        </w:rPr>
        <w:t xml:space="preserve">TIC 3.0 and ZTNA:</w:t>
      </w:r>
      <w:r>
        <w:rPr>
          <w:rStyle w:val="Normal"/>
        </w:rPr>
        <w:t xml:space="preserve"> The book’s discussion of TIC 3.0’s </w:t>
      </w:r>
      <w:r>
        <w:rPr>
          <w:b/>
          <w:bCs/>
          <w:rStyle w:val="Normal"/>
        </w:rPr>
        <w:t xml:space="preserve">Policy Enforcement Point (PEP) parity</w:t>
      </w:r>
      <w:r>
        <w:rPr>
          <w:rStyle w:val="Normal"/>
        </w:rPr>
        <w:t xml:space="preserve"> could be misread as an absolute requirement that every internet egress use identical security tools. In reality, TIC 3.0 guidance (particularly in CISA’s </w:t>
      </w:r>
      <w:r>
        <w:rPr>
          <w:b/>
          <w:bCs/>
          <w:rStyle w:val="Normal"/>
        </w:rPr>
        <w:t xml:space="preserve">TIC 3.0 Core Guidance</w:t>
      </w:r>
      <w:r>
        <w:rPr>
          <w:rStyle w:val="Normal"/>
        </w:rPr>
        <w:t xml:space="preserve"> and </w:t>
      </w:r>
      <w:r>
        <w:rPr>
          <w:b/>
          <w:bCs/>
          <w:rStyle w:val="Normal"/>
        </w:rPr>
        <w:t xml:space="preserve">Federal Profile</w:t>
      </w:r>
      <w:r>
        <w:rPr>
          <w:rStyle w:val="Normal"/>
        </w:rPr>
        <w:t xml:space="preserve">) emphasizes comparable outcomes, but agencies have flexibility in how they achieve them. The authors should cite the exact TIC 3.0 language and perhaps reference CISA’s </w:t>
      </w:r>
      <w:r>
        <w:rPr>
          <w:b/>
          <w:bCs/>
          <w:rStyle w:val="Normal"/>
        </w:rPr>
        <w:t xml:space="preserve">Zero Trust Maturity Model</w:t>
      </w:r>
      <w:r>
        <w:rPr>
          <w:rStyle w:val="Normal"/>
        </w:rPr>
        <w:t xml:space="preserve"> where it aligns with these networking changes, to ensure the claims are well-supported. (b) </w:t>
      </w:r>
      <w:r>
        <w:rPr>
          <w:i/>
          <w:iCs/>
          <w:rStyle w:val="Normal"/>
        </w:rPr>
        <w:t xml:space="preserve">BOD and EO references:</w:t>
      </w:r>
      <w:r>
        <w:rPr>
          <w:rStyle w:val="Normal"/>
        </w:rPr>
        <w:t xml:space="preserve"> If the text mentions pending directives like </w:t>
      </w:r>
      <w:r>
        <w:rPr>
          <w:b/>
          <w:bCs/>
          <w:rStyle w:val="Normal"/>
        </w:rPr>
        <w:t xml:space="preserve">BOD 26-02 (IPv6)</w:t>
      </w:r>
      <w:r>
        <w:rPr>
          <w:rStyle w:val="Normal"/>
        </w:rPr>
        <w:t xml:space="preserve"> or Executive Orders on encryption, those need updating with final publication details (BOD 26-02 was still draft as of mid-2026, for example). (c) </w:t>
      </w:r>
      <w:r>
        <w:rPr>
          <w:i/>
          <w:iCs/>
          <w:rStyle w:val="Normal"/>
        </w:rPr>
        <w:t xml:space="preserve">Feature updates:</w:t>
      </w:r>
      <w:r>
        <w:rPr>
          <w:rStyle w:val="Normal"/>
        </w:rPr>
        <w:t xml:space="preserve"> The book should verify the status of relevant capabilities like </w:t>
      </w:r>
      <w:r>
        <w:rPr>
          <w:b/>
          <w:bCs/>
          <w:rStyle w:val="Normal"/>
        </w:rPr>
        <w:t xml:space="preserve">Microsoft’s Global Secure Access (GSA)</w:t>
      </w:r>
      <w:r>
        <w:rPr>
          <w:rStyle w:val="Normal"/>
        </w:rPr>
        <w:t xml:space="preserve"> and </w:t>
      </w:r>
      <w:r>
        <w:rPr>
          <w:b/>
          <w:bCs/>
          <w:rStyle w:val="Normal"/>
        </w:rPr>
        <w:t xml:space="preserve">Edge for Offices (M365 network optimization)</w:t>
      </w:r>
      <w:r>
        <w:rPr>
          <w:rStyle w:val="Normal"/>
        </w:rPr>
        <w:t xml:space="preserve"> in government clouds. The draft correctly states that features like the M365 Network Performance Toolkit (Office 365 “informed network routing”/network connectivity analytics) and Adoption Score are </w:t>
      </w:r>
      <w:r>
        <w:rPr>
          <w:i/>
          <w:iCs/>
          <w:rStyle w:val="Normal"/>
        </w:rPr>
        <w:t xml:space="preserve">not available</w:t>
      </w:r>
      <w:r>
        <w:rPr>
          <w:rStyle w:val="Normal"/>
        </w:rPr>
        <w:t xml:space="preserve"> in GCC/GCC High, which is an important point. Continue to update these as Microsoft (or other vendors) release government versions of such services. (d) </w:t>
      </w:r>
      <w:r>
        <w:rPr>
          <w:i/>
          <w:iCs/>
          <w:rStyle w:val="Normal"/>
        </w:rPr>
        <w:t xml:space="preserve">Formatting and completeness:</w:t>
      </w:r>
      <w:r>
        <w:rPr>
          <w:rStyle w:val="Normal"/>
        </w:rPr>
        <w:t xml:space="preserve"> The draft had raw HTML and incomplete content in places (e.g., an unfinished “catalog of controls” with placeholders). Finalizing these sections, possibly with input from actual TIC 3.0 or security architecture SMEs, is needed. </w:t>
      </w:r>
      <w:r>
        <w:rPr>
          <w:b/>
          <w:bCs/>
          <w:rStyle w:val="Normal"/>
        </w:rPr>
        <w:t xml:space="preserve">Book 10:</w:t>
      </w:r>
      <w:r>
        <w:rPr>
          <w:rStyle w:val="Normal"/>
        </w:rPr>
        <w:t xml:space="preserve"> (a) </w:t>
      </w:r>
      <w:r>
        <w:rPr>
          <w:i/>
          <w:iCs/>
          <w:rStyle w:val="Normal"/>
        </w:rPr>
        <w:t xml:space="preserve">FedRAMP/ATO specifics:</w:t>
      </w:r>
      <w:r>
        <w:rPr>
          <w:rStyle w:val="Normal"/>
        </w:rPr>
        <w:t xml:space="preserve"> This book should correct any implication that FedRAMP’s dates or requirements automatically transfer to agency systems. For example, it references the FedRAMP Marketplace data (781 listings, etc.) with an analysis that </w:t>
      </w:r>
      <w:r>
        <w:rPr>
          <w:i/>
          <w:iCs/>
          <w:rStyle w:val="Normal"/>
        </w:rPr>
        <w:t xml:space="preserve">no Microsoft 365 government cloud is Rev. 5 authorized as of Oct 2026</w:t>
      </w:r>
      <w:r>
        <w:rPr>
          <w:rStyle w:val="Normal"/>
        </w:rPr>
        <w:t xml:space="preserve">. That is true (GCC Moderate was still on Rev. 4, GCC-High in progress), but the significance for agencies is nuanced – agencies can still use those services with their own ATOs while the providers complete their updates. This is a compliance nuance that should be detailed to prevent misinterpretation. (b) </w:t>
      </w:r>
      <w:r>
        <w:rPr>
          <w:i/>
          <w:iCs/>
          <w:rStyle w:val="Normal"/>
        </w:rPr>
        <w:t xml:space="preserve">Citation gaps:</w:t>
      </w:r>
      <w:r>
        <w:rPr>
          <w:rStyle w:val="Normal"/>
        </w:rPr>
        <w:t xml:space="preserve"> The latter half of Book 10 has dozens of unsupported claims due to missing references (footnotes appear to stop at  while claims up to  are made). For instance, statements about the number of FedRAMP Marketplace listings, or rules around configuration management (e.g. referencing NIST SP 800-37 or SP 800-53 control CM-6) must each have appropriate citations. Every “factoid” in the boundary discussion – whether from FedRAMP, NIST, OMB, or the FedRAMP Marketplace JSON data – needs a footnote so readers can verify it. (c) </w:t>
      </w:r>
      <w:r>
        <w:rPr>
          <w:i/>
          <w:iCs/>
          <w:rStyle w:val="Normal"/>
        </w:rPr>
        <w:t xml:space="preserve">Terminology and definitions:</w:t>
      </w:r>
      <w:r>
        <w:rPr>
          <w:rStyle w:val="Normal"/>
        </w:rPr>
        <w:t xml:space="preserve"> The book uses terms like “Class C” and “Class D” for FedRAMP, which correspond to </w:t>
      </w:r>
      <w:r>
        <w:rPr>
          <w:b/>
          <w:bCs/>
          <w:rStyle w:val="Normal"/>
        </w:rPr>
        <w:t xml:space="preserve">FedRAMP Moderate and High impact levels</w:t>
      </w:r>
      <w:r>
        <w:rPr>
          <w:rStyle w:val="Normal"/>
        </w:rPr>
        <w:t xml:space="preserve">. It would be safer to use the impact level terminology and explain that these “Classes” are an older shorthand (if at all – FedRAMP now usually refers to “Moderate” or “High” baselines). Additionally, the concept of “Minimum Acceptable Risk Cyber Requirements (MARC)” or other new policies (if mentioned) should be cross-checked with their final versions (e.g. if referencing a draft OMB policy, update to the final memo when available). </w:t>
      </w:r>
      <w:hyperlink w:history="1" r:id="rIdp94qj0wbijpamvqskugjk">
        <w:r>
          <w:rPr>
            <w:rStyle w:val="Hyperlink"/>
          </w:rPr>
          <w:t xml:space="preserve">[b06-data-p...orm-bundle | Word]</w:t>
        </w:r>
      </w:hyperlink>
      <w:r>
        <w:rPr>
          <w:rStyle w:val="Normal"/>
        </w:rPr>
        <w:t xml:space="preserve">, </w:t>
      </w:r>
      <w:hyperlink w:history="1" r:id="rIdehdctvbr1bnti5wjbdgqw">
        <w:r>
          <w:rPr>
            <w:rStyle w:val="Hyperlink"/>
          </w:rPr>
          <w:t xml:space="preserve">[b06-data-p...orm-bundle | Word]</w:t>
        </w:r>
      </w:hyperlink>
      <w:r>
        <w:rPr>
          <w:rStyle w:val="Normal"/>
        </w:rPr>
        <w:t xml:space="preserve"> </w:t>
      </w:r>
      <w:hyperlink w:history="1" r:id="rIdhqwwe4q8yapkbvrggrnl4">
        <w:r>
          <w:rPr>
            <w:rStyle w:val="Hyperlink"/>
          </w:rPr>
          <w:t xml:space="preserve">[b06-data-p...orm-bundle | Word]</w:t>
        </w:r>
      </w:hyperlink>
      <w:r>
        <w:rPr>
          <w:rStyle w:val="Normal"/>
        </w:rPr>
        <w:t xml:space="preserve"> </w:t>
      </w:r>
      <w:hyperlink w:history="1" r:id="rIduzcck1hqwzy7b_gugbzzk">
        <w:r>
          <w:rPr>
            <w:rStyle w:val="Hyperlink"/>
          </w:rPr>
          <w:t xml:space="preserve">[b06-data-p...orm-bundle | Word]</w:t>
        </w:r>
      </w:hyperlink>
      <w:r>
        <w:rPr>
          <w:rStyle w:val="Normal"/>
        </w:rPr>
        <w:t xml:space="preserve"> </w:t>
      </w:r>
      <w:hyperlink w:history="1" r:id="rIdrg1zp_izvm6_tda3bdiww">
        <w:r>
          <w:rPr>
            <w:rStyle w:val="Hyperlink"/>
          </w:rPr>
          <w:t xml:space="preserve">[ | Word]</w:t>
        </w:r>
      </w:hyperlink>
      <w:r>
        <w:rPr>
          <w:rStyle w:val="Normal"/>
        </w:rPr>
        <w:t xml:space="preserve"> </w:t>
      </w:r>
      <w:hyperlink w:history="1" r:id="rIdkmfko4zl2si3bondyoqsp">
        <w:r>
          <w:rPr>
            <w:rStyle w:val="Hyperlink"/>
          </w:rPr>
          <w:t xml:space="preserve">[ | Word]</w:t>
        </w:r>
      </w:hyperlink>
      <w:r>
        <w:rPr>
          <w:rStyle w:val="Normal"/>
        </w:rPr>
        <w:t xml:space="preserve"> </w:t>
      </w:r>
      <w:hyperlink w:history="1" r:id="rIdzgvl8hj0o_zwkhbljbjja">
        <w:r>
          <w:rPr>
            <w:rStyle w:val="Hyperlink"/>
          </w:rPr>
          <w:t xml:space="preserve">[b05-devices-bundle | Word]</w:t>
        </w:r>
      </w:hyperlink>
      <w:r>
        <w:rPr>
          <w:rStyle w:val="Normal"/>
        </w:rPr>
        <w:t xml:space="preserve"> </w:t>
      </w:r>
      <w:hyperlink w:history="1" r:id="rIdqukoogvdw70uleyomx7bj">
        <w:r>
          <w:rPr>
            <w:rStyle w:val="Hyperlink"/>
          </w:rPr>
          <w:t xml:space="preserve">[ | Word]</w:t>
        </w:r>
      </w:hyperlink>
      <w:r>
        <w:rPr>
          <w:rStyle w:val="Normal"/>
        </w:rPr>
        <w:t xml:space="preserve"> </w:t>
      </w:r>
      <w:hyperlink w:history="1" r:id="rIdcpuj-bpama-jjxto3n-fa">
        <w:r>
          <w:rPr>
            <w:rStyle w:val="Hyperlink"/>
          </w:rPr>
          <w:t xml:space="preserve">[ | Word]</w:t>
        </w:r>
      </w:hyperlink>
      <w:r>
        <w:rPr>
          <w:rStyle w:val="Normal"/>
        </w:rPr>
        <w:t xml:space="preserve"> </w:t>
      </w:r>
      <w:hyperlink w:history="1" r:id="rIdxrycmoctokyx2pksbfkkr">
        <w:r>
          <w:rPr>
            <w:rStyle w:val="Hyperlink"/>
          </w:rPr>
          <w:t xml:space="preserve">[ | Word]</w:t>
        </w:r>
      </w:hyperlink>
      <w:r>
        <w:rPr>
          <w:rStyle w:val="Normal"/>
        </w:rPr>
        <w:t xml:space="preserve">, </w:t>
      </w:r>
      <w:hyperlink w:history="1" r:id="rIdxe-qqkrk7rm6fuada47uj">
        <w:r>
          <w:rPr>
            <w:rStyle w:val="Hyperlink"/>
          </w:rPr>
          <w:t xml:space="preserve">[ | Word]</w:t>
        </w:r>
      </w:hyperlink>
      <w:r>
        <w:rPr>
          <w:rStyle w:val="Normal"/>
        </w:rPr>
        <w:t xml:space="preserve"> </w:t>
      </w:r>
      <w:hyperlink w:history="1" r:id="rIdv-g5ku-an0fv-3cijsley">
        <w:r>
          <w:rPr>
            <w:rStyle w:val="Hyperlink"/>
          </w:rPr>
          <w:t xml:space="preserve">[ | Word]</w:t>
        </w:r>
      </w:hyperlink>
      <w:r>
        <w:rPr>
          <w:rStyle w:val="Normal"/>
        </w:rPr>
        <w:t xml:space="preserve"> </w:t>
      </w:r>
      <w:hyperlink w:history="1" r:id="rIdsjvbiywccdn-8sqflo0k8">
        <w:r>
          <w:rPr>
            <w:rStyle w:val="Hyperlink"/>
          </w:rPr>
          <w:t xml:space="preserve">[b08-ddi-bundle | Word]</w:t>
        </w:r>
      </w:hyperlink>
      <w:r>
        <w:rPr>
          <w:rStyle w:val="Normal"/>
        </w:rPr>
        <w:t xml:space="preserve">, </w:t>
      </w:r>
      <w:hyperlink w:history="1" r:id="rIdylu5rqx3abgzpbacftg6s">
        <w:r>
          <w:rPr>
            <w:rStyle w:val="Hyperlink"/>
          </w:rPr>
          <w:t xml:space="preserve">[b08-ddi-bundle | Word]</w:t>
        </w:r>
      </w:hyperlink>
      <w:r>
        <w:rPr>
          <w:rStyle w:val="Normal"/>
        </w:rPr>
        <w:t xml:space="preserve"> </w:t>
      </w:r>
      <w:hyperlink w:history="1" r:id="rIdrq1vsyx3axa8qyown6pcl">
        <w:r>
          <w:rPr>
            <w:rStyle w:val="Hyperlink"/>
          </w:rPr>
          <w:t xml:space="preserve">[b08-ddi-bundle | Word]</w:t>
        </w:r>
      </w:hyperlink>
      <w:r>
        <w:rPr>
          <w:rStyle w:val="Normal"/>
        </w:rPr>
        <w:t xml:space="preserve"> </w:t>
      </w:r>
      <w:hyperlink w:history="1" r:id="rIdbvp2rrk2u5nyivfoypsn8">
        <w:r>
          <w:rPr>
            <w:rStyle w:val="Hyperlink"/>
          </w:rPr>
          <w:t xml:space="preserve">[ | Word]</w:t>
        </w:r>
      </w:hyperlink>
      <w:r>
        <w:rPr>
          <w:rStyle w:val="Normal"/>
        </w:rPr>
        <w:t xml:space="preserve">, </w:t>
      </w:r>
      <w:hyperlink w:history="1" r:id="rIdiis4uwqwvu4qybc1a_ynj">
        <w:r>
          <w:rPr>
            <w:rStyle w:val="Hyperlink"/>
          </w:rPr>
          <w:t xml:space="preserve">[ | Word]</w:t>
        </w:r>
      </w:hyperlink>
      <w:r>
        <w:rPr>
          <w:rStyle w:val="Normal"/>
        </w:rPr>
        <w:t xml:space="preserve"> </w:t>
      </w:r>
      <w:hyperlink w:history="1" r:id="rIdbrmlctreimfpxouvn4nek">
        <w:r>
          <w:rPr>
            <w:rStyle w:val="Hyperlink"/>
          </w:rPr>
          <w:t xml:space="preserve">[hr-driven-iam-bundle | Word]</w:t>
        </w:r>
      </w:hyperlink>
      <w:r>
        <w:rPr>
          <w:rStyle w:val="Normal"/>
        </w:rPr>
        <w:t xml:space="preserve">, </w:t>
      </w:r>
      <w:hyperlink w:history="1" r:id="rIdvcoawlqvcxn5g7knlcd0l">
        <w:r>
          <w:rPr>
            <w:rStyle w:val="Hyperlink"/>
          </w:rPr>
          <w:t xml:space="preserve">[hr-driven-iam-bundle | Word]</w:t>
        </w:r>
      </w:hyperlink>
      <w:r>
        <w:rPr>
          <w:rStyle w:val="Normal"/>
        </w:rPr>
        <w:t xml:space="preserve"> </w:t>
      </w:r>
      <w:hyperlink w:history="1" r:id="rIdlvorqctbjvub5103jmb7z">
        <w:r>
          <w:rPr>
            <w:rStyle w:val="Hyperlink"/>
          </w:rPr>
          <w:t xml:space="preserve">[ | Word]</w:t>
        </w:r>
      </w:hyperlink>
    </w:p>
    <w:p>
      <w:r>
        <w:rPr>
          <w:i/>
          <w:iCs/>
          <w:rStyle w:val="Normal"/>
        </w:rPr>
        <w:t xml:space="preserve">(The above list is not exhaustive, but highlights major issues. Each book’s draft should be carefully reviewed for any lingering typos, formatting errors, or ambiguous wording – for example, Book 10’s use of pronouns like “they” in “nothing fails loudly – most federal cloud designs they inherited…” lacks a clear antecedent, which can be fixed for clarity.)</w:t>
      </w:r>
    </w:p>
    <w:p>
      <w:pPr>
        <w:pBdr>
          <w:top w:val="single" w:color="auto" w:sz="12"/>
        </w:pBdr>
        <w:spacing w:after="0"/>
      </w:pPr>
    </w:p>
    <w:p>
      <w:r>
        <w:rPr>
          <w:b/>
          <w:bCs/>
          <w:rStyle w:val="Normal"/>
        </w:rPr>
        <w:t xml:space="preserve">3. ** _</w:t>
      </w:r>
      <w:r>
        <w:rPr>
          <w:rStyle w:val="Normal"/>
        </w:rPr>
        <w:t xml:space="preserve">Prioritized Revision Plan:**_ The following table outlines a </w:t>
      </w:r>
      <w:r>
        <w:rPr>
          <w:b/>
          <w:bCs/>
          <w:rStyle w:val="Normal"/>
        </w:rPr>
        <w:t xml:space="preserve">revision backlog</w:t>
      </w:r>
      <w:r>
        <w:rPr>
          <w:rStyle w:val="Normal"/>
        </w:rPr>
        <w:t xml:space="preserve"> for the entire workbook, focusing on high-impact issues first. Each issue is categorized by risk/impact type and recommended fixes are provided:</w:t>
      </w:r>
    </w:p>
    <w:p>
      <w:r>
        <w:drawing>
          <wp:inline distT="0" distB="0" distL="0" distR="0">
            <wp:extent cx="5734050" cy="2667000"/>
            <wp:effectExtent b="0" l="0" r="0" t="0"/>
            <wp:docPr id="1" name="" descr="Visualization" title="Vis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734050" cy="2667000"/>
                    </a:xfrm>
                    <a:prstGeom prst="rect">
                      <a:avLst/>
                    </a:prstGeom>
                  </pic:spPr>
                </pic:pic>
              </a:graphicData>
            </a:graphic>
          </wp:inline>
        </w:drawing>
      </w:r>
    </w:p>
    <w:tbl>
      <w:tblPr>
        <w:tblStyle w:val="GridTable4-Accent1"/>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3"/>
        <w:gridCol w:w="1803"/>
        <w:gridCol w:w="1803"/>
        <w:gridCol w:w="1803"/>
        <w:gridCol w:w="1803"/>
      </w:tblGrid>
      <w:tr>
        <w:tc>
          <w:tcPr>
            <w:vAlign w:val="center"/>
          </w:tcPr>
          <w:p>
            <w:r>
              <w:rPr>
                <w:b/>
                <w:bCs/>
                <w:rStyle w:val="Normal"/>
              </w:rPr>
              <w:t xml:space="preserve">Issue / Required Revision</w:t>
            </w:r>
          </w:p>
        </w:tc>
        <w:tc>
          <w:tcPr>
            <w:vAlign w:val="center"/>
          </w:tcPr>
          <w:p>
            <w:r>
              <w:rPr>
                <w:b/>
                <w:bCs/>
                <w:rStyle w:val="Normal"/>
              </w:rPr>
              <w:t xml:space="preserve">Risk &amp; Impact</w:t>
            </w:r>
            <w:r>
              <w:rPr>
                <w:rStyle w:val="Normal"/>
              </w:rPr>
              <w:t xml:space="preserve"> (Type)</w:t>
            </w:r>
          </w:p>
        </w:tc>
        <w:tc>
          <w:tcPr>
            <w:vAlign w:val="center"/>
          </w:tcPr>
          <w:p>
            <w:r>
              <w:rPr>
                <w:b/>
                <w:bCs/>
                <w:rStyle w:val="Normal"/>
              </w:rPr>
              <w:t xml:space="preserve">Priority</w:t>
            </w:r>
          </w:p>
        </w:tc>
        <w:tc>
          <w:tcPr>
            <w:vAlign w:val="center"/>
          </w:tcPr>
          <w:p>
            <w:r>
              <w:rPr>
                <w:b/>
                <w:bCs/>
                <w:rStyle w:val="Normal"/>
              </w:rPr>
              <w:t xml:space="preserve">Affected Books</w:t>
            </w:r>
          </w:p>
        </w:tc>
        <w:tc>
          <w:tcPr>
            <w:vAlign w:val="center"/>
          </w:tcPr>
          <w:p>
            <w:r>
              <w:rPr>
                <w:b/>
                <w:bCs/>
                <w:rStyle w:val="Normal"/>
              </w:rPr>
              <w:t xml:space="preserve">Proposed Remediation</w:t>
            </w:r>
          </w:p>
        </w:tc>
      </w:tr>
      <w:tr>
        <w:tc>
          <w:tcPr>
            <w:vAlign w:val="center"/>
          </w:tcPr>
          <w:p>
            <w:r>
              <w:rPr>
                <w:b/>
                <w:bCs/>
                <w:rStyle w:val="Normal"/>
              </w:rPr>
              <w:t xml:space="preserve">Align with official policy language &amp; correct any misinterpretations.</w:t>
            </w:r>
            <w:r>
              <w:rPr>
                <w:rStyle w:val="Normal"/>
              </w:rPr>
              <w:t xml:space="preserve"> E.g., remove or clarify the non-existent “M-22-09 §4” reference and any phrasing that overstates federal mandates (like implying a 2027 AD retirement deadline). Clearly distinguish the Workbook’s recommendations (“prerequisites”) from actual requirements. </w:t>
            </w:r>
            <w:hyperlink w:history="1" r:id="rIdugi9b4763lpnfncsnettq">
              <w:r>
                <w:rPr>
                  <w:rStyle w:val="Hyperlink"/>
                </w:rPr>
                <w:t xml:space="preserve">[b06-data-p...orm-bundle | Word]</w:t>
              </w:r>
            </w:hyperlink>
            <w:r>
              <w:rPr>
                <w:rStyle w:val="Normal"/>
              </w:rPr>
              <w:t xml:space="preserve">, </w:t>
            </w:r>
            <w:hyperlink w:history="1" r:id="rId2bqaifbfnyuiuw4lihzoi">
              <w:r>
                <w:rPr>
                  <w:rStyle w:val="Hyperlink"/>
                </w:rPr>
                <w:t xml:space="preserve">[b06-data-p...orm-bundle | Word]</w:t>
              </w:r>
            </w:hyperlink>
          </w:p>
        </w:tc>
        <w:tc>
          <w:tcPr>
            <w:vAlign w:val="center"/>
          </w:tcPr>
          <w:p>
            <w:r>
              <w:rPr>
                <w:b/>
                <w:bCs/>
                <w:rStyle w:val="Normal"/>
              </w:rPr>
              <w:t xml:space="preserve">High – Compliance Risk:</w:t>
            </w:r>
            <w:r>
              <w:rPr>
                <w:rStyle w:val="Normal"/>
              </w:rPr>
              <w:t xml:space="preserve"> Could mislead agencies about policy obligations, leading to misplaced priorities or audit findings.</w:t>
            </w:r>
          </w:p>
        </w:tc>
        <w:tc>
          <w:tcPr>
            <w:vAlign w:val="center"/>
          </w:tcPr>
          <w:p>
            <w:r>
              <w:rPr>
                <w:rStyle w:val="Normal"/>
              </w:rPr>
              <w:t xml:space="preserve">P1</w:t>
            </w:r>
          </w:p>
        </w:tc>
        <w:tc>
          <w:tcPr>
            <w:vAlign w:val="center"/>
          </w:tcPr>
          <w:p>
            <w:r>
              <w:rPr>
                <w:rStyle w:val="Normal"/>
              </w:rPr>
              <w:t xml:space="preserve">Book 01, Book 10</w:t>
            </w:r>
          </w:p>
        </w:tc>
        <w:tc>
          <w:tcPr>
            <w:vAlign w:val="center"/>
          </w:tcPr>
          <w:p>
            <w:r>
              <w:rPr>
                <w:rStyle w:val="Normal"/>
              </w:rPr>
              <w:t xml:space="preserve">Double-check every reference to OMB memos, NIST, CISA, FedRAMP, etc., against the primary source. Reword to accurately reflect what those sources require. Add footnotes quoting the exact policy text for any “mandated” action (e.g., MFA, logging, IPv6, etc.). Provide a brief intro in Book 01 explaining that the Workbook aligns with policies but is not itself policy – this sets the stage for readers to understand the guidance vs. mandates </w:t>
            </w:r>
            <w:hyperlink w:history="1" r:id="rIdepc1lvgdjiyh1z5qry9bb">
              <w:r>
                <w:rPr>
                  <w:rStyle w:val="Hyperlink"/>
                </w:rPr>
                <w:t xml:space="preserve">[b06-data-p...orm-bundle | Word]</w:t>
              </w:r>
            </w:hyperlink>
            <w:r>
              <w:rPr>
                <w:rStyle w:val="Normal"/>
              </w:rPr>
              <w:t xml:space="preserve">, </w:t>
            </w:r>
            <w:hyperlink w:history="1" r:id="rIdk8pvn3_jsow7kuyzdrj2v">
              <w:r>
                <w:rPr>
                  <w:rStyle w:val="Hyperlink"/>
                </w:rPr>
                <w:t xml:space="preserve">[b06-data-p...orm-bundle | Word]</w:t>
              </w:r>
            </w:hyperlink>
            <w:r>
              <w:rPr>
                <w:rStyle w:val="Normal"/>
              </w:rPr>
              <w:t xml:space="preserve">.</w:t>
            </w:r>
          </w:p>
        </w:tc>
      </w:tr>
      <w:tr>
        <w:tc>
          <w:tcPr>
            <w:vAlign w:val="center"/>
          </w:tcPr>
          <w:p>
            <w:r>
              <w:rPr>
                <w:b/>
                <w:bCs/>
                <w:rStyle w:val="Normal"/>
              </w:rPr>
              <w:t xml:space="preserve">Update or qualify time-sensitive statements and product references.</w:t>
            </w:r>
            <w:r>
              <w:rPr>
                <w:rStyle w:val="Normal"/>
              </w:rPr>
              <w:t xml:space="preserve"> Many technology details (Microsoft feature previews, product roadmaps, future dates like “Nov 2026” or “2027”) will become outdated. For instance, the Cloud Sync transition plan, the status of Intune features for servers, Azure AD API deprecations, or FedRAMP Rev5 transition dates.</w:t>
            </w:r>
          </w:p>
        </w:tc>
        <w:tc>
          <w:tcPr>
            <w:vAlign w:val="center"/>
          </w:tcPr>
          <w:p>
            <w:r>
              <w:rPr>
                <w:b/>
                <w:bCs/>
                <w:rStyle w:val="Normal"/>
              </w:rPr>
              <w:t xml:space="preserve">High – Technical/Adoption Risk:</w:t>
            </w:r>
            <w:r>
              <w:rPr>
                <w:rStyle w:val="Normal"/>
              </w:rPr>
              <w:t xml:space="preserve"> Outdated information can misdirect agency plans or reduce confidence in the Workbook’s currency.</w:t>
            </w:r>
          </w:p>
        </w:tc>
        <w:tc>
          <w:tcPr>
            <w:vAlign w:val="center"/>
          </w:tcPr>
          <w:p>
            <w:r>
              <w:rPr>
                <w:rStyle w:val="Normal"/>
              </w:rPr>
              <w:t xml:space="preserve">P1</w:t>
            </w:r>
          </w:p>
        </w:tc>
        <w:tc>
          <w:tcPr>
            <w:vAlign w:val="center"/>
          </w:tcPr>
          <w:p>
            <w:r>
              <w:rPr>
                <w:rStyle w:val="Normal"/>
              </w:rPr>
              <w:t xml:space="preserve">Multiple (02, 05, 06, 09, 10)</w:t>
            </w:r>
          </w:p>
        </w:tc>
        <w:tc>
          <w:tcPr>
            <w:vAlign w:val="center"/>
          </w:tcPr>
          <w:p>
            <w:r>
              <w:rPr>
                <w:rStyle w:val="Normal"/>
              </w:rPr>
              <w:t xml:space="preserve">Conduct a fresh review of all forward-looking content. Where possible, replace with up-to-date info from official roadmaps (e.g., latest Microsoft announcements on Azure AD Cloud Sync, Intune, GSA/SASE availability in gov clouds, etc.). If exact dates are uncertain, use conditional language (“expected in CY2027” instead of an exact date; or “as of this writing…”) </w:t>
            </w:r>
            <w:hyperlink w:history="1" r:id="rIdj3cnba9qr4bjqlpmiqlm3">
              <w:r>
                <w:rPr>
                  <w:rStyle w:val="Hyperlink"/>
                </w:rPr>
                <w:t xml:space="preserve">[hr-driven-...zed-bundle | Word]</w:t>
              </w:r>
            </w:hyperlink>
            <w:r>
              <w:rPr>
                <w:rStyle w:val="Normal"/>
              </w:rPr>
              <w:t xml:space="preserve">, </w:t>
            </w:r>
            <w:hyperlink w:history="1" r:id="rIdqwmhfuamo7ojtq6ypc9nq">
              <w:r>
                <w:rPr>
                  <w:rStyle w:val="Hyperlink"/>
                </w:rPr>
                <w:t xml:space="preserve">[hr-driven-...zed-bundle | Word]</w:t>
              </w:r>
            </w:hyperlink>
            <w:r>
              <w:rPr>
                <w:rStyle w:val="Normal"/>
              </w:rPr>
              <w:t xml:space="preserve">. For policy deadlines (e.g., FedRAMP or CISA directives), check for updates and cite the final source or remove the date if it’s speculative.</w:t>
            </w:r>
          </w:p>
        </w:tc>
      </w:tr>
      <w:tr>
        <w:tc>
          <w:tcPr>
            <w:vAlign w:val="center"/>
          </w:tcPr>
          <w:p>
            <w:r>
              <w:rPr>
                <w:b/>
                <w:bCs/>
                <w:rStyle w:val="Normal"/>
              </w:rPr>
              <w:t xml:space="preserve">Correct technical inaccuracies &amp; sharpen guidance where needed.</w:t>
            </w:r>
            <w:r>
              <w:rPr>
                <w:rStyle w:val="Normal"/>
              </w:rPr>
              <w:t xml:space="preserve"> For example: ensure </w:t>
            </w:r>
            <w:r>
              <w:rPr>
                <w:b/>
                <w:bCs/>
                <w:rStyle w:val="Normal"/>
              </w:rPr>
              <w:t xml:space="preserve">hybrid join is clearly described as temporary</w:t>
            </w:r>
            <w:r>
              <w:rPr>
                <w:rStyle w:val="Normal"/>
              </w:rPr>
              <w:t xml:space="preserve"> </w:t>
            </w:r>
            <w:hyperlink w:history="1" r:id="rIdrly55k7m4epyeqormjdh8">
              <w:r>
                <w:rPr>
                  <w:rStyle w:val="Hyperlink"/>
                </w:rPr>
                <w:t xml:space="preserve">[b01-transf...arc-bundle | Word]</w:t>
              </w:r>
            </w:hyperlink>
            <w:r>
              <w:rPr>
                <w:rStyle w:val="Normal"/>
              </w:rPr>
              <w:t xml:space="preserve">, </w:t>
            </w:r>
            <w:hyperlink w:history="1" r:id="rId4bwkz6uqkt3koaushono8">
              <w:r>
                <w:rPr>
                  <w:rStyle w:val="Hyperlink"/>
                </w:rPr>
                <w:t xml:space="preserve">[b01-transf...arc-bundle | Word]</w:t>
              </w:r>
            </w:hyperlink>
            <w:r>
              <w:rPr>
                <w:rStyle w:val="Normal"/>
              </w:rPr>
              <w:t xml:space="preserve">; clarify that </w:t>
            </w:r>
            <w:r>
              <w:rPr>
                <w:b/>
                <w:bCs/>
                <w:rStyle w:val="Normal"/>
              </w:rPr>
              <w:t xml:space="preserve">Intune manages only client OS</w:t>
            </w:r>
            <w:r>
              <w:rPr>
                <w:rStyle w:val="Normal"/>
              </w:rPr>
              <w:t xml:space="preserve"> (use Azure Arc for servers) </w:t>
            </w:r>
            <w:hyperlink w:history="1" r:id="rIdaior_xiviw9tx9k8ks9pn">
              <w:r>
                <w:rPr>
                  <w:rStyle w:val="Hyperlink"/>
                </w:rPr>
                <w:t xml:space="preserve">[b05-devices-bundle | Word]</w:t>
              </w:r>
            </w:hyperlink>
            <w:r>
              <w:rPr>
                <w:rStyle w:val="Normal"/>
              </w:rPr>
              <w:t xml:space="preserve">; refine guidance on </w:t>
            </w:r>
            <w:r>
              <w:rPr>
                <w:b/>
                <w:bCs/>
                <w:rStyle w:val="Normal"/>
              </w:rPr>
              <w:t xml:space="preserve">NTLM</w:t>
            </w:r>
            <w:r>
              <w:rPr>
                <w:rStyle w:val="Normal"/>
              </w:rPr>
              <w:t xml:space="preserve"> (emphasize disabling NTLMv1 and auditing NTLMv2, with cautious staging) rather than implying all NTLM “must” be eliminated immediately; distinguish </w:t>
            </w:r>
            <w:r>
              <w:rPr>
                <w:b/>
                <w:bCs/>
                <w:rStyle w:val="Normal"/>
              </w:rPr>
              <w:t xml:space="preserve">ID tokens vs. access tokens</w:t>
            </w:r>
            <w:r>
              <w:rPr>
                <w:rStyle w:val="Normal"/>
              </w:rPr>
              <w:t xml:space="preserve"> in OAuth2/OIDC flows; and verify PIM/CA recommendations (e.g. default settings, license dependencies).</w:t>
            </w:r>
          </w:p>
        </w:tc>
        <w:tc>
          <w:tcPr>
            <w:vAlign w:val="center"/>
          </w:tcPr>
          <w:p>
            <w:r>
              <w:rPr>
                <w:b/>
                <w:bCs/>
                <w:rStyle w:val="Normal"/>
              </w:rPr>
              <w:t xml:space="preserve">High – Technical Risk:</w:t>
            </w:r>
            <w:r>
              <w:rPr>
                <w:rStyle w:val="Normal"/>
              </w:rPr>
              <w:t xml:space="preserve"> Inaccurate or vague instructions can lead to misconfiguration (e.g., prematurely disabling authentication methods, misusing Intune, or misinterpreting token security) with potential security or availability impacts.</w:t>
            </w:r>
          </w:p>
        </w:tc>
        <w:tc>
          <w:tcPr>
            <w:vAlign w:val="center"/>
          </w:tcPr>
          <w:p>
            <w:r>
              <w:rPr>
                <w:rStyle w:val="Normal"/>
              </w:rPr>
              <w:t xml:space="preserve">P1</w:t>
            </w:r>
          </w:p>
        </w:tc>
        <w:tc>
          <w:tcPr>
            <w:vAlign w:val="center"/>
          </w:tcPr>
          <w:p>
            <w:r>
              <w:rPr>
                <w:rStyle w:val="Normal"/>
              </w:rPr>
              <w:t xml:space="preserve">Multiple (01, 02, 04, 05, 06)</w:t>
            </w:r>
          </w:p>
        </w:tc>
        <w:tc>
          <w:tcPr>
            <w:vAlign w:val="center"/>
          </w:tcPr>
          <w:p>
            <w:r>
              <w:rPr>
                <w:rStyle w:val="Normal"/>
              </w:rPr>
              <w:t xml:space="preserve">Perform a systematic technical fact-check: for each major control or tech feature, validate against product documentation. Engage product specialists if possible (e.g., Azure AD or Windows experts) to review critical sections. Update the text to correct mistakes (e.g. regarding NAT’s effect on Kerberos </w:t>
            </w:r>
            <w:hyperlink w:history="1" r:id="rIdqaokelzsff0oykefew_sb">
              <w:r>
                <w:rPr>
                  <w:rStyle w:val="Hyperlink"/>
                </w:rPr>
                <w:t xml:space="preserve">[ | Word]</w:t>
              </w:r>
            </w:hyperlink>
            <w:r>
              <w:rPr>
                <w:rStyle w:val="Normal"/>
              </w:rPr>
              <w:t xml:space="preserve">, or Android certificate behavior). Add </w:t>
            </w:r>
            <w:r>
              <w:rPr>
                <w:b/>
                <w:bCs/>
                <w:rStyle w:val="Normal"/>
              </w:rPr>
              <w:t xml:space="preserve">step-by-step guidance or references</w:t>
            </w:r>
            <w:r>
              <w:rPr>
                <w:rStyle w:val="Normal"/>
              </w:rPr>
              <w:t xml:space="preserve"> for complex tasks (e.g., how to safely phase out NTLM or implement hybrid device join without gaps). Where the Workbook diverges from common practice (e.g., treating Cloud Sync as default over AAD Connect), explain why and highlight any known limitations.</w:t>
            </w:r>
          </w:p>
        </w:tc>
      </w:tr>
      <w:tr>
        <w:tc>
          <w:tcPr>
            <w:vAlign w:val="center"/>
          </w:tcPr>
          <w:p>
            <w:r>
              <w:rPr>
                <w:b/>
                <w:bCs/>
                <w:rStyle w:val="Normal"/>
              </w:rPr>
              <w:t xml:space="preserve">Enhance internal consistency across chapters.</w:t>
            </w:r>
            <w:r>
              <w:rPr>
                <w:rStyle w:val="Normal"/>
              </w:rPr>
              <w:t xml:space="preserve"> Reconcile conflicting statements – e.g., PIM review frequency (monthly vs quarterly) </w:t>
            </w:r>
            <w:hyperlink w:history="1" r:id="rId-ggz6rsgi7_zqkjj_uihf">
              <w:r>
                <w:rPr>
                  <w:rStyle w:val="Hyperlink"/>
                </w:rPr>
                <w:t xml:space="preserve">[ | Word]</w:t>
              </w:r>
            </w:hyperlink>
            <w:r>
              <w:rPr>
                <w:rStyle w:val="Normal"/>
              </w:rPr>
              <w:t xml:space="preserve">, the handling of administrative units (ensure Book 02 and Book 04 give a unified message on using AU-scoped roles), and the use of terms like “source of authority” or “tenant boundary” uniformly.</w:t>
            </w:r>
          </w:p>
        </w:tc>
        <w:tc>
          <w:tcPr>
            <w:vAlign w:val="center"/>
          </w:tcPr>
          <w:p>
            <w:r>
              <w:rPr>
                <w:b/>
                <w:bCs/>
                <w:rStyle w:val="Normal"/>
              </w:rPr>
              <w:t xml:space="preserve">Moderate – Credibility/Clarity:</w:t>
            </w:r>
            <w:r>
              <w:rPr>
                <w:rStyle w:val="Normal"/>
              </w:rPr>
              <w:t xml:space="preserve"> Inconsistencies might confuse readers or erode confidence in the guidance if different parts of the series appear to disagree.</w:t>
            </w:r>
          </w:p>
        </w:tc>
        <w:tc>
          <w:tcPr>
            <w:vAlign w:val="center"/>
          </w:tcPr>
          <w:p>
            <w:r>
              <w:rPr>
                <w:rStyle w:val="Normal"/>
              </w:rPr>
              <w:t xml:space="preserve">P2</w:t>
            </w:r>
          </w:p>
        </w:tc>
        <w:tc>
          <w:tcPr>
            <w:vAlign w:val="center"/>
          </w:tcPr>
          <w:p>
            <w:r>
              <w:rPr>
                <w:rStyle w:val="Normal"/>
              </w:rPr>
              <w:t xml:space="preserve">Multiple</w:t>
            </w:r>
          </w:p>
        </w:tc>
        <w:tc>
          <w:tcPr>
            <w:vAlign w:val="center"/>
          </w:tcPr>
          <w:p>
            <w:r>
              <w:rPr>
                <w:rStyle w:val="Normal"/>
              </w:rPr>
              <w:t xml:space="preserve">Assign an editor or peer reviewer to do a </w:t>
            </w:r>
            <w:r>
              <w:rPr>
                <w:b/>
                <w:bCs/>
                <w:rStyle w:val="Normal"/>
              </w:rPr>
              <w:t xml:space="preserve">cross-book consistency check</w:t>
            </w:r>
            <w:r>
              <w:rPr>
                <w:rStyle w:val="Normal"/>
              </w:rPr>
              <w:t xml:space="preserve">. Create a glossary of key terms (e.g., “source of authority,” “scope boundary,” “privileged tier”) to ensure each book uses them the same way. Where intentional differences exist (e.g., different PIM cadences for different tiers), explicitly call that out in both places to show the rationale.</w:t>
            </w:r>
          </w:p>
        </w:tc>
      </w:tr>
      <w:tr>
        <w:tc>
          <w:tcPr>
            <w:vAlign w:val="center"/>
          </w:tcPr>
          <w:p>
            <w:r>
              <w:rPr>
                <w:b/>
                <w:bCs/>
                <w:rStyle w:val="Normal"/>
              </w:rPr>
              <w:t xml:space="preserve">Fix broken, missing, or duplicated citations and improve citation quality.</w:t>
            </w:r>
            <w:r>
              <w:rPr>
                <w:rStyle w:val="Normal"/>
              </w:rPr>
              <w:t xml:space="preserve"> E.g., complete the footnote lists in Books 02, 03, 04, 05, 10 where draft exports show placeholder or missing entries </w:t>
            </w:r>
            <w:hyperlink w:history="1" r:id="rId-ye3e36jg1h1llul9gaf_">
              <w:r>
                <w:rPr>
                  <w:rStyle w:val="Hyperlink"/>
                </w:rPr>
                <w:t xml:space="preserve">[ | Word]</w:t>
              </w:r>
            </w:hyperlink>
            <w:r>
              <w:rPr>
                <w:rStyle w:val="Normal"/>
              </w:rPr>
              <w:t xml:space="preserve">, </w:t>
            </w:r>
            <w:hyperlink w:history="1" r:id="rIdkidq7znrwgahtm0r7-t4x">
              <w:r>
                <w:rPr>
                  <w:rStyle w:val="Hyperlink"/>
                </w:rPr>
                <w:t xml:space="preserve">[ | Word]</w:t>
              </w:r>
            </w:hyperlink>
            <w:r>
              <w:rPr>
                <w:rStyle w:val="Normal"/>
              </w:rPr>
              <w:t xml:space="preserve">. Remove duplicate footnotes referring to the same source (numerous cases across books) to streamline reading </w:t>
            </w:r>
            <w:hyperlink w:history="1" r:id="rIdup-gtqxwxzxqlfgxvyn1v">
              <w:r>
                <w:rPr>
                  <w:rStyle w:val="Hyperlink"/>
                </w:rPr>
                <w:t xml:space="preserve">[ | Word]</w:t>
              </w:r>
            </w:hyperlink>
            <w:r>
              <w:rPr>
                <w:rStyle w:val="Normal"/>
              </w:rPr>
              <w:t xml:space="preserve">, </w:t>
            </w:r>
            <w:hyperlink w:history="1" r:id="rIdti93qfko9ora0s0k1s_4z">
              <w:r>
                <w:rPr>
                  <w:rStyle w:val="Hyperlink"/>
                </w:rPr>
                <w:t xml:space="preserve">[ | Word]</w:t>
              </w:r>
            </w:hyperlink>
            <w:r>
              <w:rPr>
                <w:rStyle w:val="Normal"/>
              </w:rPr>
              <w:t xml:space="preserve">. Replace any secondary sources with primary sources (for instance, swap tech blog posts or news articles with official vendor docs, standards, or government publications) wherever possible.</w:t>
            </w:r>
          </w:p>
        </w:tc>
        <w:tc>
          <w:tcPr>
            <w:vAlign w:val="center"/>
          </w:tcPr>
          <w:p>
            <w:r>
              <w:rPr>
                <w:b/>
                <w:bCs/>
                <w:rStyle w:val="Normal"/>
              </w:rPr>
              <w:t xml:space="preserve">Moderate – Credibility/Traceability:</w:t>
            </w:r>
            <w:r>
              <w:rPr>
                <w:rStyle w:val="Normal"/>
              </w:rPr>
              <w:t xml:space="preserve"> Good citations lend authority; broken or redundant ones frustrate readers and weaken confidence.</w:t>
            </w:r>
          </w:p>
        </w:tc>
        <w:tc>
          <w:tcPr>
            <w:vAlign w:val="center"/>
          </w:tcPr>
          <w:p>
            <w:r>
              <w:rPr>
                <w:rStyle w:val="Normal"/>
              </w:rPr>
              <w:t xml:space="preserve">P2</w:t>
            </w:r>
          </w:p>
        </w:tc>
        <w:tc>
          <w:tcPr>
            <w:vAlign w:val="center"/>
          </w:tcPr>
          <w:p>
            <w:r>
              <w:rPr>
                <w:rStyle w:val="Normal"/>
              </w:rPr>
              <w:t xml:space="preserve">All books</w:t>
            </w:r>
          </w:p>
        </w:tc>
        <w:tc>
          <w:tcPr>
            <w:vAlign w:val="center"/>
          </w:tcPr>
          <w:p>
            <w:r>
              <w:rPr>
                <w:rStyle w:val="Normal"/>
              </w:rPr>
              <w:t xml:space="preserve">Allocate time for a </w:t>
            </w:r>
            <w:r>
              <w:rPr>
                <w:b/>
                <w:bCs/>
                <w:rStyle w:val="Normal"/>
              </w:rPr>
              <w:t xml:space="preserve">citation review</w:t>
            </w:r>
            <w:r>
              <w:rPr>
                <w:rStyle w:val="Normal"/>
              </w:rPr>
              <w:t xml:space="preserve"> phase. Re-generate the reference sections from the source manuscripts to ensure no footnotes were lost during conversion. For each claim of fact, verify there is a footnote pointing to a primary source (e.g., NIST, OMB, CISA, Microsoft documentation). Consolidate footnotes that cite the same source and use a consistent citation style (e.g., same title and access date for the same link) to avoid confusion. Where a source is a “preview” or draft (e.g. a Microsoft preview feature or a draft NIST publication), mark it as such.</w:t>
            </w:r>
          </w:p>
        </w:tc>
      </w:tr>
      <w:tr>
        <w:tc>
          <w:tcPr>
            <w:vAlign w:val="center"/>
          </w:tcPr>
          <w:p>
            <w:r>
              <w:rPr>
                <w:b/>
                <w:bCs/>
                <w:rStyle w:val="Normal"/>
              </w:rPr>
              <w:t xml:space="preserve">Improve readability and reduce unnecessary verbiage.</w:t>
            </w:r>
            <w:r>
              <w:rPr>
                <w:rStyle w:val="Normal"/>
              </w:rPr>
              <w:t xml:space="preserve"> Address known editing errors (truncated sentences like “nly…” </w:t>
            </w:r>
            <w:hyperlink w:history="1" r:id="rIdmcfqft3arohpziwpcbvsb">
              <w:r>
                <w:rPr>
                  <w:rStyle w:val="Hyperlink"/>
                </w:rPr>
                <w:t xml:space="preserve">[ | Word]</w:t>
              </w:r>
            </w:hyperlink>
            <w:r>
              <w:rPr>
                <w:rStyle w:val="Normal"/>
              </w:rPr>
              <w:t xml:space="preserve">, mis-numbered lists, and stray HTML tags in Books 08–10 </w:t>
            </w:r>
            <w:hyperlink w:history="1" r:id="rIdd4y7at_q6vh9b9msvzhnt">
              <w:r>
                <w:rPr>
                  <w:rStyle w:val="Hyperlink"/>
                </w:rPr>
                <w:t xml:space="preserve">[ | Word]</w:t>
              </w:r>
            </w:hyperlink>
            <w:r>
              <w:rPr>
                <w:rStyle w:val="Normal"/>
              </w:rPr>
              <w:t xml:space="preserve">). Simplify complex tables or long bullet lists by breaking them into multiple figures or summarizing key points. Add definitions for acronyms on first use (e.g., PAW, CAE) and consider a consolidated </w:t>
            </w:r>
            <w:r>
              <w:rPr>
                <w:b/>
                <w:bCs/>
                <w:rStyle w:val="Normal"/>
              </w:rPr>
              <w:t xml:space="preserve">glossary</w:t>
            </w:r>
            <w:r>
              <w:rPr>
                <w:rStyle w:val="Normal"/>
              </w:rPr>
              <w:t xml:space="preserve"> for terms and abbreviations unique to this series.</w:t>
            </w:r>
          </w:p>
        </w:tc>
        <w:tc>
          <w:tcPr>
            <w:vAlign w:val="center"/>
          </w:tcPr>
          <w:p>
            <w:r>
              <w:rPr>
                <w:b/>
                <w:bCs/>
                <w:rStyle w:val="Normal"/>
              </w:rPr>
              <w:t xml:space="preserve">Moderate – Adoption Risk:</w:t>
            </w:r>
            <w:r>
              <w:rPr>
                <w:rStyle w:val="Normal"/>
              </w:rPr>
              <w:t xml:space="preserve"> Lengthy, obtuse text or formatting errors can cause readers (especially busy executives or non-specialists) to gloss over critical guidance.</w:t>
            </w:r>
          </w:p>
        </w:tc>
        <w:tc>
          <w:tcPr>
            <w:vAlign w:val="center"/>
          </w:tcPr>
          <w:p>
            <w:r>
              <w:rPr>
                <w:rStyle w:val="Normal"/>
              </w:rPr>
              <w:t xml:space="preserve">P2</w:t>
            </w:r>
          </w:p>
        </w:tc>
        <w:tc>
          <w:tcPr>
            <w:vAlign w:val="center"/>
          </w:tcPr>
          <w:p>
            <w:r>
              <w:rPr>
                <w:rStyle w:val="Normal"/>
              </w:rPr>
              <w:t xml:space="preserve">All books (esp. 02, 08, 09, 10)</w:t>
            </w:r>
          </w:p>
        </w:tc>
        <w:tc>
          <w:tcPr>
            <w:vAlign w:val="center"/>
          </w:tcPr>
          <w:p>
            <w:r>
              <w:rPr>
                <w:rStyle w:val="Normal"/>
              </w:rPr>
              <w:t xml:space="preserve">Conduct a professional copy-edit of each book. </w:t>
            </w:r>
            <w:r>
              <w:rPr>
                <w:i/>
                <w:iCs/>
                <w:rStyle w:val="Normal"/>
              </w:rPr>
              <w:t xml:space="preserve">Restructure content where needed:</w:t>
            </w:r>
            <w:r>
              <w:rPr>
                <w:rStyle w:val="Normal"/>
              </w:rPr>
              <w:t xml:space="preserve"> e.g., split overly long chapters into sub-sections with clear headings; move some highly technical details to appendices or footnotes to keep main narrative flowing. </w:t>
            </w:r>
            <w:r>
              <w:rPr>
                <w:i/>
                <w:iCs/>
                <w:rStyle w:val="Normal"/>
              </w:rPr>
              <w:t xml:space="preserve">Add visual aids:</w:t>
            </w:r>
            <w:r>
              <w:rPr>
                <w:rStyle w:val="Normal"/>
              </w:rPr>
              <w:t xml:space="preserve"> Wherever possible, use diagrams (for Azure AD vs AD concepts, network flows in TIC 3.0, certificate trust chains, etc.) and tables to present complex information more clearly. For example, a table summarizing each AD dependency (GPO, Kerberos, LDAP, etc.) versus its modern equivalent, drawn from Book 01’s “arc of the rebuild” content </w:t>
            </w:r>
            <w:hyperlink w:history="1" r:id="rId1pb3r0arec4pzr_irybyw">
              <w:r>
                <w:rPr>
                  <w:rStyle w:val="Hyperlink"/>
                </w:rPr>
                <w:t xml:space="preserve">[b06-data-p...orm-bundle | Word]</w:t>
              </w:r>
            </w:hyperlink>
            <w:r>
              <w:rPr>
                <w:rStyle w:val="Normal"/>
              </w:rPr>
              <w:t xml:space="preserve">, </w:t>
            </w:r>
            <w:hyperlink w:history="1" r:id="rIdiurxv--6xotom8bx3mqbp">
              <w:r>
                <w:rPr>
                  <w:rStyle w:val="Hyperlink"/>
                </w:rPr>
                <w:t xml:space="preserve">[b06-data-p...orm-bundle | Word]</w:t>
              </w:r>
            </w:hyperlink>
            <w:r>
              <w:rPr>
                <w:rStyle w:val="Normal"/>
              </w:rPr>
              <w:t xml:space="preserve">, would be an excellent quick-reference. Ensure final documents are generated cleanly so that no raw markup (HTML/LaTeX) is visible.</w:t>
            </w:r>
          </w:p>
        </w:tc>
      </w:tr>
      <w:tr>
        <w:tc>
          <w:tcPr>
            <w:vAlign w:val="center"/>
          </w:tcPr>
          <w:p>
            <w:r>
              <w:rPr>
                <w:b/>
                <w:bCs/>
                <w:rStyle w:val="Normal"/>
              </w:rPr>
              <w:t xml:space="preserve">Validate and test all “example” scripts or code</w:t>
            </w:r>
            <w:r>
              <w:rPr>
                <w:rStyle w:val="Normal"/>
              </w:rPr>
              <w:t xml:space="preserve"> provided in the Workbook. Each PowerShell snippet, Azure policy JSON, sample query, etc., should be tested in a lab environment to verify it works as intended. For instance, in Book 05 and Book 06, sample Log Analytics queries and PowerShell commands are given to detect issues (like GPO drift or SQL logins) – these should be executed in a test scenario to ensure they run without errors, and the text should reflect any required modifications (correct parameter names, necessary modules to import, etc.) </w:t>
            </w:r>
            <w:hyperlink w:history="1" r:id="rIdbn5jyd4zfhwzbmdgqphko">
              <w:r>
                <w:rPr>
                  <w:rStyle w:val="Hyperlink"/>
                </w:rPr>
                <w:t xml:space="preserve">[ | Word]</w:t>
              </w:r>
            </w:hyperlink>
            <w:r>
              <w:rPr>
                <w:rStyle w:val="Normal"/>
              </w:rPr>
              <w:t xml:space="preserve">, </w:t>
            </w:r>
            <w:hyperlink w:history="1" r:id="rIdds6m-yymp-ezyznmxoizr">
              <w:r>
                <w:rPr>
                  <w:rStyle w:val="Hyperlink"/>
                </w:rPr>
                <w:t xml:space="preserve">[ | Word]</w:t>
              </w:r>
            </w:hyperlink>
            <w:r>
              <w:rPr>
                <w:rStyle w:val="Normal"/>
              </w:rPr>
              <w:t xml:space="preserve">.</w:t>
            </w:r>
          </w:p>
        </w:tc>
        <w:tc>
          <w:tcPr>
            <w:vAlign w:val="center"/>
          </w:tcPr>
          <w:p>
            <w:r>
              <w:rPr>
                <w:b/>
                <w:bCs/>
                <w:rStyle w:val="Normal"/>
              </w:rPr>
              <w:t xml:space="preserve">Moderate – Practical Implementation Risk:</w:t>
            </w:r>
            <w:r>
              <w:rPr>
                <w:rStyle w:val="Normal"/>
              </w:rPr>
              <w:t xml:space="preserve"> If sample code is copied but contains errors or typos, it could frustrate teams or lead to incorrect configurations.</w:t>
            </w:r>
          </w:p>
        </w:tc>
        <w:tc>
          <w:tcPr>
            <w:vAlign w:val="center"/>
          </w:tcPr>
          <w:p>
            <w:r>
              <w:rPr>
                <w:rStyle w:val="Normal"/>
              </w:rPr>
              <w:t xml:space="preserve">P2</w:t>
            </w:r>
          </w:p>
        </w:tc>
        <w:tc>
          <w:tcPr>
            <w:vAlign w:val="center"/>
          </w:tcPr>
          <w:p>
            <w:r>
              <w:rPr>
                <w:rStyle w:val="Normal"/>
              </w:rPr>
              <w:t xml:space="preserve">Books 05, 06, 09 (also 02)</w:t>
            </w:r>
          </w:p>
        </w:tc>
        <w:tc>
          <w:tcPr>
            <w:vAlign w:val="center"/>
          </w:tcPr>
          <w:p>
            <w:r>
              <w:rPr>
                <w:rStyle w:val="Normal"/>
              </w:rPr>
              <w:t xml:space="preserve">Set up a test Active Directory and Azure AD environment to run through the code and queries provided. Update the code blocks in the text to fix any errors (the draft already notes some, like replacing obsolete PowerShell commands in Book 02’s discovery scripts </w:t>
            </w:r>
            <w:hyperlink w:history="1" r:id="rIdz5wcvst9kptw2ddd0qfeg">
              <w:r>
                <w:rPr>
                  <w:rStyle w:val="Hyperlink"/>
                </w:rPr>
                <w:t xml:space="preserve">[hr-driven-iam-bundle | Word]</w:t>
              </w:r>
            </w:hyperlink>
            <w:r>
              <w:rPr>
                <w:rStyle w:val="Normal"/>
              </w:rPr>
              <w:t xml:space="preserve">). Where code is only pseudo-code or untested, explicitly label it “for illustration – must be adapted and validated in a lab before production” so readers understand they need to do their own testing.</w:t>
            </w:r>
          </w:p>
        </w:tc>
      </w:tr>
      <w:tr>
        <w:tc>
          <w:tcPr>
            <w:vAlign w:val="center"/>
          </w:tcPr>
          <w:p>
            <w:r>
              <w:rPr>
                <w:b/>
                <w:bCs/>
                <w:rStyle w:val="Normal"/>
              </w:rPr>
              <w:t xml:space="preserve">Address missing content and finalize all sections.</w:t>
            </w:r>
            <w:r>
              <w:rPr>
                <w:rStyle w:val="Normal"/>
              </w:rPr>
              <w:t xml:space="preserve"> For example, ensure Book 08’s “Custom roles” section is included and complete (the draft only showed references, not the narrative) </w:t>
            </w:r>
            <w:hyperlink w:history="1" r:id="rIdter97jvgrjhpx2wyytzdp">
              <w:r>
                <w:rPr>
                  <w:rStyle w:val="Hyperlink"/>
                </w:rPr>
                <w:t xml:space="preserve">[ | Word]</w:t>
              </w:r>
            </w:hyperlink>
            <w:r>
              <w:rPr>
                <w:rStyle w:val="Normal"/>
              </w:rPr>
              <w:t xml:space="preserve">. In Book 09, fill in the placeholders in the TIC 3.0 control mapping tables with actual analysis or remove them if not needed </w:t>
            </w:r>
            <w:hyperlink w:history="1" r:id="rIdw4337m7dtws7r4f4dskuk">
              <w:r>
                <w:rPr>
                  <w:rStyle w:val="Hyperlink"/>
                </w:rPr>
                <w:t xml:space="preserve">[ | Word]</w:t>
              </w:r>
            </w:hyperlink>
            <w:r>
              <w:rPr>
                <w:rStyle w:val="Normal"/>
              </w:rPr>
              <w:t xml:space="preserve">. In Book 10, verify that all sections (like the FedRAMP Marketplace analysis, GRC tool recommendations, etc.) are finished and coherent.</w:t>
            </w:r>
          </w:p>
        </w:tc>
        <w:tc>
          <w:tcPr>
            <w:vAlign w:val="center"/>
          </w:tcPr>
          <w:p>
            <w:r>
              <w:rPr>
                <w:b/>
                <w:bCs/>
                <w:rStyle w:val="Normal"/>
              </w:rPr>
              <w:t xml:space="preserve">Moderate – Comprehensiveness:</w:t>
            </w:r>
            <w:r>
              <w:rPr>
                <w:rStyle w:val="Normal"/>
              </w:rPr>
              <w:t xml:space="preserve"> Omitted sections can leave readers without guidance on promised topics (like how to implement custom DNS admin roles, or how to use the FedRAMP marketplace data).</w:t>
            </w:r>
          </w:p>
        </w:tc>
        <w:tc>
          <w:tcPr>
            <w:vAlign w:val="center"/>
          </w:tcPr>
          <w:p>
            <w:r>
              <w:rPr>
                <w:rStyle w:val="Normal"/>
              </w:rPr>
              <w:t xml:space="preserve">P2</w:t>
            </w:r>
          </w:p>
        </w:tc>
        <w:tc>
          <w:tcPr>
            <w:vAlign w:val="center"/>
          </w:tcPr>
          <w:p>
            <w:r>
              <w:rPr>
                <w:rStyle w:val="Normal"/>
              </w:rPr>
              <w:t xml:space="preserve">Books 08, 09, 10</w:t>
            </w:r>
          </w:p>
        </w:tc>
        <w:tc>
          <w:tcPr>
            <w:vAlign w:val="center"/>
          </w:tcPr>
          <w:p>
            <w:r>
              <w:rPr>
                <w:rStyle w:val="Normal"/>
              </w:rPr>
              <w:t xml:space="preserve">Do a “gap analysis” on each book to ensure no section title is left hanging. If necessary, port content from related drafts (e.g., if Book 08’s custom roles were described in another document). Have a subject-matter expert review the TIC 3.0 and FedRAMP content for completeness – these are areas where federal readers will pay close attention, so every statement should either be substantiated or the gap acknowledged.</w:t>
            </w:r>
          </w:p>
        </w:tc>
      </w:tr>
      <w:tr>
        <w:tc>
          <w:tcPr>
            <w:vAlign w:val="center"/>
          </w:tcPr>
          <w:p>
            <w:r>
              <w:rPr>
                <w:b/>
                <w:bCs/>
                <w:rStyle w:val="Normal"/>
              </w:rPr>
              <w:t xml:space="preserve">Enhance guidance on cross-domain and legacy scenarios.</w:t>
            </w:r>
            <w:r>
              <w:rPr>
                <w:rStyle w:val="Normal"/>
              </w:rPr>
              <w:t xml:space="preserve"> Several books could better acknowledge real-world scenarios that fall outside the ideal of a single-tenant, all-Microsoft ecosystem. For instance, Book 03 might mention how to handle contractor identities if an agency doesn’t have them in HR (e.g., use a separate identity provider federation) </w:t>
            </w:r>
            <w:hyperlink w:history="1" r:id="rId85rbcdzyxuvgaw6cm7kzl">
              <w:r>
                <w:rPr>
                  <w:rStyle w:val="Hyperlink"/>
                </w:rPr>
                <w:t xml:space="preserve">[hr-driven-iam-bundle | Word]</w:t>
              </w:r>
            </w:hyperlink>
            <w:r>
              <w:rPr>
                <w:rStyle w:val="Normal"/>
              </w:rPr>
              <w:t xml:space="preserve">, </w:t>
            </w:r>
            <w:hyperlink w:history="1" r:id="rIdfde4do1ju-u8atfvhhxt9">
              <w:r>
                <w:rPr>
                  <w:rStyle w:val="Hyperlink"/>
                </w:rPr>
                <w:t xml:space="preserve">[hr-driven-iam-bundle | Word]</w:t>
              </w:r>
            </w:hyperlink>
            <w:r>
              <w:rPr>
                <w:rStyle w:val="Normal"/>
              </w:rPr>
              <w:t xml:space="preserve">. Book 08 could address managing DNS in classified or air-gapped networks (perhaps deferring to agency-specific solutions). Book 10 could provide advice on coordinating with cloud providers when features are missing in government regions (e.g., how to get support or timelines from vendors).</w:t>
            </w:r>
          </w:p>
        </w:tc>
        <w:tc>
          <w:tcPr>
            <w:vAlign w:val="center"/>
          </w:tcPr>
          <w:p>
            <w:r>
              <w:rPr>
                <w:b/>
                <w:bCs/>
                <w:rStyle w:val="Normal"/>
              </w:rPr>
              <w:t xml:space="preserve">Low – Adoption Risk:</w:t>
            </w:r>
            <w:r>
              <w:rPr>
                <w:rStyle w:val="Normal"/>
              </w:rPr>
              <w:t xml:space="preserve"> Ignoring edge cases may limit the Workbook’s usefulness for agencies that don’t fit the “common case,” potentially reducing buy-in from technical staff who encounter these scenarios.</w:t>
            </w:r>
          </w:p>
        </w:tc>
        <w:tc>
          <w:tcPr>
            <w:vAlign w:val="center"/>
          </w:tcPr>
          <w:p>
            <w:r>
              <w:rPr>
                <w:rStyle w:val="Normal"/>
              </w:rPr>
              <w:t xml:space="preserve">P3</w:t>
            </w:r>
          </w:p>
        </w:tc>
        <w:tc>
          <w:tcPr>
            <w:vAlign w:val="center"/>
          </w:tcPr>
          <w:p>
            <w:r>
              <w:rPr>
                <w:rStyle w:val="Normal"/>
              </w:rPr>
              <w:t xml:space="preserve">Books 03, 08, 10</w:t>
            </w:r>
          </w:p>
        </w:tc>
        <w:tc>
          <w:tcPr>
            <w:vAlign w:val="center"/>
          </w:tcPr>
          <w:p>
            <w:r>
              <w:rPr>
                <w:rStyle w:val="Normal"/>
              </w:rPr>
              <w:t xml:space="preserve">Add brief </w:t>
            </w:r>
            <w:r>
              <w:rPr>
                <w:b/>
                <w:bCs/>
                <w:rStyle w:val="Normal"/>
              </w:rPr>
              <w:t xml:space="preserve">“What if not?” sidebars</w:t>
            </w:r>
            <w:r>
              <w:rPr>
                <w:rStyle w:val="Normal"/>
              </w:rPr>
              <w:t xml:space="preserve"> or call-out boxes for exceptions: e.g., “Agencies not on Oracle HR 2.0 – what are your options?” (HR book), “Classified Environments – handling DDI without cloud services” (DDI book), “When cloud services lack FedRAMP approval – how to negotiate responsibilities” (Boundary book). Providing even high-level guidance or pointing to external resources (CISA, NIST, DISA guides) will show that the authors recognize these situations, thereby increasing the relevance of the Workbook to a wider range of agencies.</w:t>
            </w:r>
          </w:p>
        </w:tc>
      </w:tr>
      <w:tr>
        <w:tc>
          <w:tcPr>
            <w:vAlign w:val="center"/>
          </w:tcPr>
          <w:p>
            <w:r>
              <w:rPr>
                <w:b/>
                <w:bCs/>
                <w:rStyle w:val="Normal"/>
              </w:rPr>
              <w:t xml:space="preserve">Streamline repetition and ensure a cohesive voice.</w:t>
            </w:r>
            <w:r>
              <w:rPr>
                <w:rStyle w:val="Normal"/>
              </w:rPr>
              <w:t xml:space="preserve"> Across 10 books, some concepts repeat (e.g., the importance of governance, or the need for inventory and evidence). While reinforcement is good, there are instances of near-duplicate text that could be consolidated to reduce length. Also, the tone occasionally shifts from formal to colloquial (e.g., “nobody wants to own it” in Book 02, or rhetorical flourishes like “avoiding that!” with an exclamation </w:t>
            </w:r>
            <w:hyperlink w:history="1" r:id="rId4bekfqtqzh6yf3mxdd8xh">
              <w:r>
                <w:rPr>
                  <w:rStyle w:val="Hyperlink"/>
                </w:rPr>
                <w:t xml:space="preserve">[ | Word]</w:t>
              </w:r>
            </w:hyperlink>
            <w:r>
              <w:rPr>
                <w:rStyle w:val="Normal"/>
              </w:rPr>
              <w:t xml:space="preserve">). A consistent, professional tone should be maintained.</w:t>
            </w:r>
          </w:p>
        </w:tc>
        <w:tc>
          <w:tcPr>
            <w:vAlign w:val="center"/>
          </w:tcPr>
          <w:p>
            <w:r>
              <w:rPr>
                <w:b/>
                <w:bCs/>
                <w:rStyle w:val="Normal"/>
              </w:rPr>
              <w:t xml:space="preserve">Low – Clarity:</w:t>
            </w:r>
            <w:r>
              <w:rPr>
                <w:rStyle w:val="Normal"/>
              </w:rPr>
              <w:t xml:space="preserve"> Excess length and stylistic inconsistencies can dilute the impact of the content, making it harder for readers to extract the most important points.</w:t>
            </w:r>
          </w:p>
        </w:tc>
        <w:tc>
          <w:tcPr>
            <w:vAlign w:val="center"/>
          </w:tcPr>
          <w:p>
            <w:r>
              <w:rPr>
                <w:rStyle w:val="Normal"/>
              </w:rPr>
              <w:t xml:space="preserve">P3</w:t>
            </w:r>
          </w:p>
        </w:tc>
        <w:tc>
          <w:tcPr>
            <w:vAlign w:val="center"/>
          </w:tcPr>
          <w:p>
            <w:r>
              <w:rPr>
                <w:rStyle w:val="Normal"/>
              </w:rPr>
              <w:t xml:space="preserve">All books</w:t>
            </w:r>
          </w:p>
        </w:tc>
        <w:tc>
          <w:tcPr>
            <w:vAlign w:val="center"/>
          </w:tcPr>
          <w:p>
            <w:r>
              <w:rPr>
                <w:rStyle w:val="Normal"/>
              </w:rPr>
              <w:t xml:space="preserve">During final editing, identify sections that can be shortened or combined. For example, if Books 01 and 02 both discuss the concept of Active Directory as a “hidden governance system,” ensure they complement rather than repeat each other (perhaps Book 01 introduces it, Book 02 provides details). Remove any leftover “chatty” asides or first-draft language, focusing on clear, authoritative guidance. Having a single editor or editorial team review all books in sequence can help enforce a uniform style guide (terminology, tone, use of abbreviations, etc.).</w:t>
            </w:r>
          </w:p>
        </w:tc>
      </w:tr>
      <w:tr>
        <w:tc>
          <w:tcPr>
            <w:vAlign w:val="center"/>
          </w:tcPr>
          <w:p>
            <w:r>
              <w:rPr>
                <w:b/>
                <w:bCs/>
                <w:rStyle w:val="Normal"/>
              </w:rPr>
              <w:t xml:space="preserve">Bolster visual presentation and summaries for key takeaways.</w:t>
            </w:r>
            <w:r>
              <w:rPr>
                <w:rStyle w:val="Normal"/>
              </w:rPr>
              <w:t xml:space="preserve"> Several books would benefit from summaries at the end of each chapter and visual diagrams for complex processes (e.g., a flowchart for certificate issuance and revocation in Book 07, an architecture diagram of hybrid DNS resolution in Book 08, or swimlane diagrams for joiner/mover/leaver processes in Book 03). Also, adding a “key points” recap at the start or end of each book (or chapter) would help readers quickly grasp the main messages before diving into details </w:t>
            </w:r>
            <w:hyperlink w:history="1" r:id="rIdvzm2batnwxvvifdn-zhrj">
              <w:r>
                <w:rPr>
                  <w:rStyle w:val="Hyperlink"/>
                </w:rPr>
                <w:t xml:space="preserve">[ | Word]</w:t>
              </w:r>
            </w:hyperlink>
            <w:r>
              <w:rPr>
                <w:rStyle w:val="Normal"/>
              </w:rPr>
              <w:t xml:space="preserve">, </w:t>
            </w:r>
            <w:hyperlink w:history="1" r:id="rIdbkffp4jfmbs5tzgadfexc">
              <w:r>
                <w:rPr>
                  <w:rStyle w:val="Hyperlink"/>
                </w:rPr>
                <w:t xml:space="preserve">[b06-data-p...orm-bundle | Word]</w:t>
              </w:r>
            </w:hyperlink>
            <w:r>
              <w:rPr>
                <w:rStyle w:val="Normal"/>
              </w:rPr>
              <w:t xml:space="preserve">.</w:t>
            </w:r>
          </w:p>
        </w:tc>
        <w:tc>
          <w:tcPr>
            <w:vAlign w:val="center"/>
          </w:tcPr>
          <w:p>
            <w:r>
              <w:rPr>
                <w:b/>
                <w:bCs/>
                <w:rStyle w:val="Normal"/>
              </w:rPr>
              <w:t xml:space="preserve">Low – Communication Effectiveness:</w:t>
            </w:r>
            <w:r>
              <w:rPr>
                <w:rStyle w:val="Normal"/>
              </w:rPr>
              <w:t xml:space="preserve"> Busy readers might miss critical recommendations if they can’t easily identify the highlights; visuals and summaries improve retention and make the material more accessible for briefing others.</w:t>
            </w:r>
          </w:p>
        </w:tc>
        <w:tc>
          <w:tcPr>
            <w:vAlign w:val="center"/>
          </w:tcPr>
          <w:p>
            <w:r>
              <w:rPr>
                <w:rStyle w:val="Normal"/>
              </w:rPr>
              <w:t xml:space="preserve">P3</w:t>
            </w:r>
          </w:p>
        </w:tc>
        <w:tc>
          <w:tcPr>
            <w:vAlign w:val="center"/>
          </w:tcPr>
          <w:p>
            <w:r>
              <w:rPr>
                <w:rStyle w:val="Normal"/>
              </w:rPr>
              <w:t xml:space="preserve">Multiple (01, 03, 07, 08, 09)</w:t>
            </w:r>
          </w:p>
        </w:tc>
        <w:tc>
          <w:tcPr>
            <w:vAlign w:val="center"/>
          </w:tcPr>
          <w:p>
            <w:r>
              <w:rPr>
                <w:b/>
                <w:bCs/>
                <w:rStyle w:val="Normal"/>
              </w:rPr>
              <w:t xml:space="preserve">Action:</w:t>
            </w:r>
            <w:r>
              <w:rPr>
                <w:rStyle w:val="Normal"/>
              </w:rPr>
              <w:t xml:space="preserve"> Engage a technical writer or graphic designer to create diagrams for at least one complex concept per book (e.g., the Zero Trust model showing identity/device/app/data pillars and how the workbook’s pieces fit together, the flow of an HR-driven provisioning event from HR system to Azure AD, the path of a DNS query in a hybrid cloud with Azure DNS Private Resolver vs. Infoblox, etc.). Insert brief “Chapter Summary” sections that list the 3–5 key points or decisions from each chapter. Leverage existing content (like the “argument in brief” in Book 01 </w:t>
            </w:r>
            <w:hyperlink w:history="1" r:id="rIdhqeucqo_pwjksqbtf15a8">
              <w:r>
                <w:rPr>
                  <w:rStyle w:val="Hyperlink"/>
                </w:rPr>
                <w:t xml:space="preserve">[b06-data-p...orm-bundle | Word]</w:t>
              </w:r>
            </w:hyperlink>
            <w:r>
              <w:rPr>
                <w:rStyle w:val="Normal"/>
              </w:rPr>
              <w:t xml:space="preserve">) to craft these summaries.</w:t>
            </w:r>
          </w:p>
        </w:tc>
      </w:tr>
    </w:tbl>
    <w:p>
      <w:r>
        <w:rPr>
          <w:rStyle w:val="Normal"/>
        </w:rPr>
        <w:t xml:space="preserve">Each revision above should be addressed before final publication. </w:t>
      </w:r>
      <w:r>
        <w:rPr>
          <w:b/>
          <w:bCs/>
          <w:rStyle w:val="Normal"/>
        </w:rPr>
        <w:t xml:space="preserve">In particular, the highest priorities</w:t>
      </w:r>
      <w:r>
        <w:rPr>
          <w:rStyle w:val="Normal"/>
        </w:rPr>
        <w:t xml:space="preserve"> are to </w:t>
      </w:r>
      <w:r>
        <w:rPr>
          <w:b/>
          <w:bCs/>
          <w:rStyle w:val="Normal"/>
        </w:rPr>
        <w:t xml:space="preserve">ensure factual and policy accuracy</w:t>
      </w:r>
      <w:r>
        <w:rPr>
          <w:rStyle w:val="Normal"/>
        </w:rPr>
        <w:t xml:space="preserve"> and to </w:t>
      </w:r>
      <w:r>
        <w:rPr>
          <w:b/>
          <w:bCs/>
          <w:rStyle w:val="Normal"/>
        </w:rPr>
        <w:t xml:space="preserve">prevent any misinterpretation of mandates or technical instructions</w:t>
      </w:r>
      <w:r>
        <w:rPr>
          <w:rStyle w:val="Normal"/>
        </w:rPr>
        <w:t xml:space="preserve">. By correcting those and improving the consistency and support for its claims, the Federal Modernization Workbook will significantly enhance its reliability and usefulness for its audience, ultimately increasing reader confidence that following this guidance will lead to a successful and compliant modernization effort. </w:t>
      </w:r>
      <w:hyperlink w:history="1" r:id="rId_sp4fr8j8a19pwrabfv7a">
        <w:r>
          <w:rPr>
            <w:rStyle w:val="Hyperlink"/>
          </w:rPr>
          <w:t xml:space="preserve">[b06-data-p...orm-bundle | Word]</w:t>
        </w:r>
      </w:hyperlink>
      <w:r>
        <w:rPr>
          <w:rStyle w:val="Normal"/>
        </w:rPr>
        <w:t xml:space="preserve">, </w:t>
      </w:r>
      <w:hyperlink w:history="1" r:id="rId0b87shffr7ymsjn1unrwr">
        <w:r>
          <w:rPr>
            <w:rStyle w:val="Hyperlink"/>
          </w:rPr>
          <w:t xml:space="preserve">[b06-data-p...orm-bundle | Word]</w:t>
        </w:r>
      </w:hyperlink>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Shade="BF"/>
    </w:rPr>
  </w:style>
  <w:style w:type="character" w:styleId="Heading5Char" w:customStyle="1">
    <w:name w:val="Heading 5 Char"/>
    <w:basedOn w:val="DefaultParagraphFont"/>
    <w:link w:val="Heading5"/>
    <w:uiPriority w:val="9"/>
    <w:rPr>
      <w:rFonts w:eastAsiaTheme="majorEastAsia" w:cstheme="majorBidi"/>
      <w:color w:val="0F4761" w:themeShade="BF"/>
    </w:rPr>
  </w:style>
  <w:style w:type="character" w:styleId="Heading6Char" w:customStyle="1">
    <w:name w:val="Heading 6 Char"/>
    <w:basedOn w:val="DefaultParagraphFont"/>
    <w:link w:val="Heading6"/>
    <w:uiPriority w:val="9"/>
    <w:rPr>
      <w:rFonts w:eastAsiaTheme="majorEastAsia" w:cstheme="majorBidi"/>
      <w:i/>
      <w:iCs/>
      <w:color w:val="595959" w:themeTint="A6"/>
    </w:rPr>
  </w:style>
  <w:style w:type="character" w:styleId="Heading7Char" w:customStyle="1">
    <w:name w:val="Heading 7 Char"/>
    <w:basedOn w:val="DefaultParagraphFont"/>
    <w:link w:val="Heading7"/>
    <w:uiPriority w:val="9"/>
    <w:rPr>
      <w:rFonts w:eastAsiaTheme="majorEastAsia" w:cstheme="majorBidi"/>
      <w:color w:val="595959" w:themeTint="A6"/>
    </w:rPr>
  </w:style>
  <w:style w:type="character" w:styleId="Heading8Char" w:customStyle="1">
    <w:name w:val="Heading 8 Char"/>
    <w:basedOn w:val="DefaultParagraphFont"/>
    <w:link w:val="Heading8"/>
    <w:uiPriority w:val="9"/>
    <w:rPr>
      <w:rFonts w:eastAsiaTheme="majorEastAsia" w:cstheme="majorBidi"/>
      <w:i/>
      <w:iCs/>
      <w:color w:val="272727" w:themeTint="D8"/>
    </w:rPr>
  </w:style>
  <w:style w:type="character" w:styleId="Heading9Char" w:customStyle="1">
    <w:name w:val="Heading 9 Char"/>
    <w:basedOn w:val="DefaultParagraphFont"/>
    <w:link w:val="Heading9"/>
    <w:uiPriority w:val="9"/>
    <w:rPr>
      <w:rFonts w:eastAsiaTheme="majorEastAsia" w:cstheme="majorBidi"/>
      <w:color w:val="272727"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Tint="A6"/>
      <w:spacing w:val="15"/>
      <w:sz w:val="28"/>
      <w:szCs w:val="28"/>
    </w:rPr>
  </w:style>
  <w:style w:type="character" w:styleId="IntenseEmphasis">
    <w:name w:val="Intense Emphasis"/>
    <w:basedOn w:val="DefaultParagraphFont"/>
    <w:uiPriority w:val="21"/>
    <w:qFormat/>
    <w:rPr>
      <w:i/>
      <w:iCs/>
      <w:color w:val="0F4761" w:themeShade="BF"/>
    </w:rPr>
  </w:style>
  <w:style w:type="character" w:styleId="QuoteChar" w:customStyle="1">
    <w:name w:val="Quote Char"/>
    <w:basedOn w:val="DefaultParagraphFont"/>
    <w:link w:val="Quote"/>
    <w:uiPriority w:val="29"/>
    <w:rPr>
      <w:i/>
      <w:iCs/>
      <w:color w:val="404040" w:themeTint="BF"/>
    </w:rPr>
  </w:style>
  <w:style w:type="paragraph" w:styleId="Quote">
    <w:name w:val="Quote"/>
    <w:basedOn w:val="Normal"/>
    <w:next w:val="Normal"/>
    <w:link w:val="QuoteChar"/>
    <w:uiPriority w:val="29"/>
    <w:qFormat/>
    <w:pPr>
      <w:spacing w:before="160"/>
      <w:jc w:val="center"/>
    </w:pPr>
    <w:rPr>
      <w:i/>
      <w:iCs/>
      <w:color w:val="404040" w:themeTint="BF"/>
    </w:rPr>
  </w:style>
  <w:style w:type="character" w:styleId="IntenseQuoteChar" w:customStyle="1">
    <w:name w:val="Intense Quote Char"/>
    <w:basedOn w:val="DefaultParagraphFont"/>
    <w:link w:val="IntenseQuote"/>
    <w:uiPriority w:val="30"/>
    <w:rPr>
      <w:i/>
      <w:iCs/>
      <w:color w:val="0F4761" w:themeShade="BF"/>
    </w:rPr>
  </w:style>
  <w:style w:type="paragraph" w:styleId="IntenseQuote">
    <w:name w:val="Intense Quote"/>
    <w:basedOn w:val="Normal"/>
    <w:next w:val="Normal"/>
    <w:link w:val="IntenseQuoteChar"/>
    <w:uiPriority w:val="30"/>
    <w:qFormat/>
    <w:pPr>
      <w:pBdr>
        <w:top w:val="single" w:color="0F4761" w:themeShade="BF" w:sz="4" w:space="10"/>
        <w:bottom w:val="single" w:color="0F4761" w:themeShade="BF" w:sz="4" w:space="10"/>
      </w:pBdr>
      <w:spacing w:before="360" w:after="360"/>
      <w:ind w:left="864" w:right="864"/>
      <w:jc w:val="center"/>
    </w:pPr>
    <w:rPr>
      <w:i/>
      <w:iCs/>
      <w:color w:val="0F4761" w:themeShade="BF"/>
    </w:rPr>
  </w:style>
  <w:style w:type="character" w:styleId="IntenseReference">
    <w:name w:val="Intense Reference"/>
    <w:basedOn w:val="DefaultParagraphFont"/>
    <w:uiPriority w:val="32"/>
    <w:qFormat/>
    <w:rPr>
      <w:b/>
      <w:bCs/>
      <w:smallCaps/>
      <w:color w:val="0F476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Tint="99" w:sz="4" w:space="0"/>
        <w:left w:val="single" w:color="9CC2E5" w:themeTint="99" w:sz="4" w:space="0"/>
        <w:bottom w:val="single" w:color="9CC2E5" w:themeTint="99" w:sz="4" w:space="0"/>
        <w:right w:val="single" w:color="9CC2E5" w:themeTint="99" w:sz="4" w:space="0"/>
        <w:insideH w:val="single" w:color="9CC2E5" w:themeTint="99" w:sz="4" w:space="0"/>
        <w:insideV w:val="single" w:color="9CC2E5" w:themeTint="99" w:sz="4" w:space="0"/>
      </w:tblBorders>
      <w:tblCellMar>
        <w:top w:w="0" w:type="dxa"/>
        <w:left w:w="108" w:type="dxa"/>
        <w:bottom w:w="0" w:type="dxa"/>
        <w:right w:w="108" w:type="dxa"/>
      </w:tblCellMar>
    </w:tblPr>
    <w:tblStylePr xmlns:w="http://schemas.openxmlformats.org/wordprocessingml/2006/main" w:type="firstRow">
      <w:rPr>
        <w:b/>
        <w:bCs/>
      </w:rPr>
      <w:tblPr/>
      <w:tcPr>
        <w:tcBorders>
          <w:top w:val="single" w:color="5B9BD5" w:sz="4" w:space="0"/>
          <w:left w:val="single" w:color="5B9BD5" w:sz="4" w:space="0"/>
          <w:bottom w:val="single" w:color="5B9BD5" w:sz="4" w:space="0"/>
          <w:right w:val="single" w:color="5B9BD5"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Code">
    <w:name w:val="Code"/>
    <w:basedOn w:val="Normal"/>
    <w:next w:val="Normal"/>
    <w:link w:val="QuoteChar"/>
    <w:uiPriority w:val="35"/>
    <w:qFormat/>
    <w:pPr>
      <w:spacing w:before="160"/>
      <w:jc w:val="left"/>
      <w:contextualSpacing xmlns:w="http://schemas.openxmlformats.org/wordprocessingml/2006/main"/>
    </w:pPr>
    <w:rPr>
      <w:i/>
      <w:iCs/>
      <w:color w:val="404040" w:themeTint="BF"/>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xndopo8hkb6v6krwp4jw8" Type="http://schemas.openxmlformats.org/officeDocument/2006/relationships/hyperlink" Target="https://socialsecuritygov-my.sharepoint.com/personal/michael_f_stratton_ssa_gov/_layouts/15/Doc.aspx?sourcedoc=%7B81D978AD-6FCD-4A28-956E-BD96C2D66983%7D&amp;file=b01-transformation-arc-bundle.docx&amp;action=default&amp;mobileredirect=true" TargetMode="External"/><Relationship Id="rIdclp15g4ye_kdnch1wlvpx" Type="http://schemas.openxmlformats.org/officeDocument/2006/relationships/hyperlink" Target="https://socialsecuritygov-my.sharepoint.com/personal/michael_f_stratton_ssa_gov/_layouts/15/Doc.aspx?sourcedoc=%7B429A4236-FDB4-44F7-A195-58457214C3CA%7D&amp;file=b06-data-platform-bundle.docx&amp;action=default&amp;mobileredirect=true" TargetMode="External"/><Relationship Id="rId_krs9iwpnc4a2h7llin_e" Type="http://schemas.openxmlformats.org/officeDocument/2006/relationships/hyperlink" Target="https://socialsecuritygov-my.sharepoint.com/personal/michael_f_stratton_ssa_gov/_layouts/15/Doc.aspx?sourcedoc=%7B429A4236-FDB4-44F7-A195-58457214C3CA%7D&amp;file=b06-data-platform-bundle.docx&amp;action=default&amp;mobileredirect=true" TargetMode="External"/><Relationship Id="rIddqrkxdgwhst4zwpa7ml1c" Type="http://schemas.openxmlformats.org/officeDocument/2006/relationships/hyperlink" Target="https://socialsecuritygov-my.sharepoint.com/personal/michael_f_stratton_ssa_gov/_layouts/15/Doc.aspx?sourcedoc=%7B81D978AD-6FCD-4A28-956E-BD96C2D66983%7D&amp;file=b01-transformation-arc-bundle.docx&amp;action=default&amp;mobileredirect=true&amp;DefaultItemOpen=1" TargetMode="External"/><Relationship Id="rIdmeer6172xfcgzr-0ytxvw" Type="http://schemas.openxmlformats.org/officeDocument/2006/relationships/hyperlink" Target="https://socialsecuritygov-my.sharepoint.com/personal/michael_f_stratton_ssa_gov/_layouts/15/Doc.aspx?sourcedoc=%7B81D978AD-6FCD-4A28-956E-BD96C2D66983%7D&amp;file=b01-transformation-arc-bundle.docx&amp;action=default&amp;mobileredirect=true&amp;DefaultItemOpen=1" TargetMode="External"/><Relationship Id="rIdsexwrq2xaiy-mjr088cff" Type="http://schemas.openxmlformats.org/officeDocument/2006/relationships/hyperlink" Target="https://socialsecuritygov-my.sharepoint.com/personal/michael_f_stratton_ssa_gov/_layouts/15/Doc.aspx?sourcedoc=%7B429A4236-FDB4-44F7-A195-58457214C3CA%7D&amp;file=b06-data-platform-bundle.docx&amp;action=default&amp;mobileredirect=true" TargetMode="External"/><Relationship Id="rId1963hpevz0zrwvoktjn1j" Type="http://schemas.openxmlformats.org/officeDocument/2006/relationships/hyperlink" Target="https://socialsecuritygov-my.sharepoint.com/personal/michael_f_stratton_ssa_gov/_layouts/15/Doc.aspx?sourcedoc=%7B429A4236-FDB4-44F7-A195-58457214C3CA%7D&amp;file=b06-data-platform-bundle.docx&amp;action=default&amp;mobileredirect=true&amp;DefaultItemOpen=1" TargetMode="External"/><Relationship Id="rIdunwhycy6ulbfmpkh1fhc4" Type="http://schemas.openxmlformats.org/officeDocument/2006/relationships/hyperlink" Target="https://socialsecuritygov-my.sharepoint.com/personal/michael_f_stratton_ssa_gov/_layouts/15/Doc.aspx?sourcedoc=%7B429A4236-FDB4-44F7-A195-58457214C3CA%7D&amp;file=b06-data-platform-bundle.docx&amp;action=default&amp;mobileredirect=true" TargetMode="External"/><Relationship Id="rIdjy9wivzuvtmg_kfgcuzd6" Type="http://schemas.openxmlformats.org/officeDocument/2006/relationships/hyperlink" Target="https://socialsecuritygov-my.sharepoint.com/personal/michael_f_stratton_ssa_gov/_layouts/15/Doc.aspx?sourcedoc=%7B429A4236-FDB4-44F7-A195-58457214C3CA%7D&amp;file=b06-data-platform-bundle.docx&amp;action=default&amp;mobileredirect=true" TargetMode="External"/><Relationship Id="rIdaozj07rqdhsqqjnjimroa" Type="http://schemas.openxmlformats.org/officeDocument/2006/relationships/hyperlink" Target="https://socialsecuritygov-my.sharepoint.com/personal/michael_f_stratton_ssa_gov/_layouts/15/Doc.aspx?sourcedoc=%7B03452ED4-CC1A-4055-8B6E-A43DF22AC7DF%7D&amp;file=hr-driven-iam-bundle.docx&amp;action=default&amp;mobileredirect=true&amp;DefaultItemOpen=1" TargetMode="External"/><Relationship Id="rIdiwfwv_9punmy4gi6swrzl" Type="http://schemas.openxmlformats.org/officeDocument/2006/relationships/hyperlink" Target="https://socialsecuritygov-my.sharepoint.com/personal/michael_f_stratton_ssa_gov/_layouts/15/Doc.aspx?sourcedoc=%7B03452ED4-CC1A-4055-8B6E-A43DF22AC7DF%7D&amp;file=hr-driven-iam-bundle.docx&amp;action=default&amp;mobileredirect=true&amp;DefaultItemOpen=1" TargetMode="External"/><Relationship Id="rId5woqxkgvbsjso7asiu3lk" Type="http://schemas.openxmlformats.org/officeDocument/2006/relationships/hyperlink" Target="https://socialsecuritygov-my.sharepoint.com/personal/michael_f_stratton_ssa_gov/_layouts/15/Doc.aspx?sourcedoc=%7B03452ED4-CC1A-4055-8B6E-A43DF22AC7DF%7D&amp;file=hr-driven-iam-bundle.docx&amp;action=default&amp;mobileredirect=true&amp;DefaultItemOpen=1" TargetMode="External"/><Relationship Id="rIdmgkkavrnevcxcfeqdgnrp" Type="http://schemas.openxmlformats.org/officeDocument/2006/relationships/hyperlink" Target="https://socialsecuritygov-my.sharepoint.com/personal/michael_f_stratton_ssa_gov/_layouts/15/Doc.aspx?sourcedoc=%7B3F568600-692B-4AF7-99E2-D79C7933A4B1%7D&amp;file=b04-access-bundle.docx&amp;action=default&amp;mobileredirect=true" TargetMode="External"/><Relationship Id="rIdudoq0worymz-asdddzlla" Type="http://schemas.openxmlformats.org/officeDocument/2006/relationships/hyperlink" Target="https://socialsecuritygov-my.sharepoint.com/personal/michael_f_stratton_ssa_gov/_layouts/15/Doc.aspx?sourcedoc=%7B3F568600-692B-4AF7-99E2-D79C7933A4B1%7D&amp;file=b04-access-bundle.docx&amp;action=default&amp;mobileredirect=true" TargetMode="External"/><Relationship Id="rIdewkcsgzkeug7vh79-zryv" Type="http://schemas.openxmlformats.org/officeDocument/2006/relationships/hyperlink" Target="https://socialsecuritygov-my.sharepoint.com/personal/michael_f_stratton_ssa_gov/_layouts/15/Doc.aspx?sourcedoc=%7B3F568600-692B-4AF7-99E2-D79C7933A4B1%7D&amp;file=b04-access-bundle.docx&amp;action=default&amp;mobileredirect=true" TargetMode="External"/><Relationship Id="rIddwuksb9w16kowk1mz6gtx" Type="http://schemas.openxmlformats.org/officeDocument/2006/relationships/hyperlink" Target="https://socialsecuritygov-my.sharepoint.com/personal/michael_f_stratton_ssa_gov/_layouts/15/Doc.aspx?sourcedoc=%7B1116D8FE-D871-486C-9A39-C0BA36835411%7D&amp;file=b09-network-bundle.docx&amp;action=default&amp;mobileredirect=true" TargetMode="External"/><Relationship Id="rIda48o0mmtvm38pgzdj9nfi" Type="http://schemas.openxmlformats.org/officeDocument/2006/relationships/hyperlink" Target="https://socialsecuritygov-my.sharepoint.com/personal/michael_f_stratton_ssa_gov/_layouts/15/Doc.aspx?sourcedoc=%7B1116D8FE-D871-486C-9A39-C0BA36835411%7D&amp;file=b09-network-bundle.docx&amp;action=default&amp;mobileredirect=true" TargetMode="External"/><Relationship Id="rIdh6akiopfnojwza1pqciaz" Type="http://schemas.openxmlformats.org/officeDocument/2006/relationships/hyperlink" Target="https://socialsecuritygov-my.sharepoint.com/personal/michael_f_stratton_ssa_gov/_layouts/15/Doc.aspx?sourcedoc=%7BB3F06115-0666-45CD-8599-5C7E88ABCB7C%7D&amp;file=b05-devices-bundle.docx&amp;action=default&amp;mobileredirect=true" TargetMode="External"/><Relationship Id="rIdu-dn5qombxef1ymecmauf" Type="http://schemas.openxmlformats.org/officeDocument/2006/relationships/hyperlink" Target="https://socialsecuritygov-my.sharepoint.com/personal/michael_f_stratton_ssa_gov/_layouts/15/Doc.aspx?sourcedoc=%7BB3F06115-0666-45CD-8599-5C7E88ABCB7C%7D&amp;file=b05-devices-bundle.docx&amp;action=default&amp;mobileredirect=true" TargetMode="External"/><Relationship Id="rIdkfbp3dw0ildqwb5qcuhkb" Type="http://schemas.openxmlformats.org/officeDocument/2006/relationships/hyperlink" Target="https://socialsecuritygov-my.sharepoint.com/personal/michael_f_stratton_ssa_gov/_layouts/15/Doc.aspx?sourcedoc=%7BB3F06115-0666-45CD-8599-5C7E88ABCB7C%7D&amp;file=b05-devices-bundle.docx&amp;action=default&amp;mobileredirect=true" TargetMode="External"/><Relationship Id="rIds0d2sc6fczczk4namumxb" Type="http://schemas.openxmlformats.org/officeDocument/2006/relationships/hyperlink" Target="https://socialsecuritygov-my.sharepoint.com/personal/michael_f_stratton_ssa_gov/_layouts/15/Doc.aspx?sourcedoc=%7BB3F06115-0666-45CD-8599-5C7E88ABCB7C%7D&amp;file=b05-devices-bundle.docx&amp;action=default&amp;mobileredirect=true" TargetMode="External"/><Relationship Id="rIdjhga_ujglz-ydpq6kqfoy" Type="http://schemas.openxmlformats.org/officeDocument/2006/relationships/hyperlink" Target="https://socialsecuritygov-my.sharepoint.com/personal/michael_f_stratton_ssa_gov/_layouts/15/Doc.aspx?sourcedoc=%7B81D978AD-6FCD-4A28-956E-BD96C2D66983%7D&amp;file=b01-transformation-arc-bundle.docx&amp;action=default&amp;mobileredirect=true&amp;DefaultItemOpen=1" TargetMode="External"/><Relationship Id="rIdtmkyaeriu29vjf4wvrsy8" Type="http://schemas.openxmlformats.org/officeDocument/2006/relationships/hyperlink" Target="https://socialsecuritygov-my.sharepoint.com/personal/michael_f_stratton_ssa_gov/_layouts/15/Doc.aspx?sourcedoc=%7B81D978AD-6FCD-4A28-956E-BD96C2D66983%7D&amp;file=b01-transformation-arc-bundle.docx&amp;action=default&amp;mobileredirect=true&amp;DefaultItemOpen=1" TargetMode="External"/><Relationship Id="rIdggwn5on-gjmoplwueozcp" Type="http://schemas.openxmlformats.org/officeDocument/2006/relationships/hyperlink" Target="https://socialsecuritygov-my.sharepoint.com/personal/michael_f_stratton_ssa_gov/_layouts/15/Doc.aspx?sourcedoc=%7BB3F06115-0666-45CD-8599-5C7E88ABCB7C%7D&amp;file=b05-devices-bundle.docx&amp;action=default&amp;mobileredirect=true" TargetMode="External"/><Relationship Id="rIdzrubcznkiice39qtrpfoo" Type="http://schemas.openxmlformats.org/officeDocument/2006/relationships/hyperlink" Target="https://socialsecuritygov-my.sharepoint.com/personal/michael_f_stratton_ssa_gov/_layouts/15/Doc.aspx?sourcedoc=%7BB3F06115-0666-45CD-8599-5C7E88ABCB7C%7D&amp;file=b05-devices-bundle.docx&amp;action=default&amp;mobileredirect=true" TargetMode="External"/><Relationship Id="rIdjmchkoidkploe-h3jzgmc" Type="http://schemas.openxmlformats.org/officeDocument/2006/relationships/hyperlink" Target="https://socialsecuritygov-my.sharepoint.com/personal/michael_f_stratton_ssa_gov/_layouts/15/Doc.aspx?sourcedoc=%7B429A4236-FDB4-44F7-A195-58457214C3CA%7D&amp;file=b06-data-platform-bundle.docx&amp;action=default&amp;mobileredirect=true" TargetMode="External"/><Relationship Id="rId1yjmca4o9ppugay4v9by4" Type="http://schemas.openxmlformats.org/officeDocument/2006/relationships/hyperlink" Target="https://socialsecuritygov-my.sharepoint.com/personal/michael_f_stratton_ssa_gov/_layouts/15/Doc.aspx?sourcedoc=%7B429A4236-FDB4-44F7-A195-58457214C3CA%7D&amp;file=b06-data-platform-bundle.docx&amp;action=default&amp;mobileredirect=true" TargetMode="External"/><Relationship Id="rIdnu5hpxyntzpyguc3y6fed" Type="http://schemas.openxmlformats.org/officeDocument/2006/relationships/hyperlink" Target="https://socialsecuritygov-my.sharepoint.com/personal/michael_f_stratton_ssa_gov/_layouts/15/Doc.aspx?sourcedoc=%7B429A4236-FDB4-44F7-A195-58457214C3CA%7D&amp;file=b06-data-platform-bundle.docx&amp;action=default&amp;mobileredirect=true" TargetMode="External"/><Relationship Id="rIdq26h4wam77evipqtkhlyd" Type="http://schemas.openxmlformats.org/officeDocument/2006/relationships/hyperlink" Target="https://socialsecuritygov-my.sharepoint.com/personal/michael_f_stratton_ssa_gov/_layouts/15/Doc.aspx?sourcedoc=%7B3F568600-692B-4AF7-99E2-D79C7933A4B1%7D&amp;file=b04-access-bundle.docx&amp;action=default&amp;mobileredirect=true" TargetMode="External"/><Relationship Id="rId_bjvawlunacttrmsuhxoi" Type="http://schemas.openxmlformats.org/officeDocument/2006/relationships/hyperlink" Target="https://socialsecuritygov-my.sharepoint.com/personal/michael_f_stratton_ssa_gov/_layouts/15/Doc.aspx?sourcedoc=%7B3F568600-692B-4AF7-99E2-D79C7933A4B1%7D&amp;file=b04-access-bundle.docx&amp;action=default&amp;mobileredirect=true" TargetMode="External"/><Relationship Id="rIdvojjrhehahzgszida5cer" Type="http://schemas.openxmlformats.org/officeDocument/2006/relationships/hyperlink" Target="https://socialsecuritygov-my.sharepoint.com/personal/michael_f_stratton_ssa_gov/_layouts/15/Doc.aspx?sourcedoc=%7B4C08E8FB-2C12-4BE2-9178-CE2B34CCF94B%7D&amp;file=b07-pki-bundle.docx&amp;action=default&amp;mobileredirect=true&amp;DefaultItemOpen=1" TargetMode="External"/><Relationship Id="rIdz9occ10wnk47qdagtiixe" Type="http://schemas.openxmlformats.org/officeDocument/2006/relationships/hyperlink" Target="https://socialsecuritygov-my.sharepoint.com/personal/michael_f_stratton_ssa_gov/_layouts/15/Doc.aspx?sourcedoc=%7B4C08E8FB-2C12-4BE2-9178-CE2B34CCF94B%7D&amp;file=b07-pki-bundle.docx&amp;action=default&amp;mobileredirect=true&amp;DefaultItemOpen=1" TargetMode="External"/><Relationship Id="rId0wln7z8surmlayzwp9ob0" Type="http://schemas.openxmlformats.org/officeDocument/2006/relationships/hyperlink" Target="https://socialsecuritygov-my.sharepoint.com/personal/michael_f_stratton_ssa_gov/_layouts/15/Doc.aspx?sourcedoc=%7B4C08E8FB-2C12-4BE2-9178-CE2B34CCF94B%7D&amp;file=b07-pki-bundle.docx&amp;action=default&amp;mobileredirect=true" TargetMode="External"/><Relationship Id="rIdo3ln-qjmqhae_rrm9c17o" Type="http://schemas.openxmlformats.org/officeDocument/2006/relationships/hyperlink" Target="https://socialsecuritygov-my.sharepoint.com/personal/michael_f_stratton_ssa_gov/_layouts/15/Doc.aspx?sourcedoc=%7B4C08E8FB-2C12-4BE2-9178-CE2B34CCF94B%7D&amp;file=b07-pki-bundle.docx&amp;action=default&amp;mobileredirect=true" TargetMode="External"/><Relationship Id="rId4mhedxhdxfvlv-mz-ssrn" Type="http://schemas.openxmlformats.org/officeDocument/2006/relationships/hyperlink" Target="https://socialsecuritygov-my.sharepoint.com/personal/michael_f_stratton_ssa_gov/_layouts/15/Doc.aspx?sourcedoc=%7B4C08E8FB-2C12-4BE2-9178-CE2B34CCF94B%7D&amp;file=b07-pki-bundle.docx&amp;action=default&amp;mobileredirect=true" TargetMode="External"/><Relationship Id="rId2keuhpcrdjzp97zqbiua9" Type="http://schemas.openxmlformats.org/officeDocument/2006/relationships/hyperlink" Target="https://socialsecuritygov-my.sharepoint.com/personal/michael_f_stratton_ssa_gov/_layouts/15/Doc.aspx?sourcedoc=%7B90920825-1AE9-4A93-9F3D-7E172FFA39F6%7D&amp;file=b08-ddi-bundle.docx&amp;action=default&amp;mobileredirect=true" TargetMode="External"/><Relationship Id="rId9aejlwhdy-_zcvpdgcmfk" Type="http://schemas.openxmlformats.org/officeDocument/2006/relationships/hyperlink" Target="https://socialsecuritygov-my.sharepoint.com/personal/michael_f_stratton_ssa_gov/_layouts/15/Doc.aspx?sourcedoc=%7B90920825-1AE9-4A93-9F3D-7E172FFA39F6%7D&amp;file=b08-ddi-bundle.docx&amp;action=default&amp;mobileredirect=true" TargetMode="External"/><Relationship Id="rId7donupxphnwklrx0_qsyc" Type="http://schemas.openxmlformats.org/officeDocument/2006/relationships/hyperlink" Target="https://socialsecuritygov-my.sharepoint.com/personal/michael_f_stratton_ssa_gov/_layouts/15/Doc.aspx?sourcedoc=%7B90920825-1AE9-4A93-9F3D-7E172FFA39F6%7D&amp;file=b08-ddi-bundle.docx&amp;action=default&amp;mobileredirect=true" TargetMode="External"/><Relationship Id="rIdlhyxbkccscc7dabzstdw5" Type="http://schemas.openxmlformats.org/officeDocument/2006/relationships/hyperlink" Target="https://socialsecuritygov-my.sharepoint.com/personal/michael_f_stratton_ssa_gov/_layouts/15/Doc.aspx?sourcedoc=%7B90920825-1AE9-4A93-9F3D-7E172FFA39F6%7D&amp;file=b08-ddi-bundle.docx&amp;action=default&amp;mobileredirect=true" TargetMode="External"/><Relationship Id="rIdiz2jmujni9fqwleho4eyp" Type="http://schemas.openxmlformats.org/officeDocument/2006/relationships/hyperlink" Target="https://socialsecuritygov-my.sharepoint.com/personal/michael_f_stratton_ssa_gov/_layouts/15/Doc.aspx?sourcedoc=%7B90920825-1AE9-4A93-9F3D-7E172FFA39F6%7D&amp;file=b08-ddi-bundle.docx&amp;action=default&amp;mobileredirect=true" TargetMode="External"/><Relationship Id="rIdgi76lmtxq8pjmdjcsypgh" Type="http://schemas.openxmlformats.org/officeDocument/2006/relationships/hyperlink" Target="https://socialsecuritygov-my.sharepoint.com/personal/michael_f_stratton_ssa_gov/_layouts/15/Doc.aspx?sourcedoc=%7B90920825-1AE9-4A93-9F3D-7E172FFA39F6%7D&amp;file=b08-ddi-bundle.docx&amp;action=default&amp;mobileredirect=true" TargetMode="External"/><Relationship Id="rIdvut5alcu4dfzhqc2kcbd2" Type="http://schemas.openxmlformats.org/officeDocument/2006/relationships/hyperlink" Target="https://socialsecuritygov-my.sharepoint.com/personal/michael_f_stratton_ssa_gov/_layouts/15/Doc.aspx?sourcedoc=%7B1116D8FE-D871-486C-9A39-C0BA36835411%7D&amp;file=b09-network-bundle.docx&amp;action=default&amp;mobileredirect=true" TargetMode="External"/><Relationship Id="rIdt98o8f8l2_5r_bfv_89xx" Type="http://schemas.openxmlformats.org/officeDocument/2006/relationships/hyperlink" Target="https://socialsecuritygov-my.sharepoint.com/personal/michael_f_stratton_ssa_gov/_layouts/15/Doc.aspx?sourcedoc=%7B1116D8FE-D871-486C-9A39-C0BA36835411%7D&amp;file=b09-network-bundle.docx&amp;action=default&amp;mobileredirect=true" TargetMode="External"/><Relationship Id="rIdywudumgx1gormxbbt3xhv" Type="http://schemas.openxmlformats.org/officeDocument/2006/relationships/hyperlink" Target="https://socialsecuritygov-my.sharepoint.com/personal/michael_f_stratton_ssa_gov/_layouts/15/Doc.aspx?sourcedoc=%7B1116D8FE-D871-486C-9A39-C0BA36835411%7D&amp;file=b09-network-bundle.docx&amp;action=default&amp;mobileredirect=true" TargetMode="External"/><Relationship Id="rIdavs_l-exw4gzukndsozld" Type="http://schemas.openxmlformats.org/officeDocument/2006/relationships/hyperlink" Target="https://socialsecuritygov-my.sharepoint.com/personal/michael_f_stratton_ssa_gov/_layouts/15/Doc.aspx?sourcedoc=%7B3D1F950D-AA24-4C94-B461-8BC6598306F9%7D&amp;file=b10-cloud-boundary-bundle.docx&amp;action=default&amp;mobileredirect=true&amp;DefaultItemOpen=1" TargetMode="External"/><Relationship Id="rIdpu1fqrudeuvgf2xftf6aq" Type="http://schemas.openxmlformats.org/officeDocument/2006/relationships/hyperlink" Target="https://socialsecuritygov-my.sharepoint.com/personal/michael_f_stratton_ssa_gov/_layouts/15/Doc.aspx?sourcedoc=%7B3D1F950D-AA24-4C94-B461-8BC6598306F9%7D&amp;file=b10-cloud-boundary-bundle.docx&amp;action=default&amp;mobileredirect=true&amp;DefaultItemOpen=1" TargetMode="External"/><Relationship Id="rIdz99ccujaelora3fbx7lnl" Type="http://schemas.openxmlformats.org/officeDocument/2006/relationships/hyperlink" Target="https://socialsecuritygov-my.sharepoint.com/personal/michael_f_stratton_ssa_gov/_layouts/15/Doc.aspx?sourcedoc=%7B429A4236-FDB4-44F7-A195-58457214C3CA%7D&amp;file=b06-data-platform-bundle.docx&amp;action=default&amp;mobileredirect=true" TargetMode="External"/><Relationship Id="rIdqd7u_yu_tjgxvq_w_lkih" Type="http://schemas.openxmlformats.org/officeDocument/2006/relationships/hyperlink" Target="https://socialsecuritygov-my.sharepoint.com/personal/michael_f_stratton_ssa_gov/_layouts/15/Doc.aspx?sourcedoc=%7B3D1F950D-AA24-4C94-B461-8BC6598306F9%7D&amp;file=b10-cloud-boundary-bundle.docx&amp;action=default&amp;mobileredirect=true" TargetMode="External"/><Relationship Id="rIdywfk5gcdnvwmhrc5xwyz5" Type="http://schemas.openxmlformats.org/officeDocument/2006/relationships/hyperlink" Target="https://socialsecuritygov-my.sharepoint.com/personal/michael_f_stratton_ssa_gov/_layouts/15/Doc.aspx?sourcedoc=%7B3D1F950D-AA24-4C94-B461-8BC6598306F9%7D&amp;file=b10-cloud-boundary-bundle.docx&amp;action=default&amp;mobileredirect=true" TargetMode="External"/><Relationship Id="rIdergun5n_tvdgyjefoskxv" Type="http://schemas.openxmlformats.org/officeDocument/2006/relationships/hyperlink" Target="https://socialsecuritygov-my.sharepoint.com/personal/michael_f_stratton_ssa_gov/_layouts/15/Doc.aspx?sourcedoc=%7B3D1F950D-AA24-4C94-B461-8BC6598306F9%7D&amp;file=b10-cloud-boundary-bundle.docx&amp;action=default&amp;mobileredirect=true" TargetMode="External"/><Relationship Id="rIdoxx1dxnyuigyv1dd8urjf" Type="http://schemas.openxmlformats.org/officeDocument/2006/relationships/hyperlink" Target="https://socialsecuritygov-my.sharepoint.com/personal/michael_f_stratton_ssa_gov/_layouts/15/Doc.aspx?sourcedoc=%7B3D1F950D-AA24-4C94-B461-8BC6598306F9%7D&amp;file=b10-cloud-boundary-bundle.docx&amp;action=default&amp;mobileredirect=true&amp;DefaultItemOpen=1" TargetMode="External"/><Relationship Id="rIdp94qj0wbijpamvqskugjk" Type="http://schemas.openxmlformats.org/officeDocument/2006/relationships/hyperlink" Target="https://socialsecuritygov-my.sharepoint.com/personal/michael_f_stratton_ssa_gov/_layouts/15/Doc.aspx?sourcedoc=%7B429A4236-FDB4-44F7-A195-58457214C3CA%7D&amp;file=b06-data-platform-bundle.docx&amp;action=default&amp;mobileredirect=true" TargetMode="External"/><Relationship Id="rIdehdctvbr1bnti5wjbdgqw" Type="http://schemas.openxmlformats.org/officeDocument/2006/relationships/hyperlink" Target="https://socialsecuritygov-my.sharepoint.com/personal/michael_f_stratton_ssa_gov/_layouts/15/Doc.aspx?sourcedoc=%7B429A4236-FDB4-44F7-A195-58457214C3CA%7D&amp;file=b06-data-platform-bundle.docx&amp;action=default&amp;mobileredirect=true" TargetMode="External"/><Relationship Id="rIdhqwwe4q8yapkbvrggrnl4" Type="http://schemas.openxmlformats.org/officeDocument/2006/relationships/hyperlink" Target="https://socialsecuritygov-my.sharepoint.com/personal/michael_f_stratton_ssa_gov/_layouts/15/Doc.aspx?sourcedoc=%7B429A4236-FDB4-44F7-A195-58457214C3CA%7D&amp;file=b06-data-platform-bundle.docx&amp;action=default&amp;mobileredirect=true" TargetMode="External"/><Relationship Id="rIduzcck1hqwzy7b_gugbzzk" Type="http://schemas.openxmlformats.org/officeDocument/2006/relationships/hyperlink" Target="https://socialsecuritygov-my.sharepoint.com/personal/michael_f_stratton_ssa_gov/_layouts/15/Doc.aspx?sourcedoc=%7B429A4236-FDB4-44F7-A195-58457214C3CA%7D&amp;file=b06-data-platform-bundle.docx&amp;action=default&amp;mobileredirect=true&amp;DefaultItemOpen=1" TargetMode="External"/><Relationship Id="rIdrg1zp_izvm6_tda3bdiww" Type="http://schemas.openxmlformats.org/officeDocument/2006/relationships/hyperlink" Target="https://socialsecuritygov-my.sharepoint.com/personal/michael_f_stratton_ssa_gov/_layouts/15/Doc.aspx?sourcedoc=%7B3F568600-692B-4AF7-99E2-D79C7933A4B1%7D&amp;file=b04-access-bundle.docx&amp;action=default&amp;mobileredirect=true" TargetMode="External"/><Relationship Id="rIdkmfko4zl2si3bondyoqsp" Type="http://schemas.openxmlformats.org/officeDocument/2006/relationships/hyperlink" Target="https://socialsecuritygov-my.sharepoint.com/personal/michael_f_stratton_ssa_gov/_layouts/15/Doc.aspx?sourcedoc=%7BB3F06115-0666-45CD-8599-5C7E88ABCB7C%7D&amp;file=b05-devices-bundle.docx&amp;action=default&amp;mobileredirect=true" TargetMode="External"/><Relationship Id="rIdzgvl8hj0o_zwkhbljbjja" Type="http://schemas.openxmlformats.org/officeDocument/2006/relationships/hyperlink" Target="https://socialsecuritygov-my.sharepoint.com/personal/michael_f_stratton_ssa_gov/_layouts/15/Doc.aspx?sourcedoc=%7BB3F06115-0666-45CD-8599-5C7E88ABCB7C%7D&amp;file=b05-devices-bundle.docx&amp;action=default&amp;mobileredirect=true" TargetMode="External"/><Relationship Id="rIdqukoogvdw70uleyomx7bj" Type="http://schemas.openxmlformats.org/officeDocument/2006/relationships/hyperlink" Target="https://socialsecuritygov-my.sharepoint.com/personal/michael_f_stratton_ssa_gov/_layouts/15/Doc.aspx?sourcedoc=%7B429A4236-FDB4-44F7-A195-58457214C3CA%7D&amp;file=b06-data-platform-bundle.docx&amp;action=default&amp;mobileredirect=true" TargetMode="External"/><Relationship Id="rIdcpuj-bpama-jjxto3n-fa" Type="http://schemas.openxmlformats.org/officeDocument/2006/relationships/hyperlink" Target="https://socialsecuritygov-my.sharepoint.com/personal/michael_f_stratton_ssa_gov/_layouts/15/Doc.aspx?sourcedoc=%7B4C08E8FB-2C12-4BE2-9178-CE2B34CCF94B%7D&amp;file=b07-pki-bundle.docx&amp;action=default&amp;mobileredirect=true" TargetMode="External"/><Relationship Id="rIdxrycmoctokyx2pksbfkkr" Type="http://schemas.openxmlformats.org/officeDocument/2006/relationships/hyperlink" Target="https://socialsecuritygov-my.sharepoint.com/personal/michael_f_stratton_ssa_gov/_layouts/15/Doc.aspx?sourcedoc=%7B4C08E8FB-2C12-4BE2-9178-CE2B34CCF94B%7D&amp;file=b07-pki-bundle.docx&amp;action=default&amp;mobileredirect=true" TargetMode="External"/><Relationship Id="rIdxe-qqkrk7rm6fuada47uj" Type="http://schemas.openxmlformats.org/officeDocument/2006/relationships/hyperlink" Target="https://socialsecuritygov-my.sharepoint.com/personal/michael_f_stratton_ssa_gov/_layouts/15/Doc.aspx?sourcedoc=%7B4C08E8FB-2C12-4BE2-9178-CE2B34CCF94B%7D&amp;file=b07-pki-bundle.docx&amp;action=default&amp;mobileredirect=true" TargetMode="External"/><Relationship Id="rIdv-g5ku-an0fv-3cijsley" Type="http://schemas.openxmlformats.org/officeDocument/2006/relationships/hyperlink" Target="https://socialsecuritygov-my.sharepoint.com/personal/michael_f_stratton_ssa_gov/_layouts/15/Doc.aspx?sourcedoc=%7B90920825-1AE9-4A93-9F3D-7E172FFA39F6%7D&amp;file=b08-ddi-bundle.docx&amp;action=default&amp;mobileredirect=true" TargetMode="External"/><Relationship Id="rIdsjvbiywccdn-8sqflo0k8" Type="http://schemas.openxmlformats.org/officeDocument/2006/relationships/hyperlink" Target="https://socialsecuritygov-my.sharepoint.com/personal/michael_f_stratton_ssa_gov/_layouts/15/Doc.aspx?sourcedoc=%7B90920825-1AE9-4A93-9F3D-7E172FFA39F6%7D&amp;file=b08-ddi-bundle.docx&amp;action=default&amp;mobileredirect=true&amp;DefaultItemOpen=1" TargetMode="External"/><Relationship Id="rIdylu5rqx3abgzpbacftg6s" Type="http://schemas.openxmlformats.org/officeDocument/2006/relationships/hyperlink" Target="https://socialsecuritygov-my.sharepoint.com/personal/michael_f_stratton_ssa_gov/_layouts/15/Doc.aspx?sourcedoc=%7B90920825-1AE9-4A93-9F3D-7E172FFA39F6%7D&amp;file=b08-ddi-bundle.docx&amp;action=default&amp;mobileredirect=true&amp;DefaultItemOpen=1" TargetMode="External"/><Relationship Id="rIdrq1vsyx3axa8qyown6pcl" Type="http://schemas.openxmlformats.org/officeDocument/2006/relationships/hyperlink" Target="https://socialsecuritygov-my.sharepoint.com/personal/michael_f_stratton_ssa_gov/_layouts/15/Doc.aspx?sourcedoc=%7B90920825-1AE9-4A93-9F3D-7E172FFA39F6%7D&amp;file=b08-ddi-bundle.docx&amp;action=default&amp;mobileredirect=true" TargetMode="External"/><Relationship Id="rIdbvp2rrk2u5nyivfoypsn8" Type="http://schemas.openxmlformats.org/officeDocument/2006/relationships/hyperlink" Target="https://socialsecuritygov-my.sharepoint.com/personal/michael_f_stratton_ssa_gov/_layouts/15/Doc.aspx?sourcedoc=%7B1116D8FE-D871-486C-9A39-C0BA36835411%7D&amp;file=b09-network-bundle.docx&amp;action=default&amp;mobileredirect=true" TargetMode="External"/><Relationship Id="rIdiis4uwqwvu4qybc1a_ynj" Type="http://schemas.openxmlformats.org/officeDocument/2006/relationships/hyperlink" Target="https://socialsecuritygov-my.sharepoint.com/personal/michael_f_stratton_ssa_gov/_layouts/15/Doc.aspx?sourcedoc=%7B1116D8FE-D871-486C-9A39-C0BA36835411%7D&amp;file=b09-network-bundle.docx&amp;action=default&amp;mobileredirect=true" TargetMode="External"/><Relationship Id="rIdbrmlctreimfpxouvn4nek" Type="http://schemas.openxmlformats.org/officeDocument/2006/relationships/hyperlink" Target="https://socialsecuritygov-my.sharepoint.com/personal/michael_f_stratton_ssa_gov/_layouts/15/Doc.aspx?sourcedoc=%7B03452ED4-CC1A-4055-8B6E-A43DF22AC7DF%7D&amp;file=hr-driven-iam-bundle.docx&amp;action=default&amp;mobileredirect=true&amp;DefaultItemOpen=1" TargetMode="External"/><Relationship Id="rIdvcoawlqvcxn5g7knlcd0l" Type="http://schemas.openxmlformats.org/officeDocument/2006/relationships/hyperlink" Target="https://socialsecuritygov-my.sharepoint.com/personal/michael_f_stratton_ssa_gov/_layouts/15/Doc.aspx?sourcedoc=%7B03452ED4-CC1A-4055-8B6E-A43DF22AC7DF%7D&amp;file=hr-driven-iam-bundle.docx&amp;action=default&amp;mobileredirect=true&amp;DefaultItemOpen=1" TargetMode="External"/><Relationship Id="rIdlvorqctbjvub5103jmb7z" Type="http://schemas.openxmlformats.org/officeDocument/2006/relationships/hyperlink" Target="https://socialsecuritygov-my.sharepoint.com/personal/michael_f_stratton_ssa_gov/_layouts/15/Doc.aspx?sourcedoc=%7B3D1F950D-AA24-4C94-B461-8BC6598306F9%7D&amp;file=b10-cloud-boundary-bundle.docx&amp;action=default&amp;mobileredirect=true" TargetMode="External"/><Relationship Id="rIdugi9b4763lpnfncsnettq" Type="http://schemas.openxmlformats.org/officeDocument/2006/relationships/hyperlink" Target="https://socialsecuritygov-my.sharepoint.com/personal/michael_f_stratton_ssa_gov/_layouts/15/Doc.aspx?sourcedoc=%7B429A4236-FDB4-44F7-A195-58457214C3CA%7D&amp;file=b06-data-platform-bundle.docx&amp;action=default&amp;mobileredirect=true" TargetMode="External"/><Relationship Id="rId2bqaifbfnyuiuw4lihzoi" Type="http://schemas.openxmlformats.org/officeDocument/2006/relationships/hyperlink" Target="https://socialsecuritygov-my.sharepoint.com/personal/michael_f_stratton_ssa_gov/_layouts/15/Doc.aspx?sourcedoc=%7B429A4236-FDB4-44F7-A195-58457214C3CA%7D&amp;file=b06-data-platform-bundle.docx&amp;action=default&amp;mobileredirect=true" TargetMode="External"/><Relationship Id="rIdepc1lvgdjiyh1z5qry9bb" Type="http://schemas.openxmlformats.org/officeDocument/2006/relationships/hyperlink" Target="https://socialsecuritygov-my.sharepoint.com/personal/michael_f_stratton_ssa_gov/_layouts/15/Doc.aspx?sourcedoc=%7B429A4236-FDB4-44F7-A195-58457214C3CA%7D&amp;file=b06-data-platform-bundle.docx&amp;action=default&amp;mobileredirect=true" TargetMode="External"/><Relationship Id="rIdk8pvn3_jsow7kuyzdrj2v" Type="http://schemas.openxmlformats.org/officeDocument/2006/relationships/hyperlink" Target="https://socialsecuritygov-my.sharepoint.com/personal/michael_f_stratton_ssa_gov/_layouts/15/Doc.aspx?sourcedoc=%7B429A4236-FDB4-44F7-A195-58457214C3CA%7D&amp;file=b06-data-platform-bundle.docx&amp;action=default&amp;mobileredirect=true" TargetMode="External"/><Relationship Id="rIdj3cnba9qr4bjqlpmiqlm3" Type="http://schemas.openxmlformats.org/officeDocument/2006/relationships/hyperlink" Target="https://socialsecuritygov-my.sharepoint.com/personal/michael_f_stratton_ssa_gov/_layouts/15/Doc.aspx?sourcedoc=%7BD90688B9-DF44-4ADD-AC55-725CFD8389C1%7D&amp;file=hr-driven-iam-modernized-bundle.docx&amp;action=default&amp;mobileredirect=true&amp;DefaultItemOpen=1" TargetMode="External"/><Relationship Id="rIdqwmhfuamo7ojtq6ypc9nq" Type="http://schemas.openxmlformats.org/officeDocument/2006/relationships/hyperlink" Target="https://socialsecuritygov-my.sharepoint.com/personal/michael_f_stratton_ssa_gov/_layouts/15/Doc.aspx?sourcedoc=%7BD90688B9-DF44-4ADD-AC55-725CFD8389C1%7D&amp;file=hr-driven-iam-modernized-bundle.docx&amp;action=default&amp;mobileredirect=true&amp;DefaultItemOpen=1" TargetMode="External"/><Relationship Id="rIdrly55k7m4epyeqormjdh8" Type="http://schemas.openxmlformats.org/officeDocument/2006/relationships/hyperlink" Target="https://socialsecuritygov-my.sharepoint.com/personal/michael_f_stratton_ssa_gov/_layouts/15/Doc.aspx?sourcedoc=%7B81D978AD-6FCD-4A28-956E-BD96C2D66983%7D&amp;file=b01-transformation-arc-bundle.docx&amp;action=default&amp;mobileredirect=true&amp;DefaultItemOpen=1" TargetMode="External"/><Relationship Id="rId4bwkz6uqkt3koaushono8" Type="http://schemas.openxmlformats.org/officeDocument/2006/relationships/hyperlink" Target="https://socialsecuritygov-my.sharepoint.com/personal/michael_f_stratton_ssa_gov/_layouts/15/Doc.aspx?sourcedoc=%7B81D978AD-6FCD-4A28-956E-BD96C2D66983%7D&amp;file=b01-transformation-arc-bundle.docx&amp;action=default&amp;mobileredirect=true&amp;DefaultItemOpen=1" TargetMode="External"/><Relationship Id="rIdaior_xiviw9tx9k8ks9pn" Type="http://schemas.openxmlformats.org/officeDocument/2006/relationships/hyperlink" Target="https://socialsecuritygov-my.sharepoint.com/personal/michael_f_stratton_ssa_gov/_layouts/15/Doc.aspx?sourcedoc=%7BB3F06115-0666-45CD-8599-5C7E88ABCB7C%7D&amp;file=b05-devices-bundle.docx&amp;action=default&amp;mobileredirect=true" TargetMode="External"/><Relationship Id="rIdqaokelzsff0oykefew_sb" Type="http://schemas.openxmlformats.org/officeDocument/2006/relationships/hyperlink" Target="https://socialsecuritygov-my.sharepoint.com/personal/michael_f_stratton_ssa_gov/_layouts/15/Doc.aspx?sourcedoc=%7B81D978AD-6FCD-4A28-956E-BD96C2D66983%7D&amp;file=b01-transformation-arc-bundle.docx&amp;action=default&amp;mobileredirect=true" TargetMode="External"/><Relationship Id="rId-ggz6rsgi7_zqkjj_uihf" Type="http://schemas.openxmlformats.org/officeDocument/2006/relationships/hyperlink" Target="https://socialsecuritygov-my.sharepoint.com/personal/michael_f_stratton_ssa_gov/_layouts/15/Doc.aspx?sourcedoc=%7B3F568600-692B-4AF7-99E2-D79C7933A4B1%7D&amp;file=b04-access-bundle.docx&amp;action=default&amp;mobileredirect=true" TargetMode="External"/><Relationship Id="rId-ye3e36jg1h1llul9gaf_" Type="http://schemas.openxmlformats.org/officeDocument/2006/relationships/hyperlink" Target="https://socialsecuritygov-my.sharepoint.com/personal/michael_f_stratton_ssa_gov/_layouts/15/Doc.aspx?sourcedoc=%7BB3F06115-0666-45CD-8599-5C7E88ABCB7C%7D&amp;file=b05-devices-bundle.docx&amp;action=default&amp;mobileredirect=true" TargetMode="External"/><Relationship Id="rIdkidq7znrwgahtm0r7-t4x" Type="http://schemas.openxmlformats.org/officeDocument/2006/relationships/hyperlink" Target="https://socialsecuritygov-my.sharepoint.com/personal/michael_f_stratton_ssa_gov/_layouts/15/Doc.aspx?sourcedoc=%7B3D1F950D-AA24-4C94-B461-8BC6598306F9%7D&amp;file=b10-cloud-boundary-bundle.docx&amp;action=default&amp;mobileredirect=true" TargetMode="External"/><Relationship Id="rIdup-gtqxwxzxqlfgxvyn1v" Type="http://schemas.openxmlformats.org/officeDocument/2006/relationships/hyperlink" Target="https://socialsecuritygov-my.sharepoint.com/personal/michael_f_stratton_ssa_gov/_layouts/15/Doc.aspx?sourcedoc=%7B3F568600-692B-4AF7-99E2-D79C7933A4B1%7D&amp;file=b04-access-bundle.docx&amp;action=default&amp;mobileredirect=true" TargetMode="External"/><Relationship Id="rIdti93qfko9ora0s0k1s_4z" Type="http://schemas.openxmlformats.org/officeDocument/2006/relationships/hyperlink" Target="https://socialsecuritygov-my.sharepoint.com/personal/michael_f_stratton_ssa_gov/_layouts/15/Doc.aspx?sourcedoc=%7B4C08E8FB-2C12-4BE2-9178-CE2B34CCF94B%7D&amp;file=b07-pki-bundle.docx&amp;action=default&amp;mobileredirect=true" TargetMode="External"/><Relationship Id="rIdmcfqft3arohpziwpcbvsb" Type="http://schemas.openxmlformats.org/officeDocument/2006/relationships/hyperlink" Target="https://socialsecuritygov-my.sharepoint.com/personal/michael_f_stratton_ssa_gov/_layouts/15/Doc.aspx?sourcedoc=%7B3F568600-692B-4AF7-99E2-D79C7933A4B1%7D&amp;file=b04-access-bundle.docx&amp;action=default&amp;mobileredirect=true" TargetMode="External"/><Relationship Id="rIdd4y7at_q6vh9b9msvzhnt" Type="http://schemas.openxmlformats.org/officeDocument/2006/relationships/hyperlink" Target="https://socialsecuritygov-my.sharepoint.com/personal/michael_f_stratton_ssa_gov/_layouts/15/Doc.aspx?sourcedoc=%7B1116D8FE-D871-486C-9A39-C0BA36835411%7D&amp;file=b09-network-bundle.docx&amp;action=default&amp;mobileredirect=true" TargetMode="External"/><Relationship Id="rId1pb3r0arec4pzr_irybyw" Type="http://schemas.openxmlformats.org/officeDocument/2006/relationships/hyperlink" Target="https://socialsecuritygov-my.sharepoint.com/personal/michael_f_stratton_ssa_gov/_layouts/15/Doc.aspx?sourcedoc=%7B429A4236-FDB4-44F7-A195-58457214C3CA%7D&amp;file=b06-data-platform-bundle.docx&amp;action=default&amp;mobileredirect=true" TargetMode="External"/><Relationship Id="rIdiurxv--6xotom8bx3mqbp" Type="http://schemas.openxmlformats.org/officeDocument/2006/relationships/hyperlink" Target="https://socialsecuritygov-my.sharepoint.com/personal/michael_f_stratton_ssa_gov/_layouts/15/Doc.aspx?sourcedoc=%7B429A4236-FDB4-44F7-A195-58457214C3CA%7D&amp;file=b06-data-platform-bundle.docx&amp;action=default&amp;mobileredirect=true" TargetMode="External"/><Relationship Id="rIdbn5jyd4zfhwzbmdgqphko" Type="http://schemas.openxmlformats.org/officeDocument/2006/relationships/hyperlink" Target="https://socialsecuritygov-my.sharepoint.com/personal/michael_f_stratton_ssa_gov/_layouts/15/Doc.aspx?sourcedoc=%7BB3F06115-0666-45CD-8599-5C7E88ABCB7C%7D&amp;file=b05-devices-bundle.docx&amp;action=default&amp;mobileredirect=true" TargetMode="External"/><Relationship Id="rIdds6m-yymp-ezyznmxoizr" Type="http://schemas.openxmlformats.org/officeDocument/2006/relationships/hyperlink" Target="https://socialsecuritygov-my.sharepoint.com/personal/michael_f_stratton_ssa_gov/_layouts/15/Doc.aspx?sourcedoc=%7B429A4236-FDB4-44F7-A195-58457214C3CA%7D&amp;file=b06-data-platform-bundle.docx&amp;action=default&amp;mobileredirect=true" TargetMode="External"/><Relationship Id="rIdz5wcvst9kptw2ddd0qfeg" Type="http://schemas.openxmlformats.org/officeDocument/2006/relationships/hyperlink" Target="https://socialsecuritygov-my.sharepoint.com/personal/michael_f_stratton_ssa_gov/_layouts/15/Doc.aspx?sourcedoc=%7B03452ED4-CC1A-4055-8B6E-A43DF22AC7DF%7D&amp;file=hr-driven-iam-bundle.docx&amp;action=default&amp;mobileredirect=true&amp;DefaultItemOpen=1" TargetMode="External"/><Relationship Id="rIdter97jvgrjhpx2wyytzdp" Type="http://schemas.openxmlformats.org/officeDocument/2006/relationships/hyperlink" Target="https://socialsecuritygov-my.sharepoint.com/personal/michael_f_stratton_ssa_gov/_layouts/15/Doc.aspx?sourcedoc=%7B90920825-1AE9-4A93-9F3D-7E172FFA39F6%7D&amp;file=b08-ddi-bundle.docx&amp;action=default&amp;mobileredirect=true" TargetMode="External"/><Relationship Id="rIdw4337m7dtws7r4f4dskuk" Type="http://schemas.openxmlformats.org/officeDocument/2006/relationships/hyperlink" Target="https://socialsecuritygov-my.sharepoint.com/personal/michael_f_stratton_ssa_gov/_layouts/15/Doc.aspx?sourcedoc=%7B1116D8FE-D871-486C-9A39-C0BA36835411%7D&amp;file=b09-network-bundle.docx&amp;action=default&amp;mobileredirect=true" TargetMode="External"/><Relationship Id="rId85rbcdzyxuvgaw6cm7kzl" Type="http://schemas.openxmlformats.org/officeDocument/2006/relationships/hyperlink" Target="https://socialsecuritygov-my.sharepoint.com/personal/michael_f_stratton_ssa_gov/_layouts/15/Doc.aspx?sourcedoc=%7B03452ED4-CC1A-4055-8B6E-A43DF22AC7DF%7D&amp;file=hr-driven-iam-bundle.docx&amp;action=default&amp;mobileredirect=true&amp;DefaultItemOpen=1" TargetMode="External"/><Relationship Id="rIdfde4do1ju-u8atfvhhxt9" Type="http://schemas.openxmlformats.org/officeDocument/2006/relationships/hyperlink" Target="https://socialsecuritygov-my.sharepoint.com/personal/michael_f_stratton_ssa_gov/_layouts/15/Doc.aspx?sourcedoc=%7B03452ED4-CC1A-4055-8B6E-A43DF22AC7DF%7D&amp;file=hr-driven-iam-bundle.docx&amp;action=default&amp;mobileredirect=true&amp;DefaultItemOpen=1" TargetMode="External"/><Relationship Id="rId4bekfqtqzh6yf3mxdd8xh" Type="http://schemas.openxmlformats.org/officeDocument/2006/relationships/hyperlink" Target="https://socialsecuritygov-my.sharepoint.com/personal/michael_f_stratton_ssa_gov/_layouts/15/Doc.aspx?sourcedoc=%7B81D978AD-6FCD-4A28-956E-BD96C2D66983%7D&amp;file=b01-transformation-arc-bundle.docx&amp;action=default&amp;mobileredirect=true" TargetMode="External"/><Relationship Id="rIdvzm2batnwxvvifdn-zhrj" Type="http://schemas.openxmlformats.org/officeDocument/2006/relationships/hyperlink" Target="https://socialsecuritygov-my.sharepoint.com/personal/michael_f_stratton_ssa_gov/_layouts/15/Doc.aspx?sourcedoc=%7B81D978AD-6FCD-4A28-956E-BD96C2D66983%7D&amp;file=b01-transformation-arc-bundle.docx&amp;action=default&amp;mobileredirect=true" TargetMode="External"/><Relationship Id="rIdbkffp4jfmbs5tzgadfexc" Type="http://schemas.openxmlformats.org/officeDocument/2006/relationships/hyperlink" Target="https://socialsecuritygov-my.sharepoint.com/personal/michael_f_stratton_ssa_gov/_layouts/15/Doc.aspx?sourcedoc=%7B429A4236-FDB4-44F7-A195-58457214C3CA%7D&amp;file=b06-data-platform-bundle.docx&amp;action=default&amp;mobileredirect=true" TargetMode="External"/><Relationship Id="rIdhqeucqo_pwjksqbtf15a8" Type="http://schemas.openxmlformats.org/officeDocument/2006/relationships/hyperlink" Target="https://socialsecuritygov-my.sharepoint.com/personal/michael_f_stratton_ssa_gov/_layouts/15/Doc.aspx?sourcedoc=%7B429A4236-FDB4-44F7-A195-58457214C3CA%7D&amp;file=b06-data-platform-bundle.docx&amp;action=default&amp;mobileredirect=true" TargetMode="External"/><Relationship Id="rId_sp4fr8j8a19pwrabfv7a" Type="http://schemas.openxmlformats.org/officeDocument/2006/relationships/hyperlink" Target="https://socialsecuritygov-my.sharepoint.com/personal/michael_f_stratton_ssa_gov/_layouts/15/Doc.aspx?sourcedoc=%7B429A4236-FDB4-44F7-A195-58457214C3CA%7D&amp;file=b06-data-platform-bundle.docx&amp;action=default&amp;mobileredirect=true" TargetMode="External"/><Relationship Id="rId0b87shffr7ymsjn1unrwr" Type="http://schemas.openxmlformats.org/officeDocument/2006/relationships/hyperlink" Target="https://socialsecuritygov-my.sharepoint.com/personal/michael_f_stratton_ssa_gov/_layouts/15/Doc.aspx?sourcedoc=%7B429A4236-FDB4-44F7-A195-58457214C3CA%7D&amp;file=b06-data-platform-bundle.docx&amp;action=default&amp;mobileredirect=true" TargetMode="External"/><Relationship Id="rId6" Type="http://schemas.openxmlformats.org/officeDocument/2006/relationships/image" Target="media/y14c2h9hcii1r8ly7mvg0.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Un-named</cp:lastModifiedBy>
  <cp:revision>1</cp:revision>
  <dcterms:created xsi:type="dcterms:W3CDTF">2026-10-21T17:27:30.778Z</dcterms:created>
  <dcterms:modified xsi:type="dcterms:W3CDTF">2026-10-21T17:27:30.779Z</dcterms:modified>
</cp:coreProperties>
</file>

<file path=docProps/custom.xml><?xml version="1.0" encoding="utf-8"?>
<Properties xmlns="http://schemas.openxmlformats.org/officeDocument/2006/custom-properties" xmlns:vt="http://schemas.openxmlformats.org/officeDocument/2006/docPropsVTypes"/>
</file>