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SQL Server Identity Transformation</w:t>
      </w:r>
    </w:p>
    <w:p>
      <w:pPr>
        <w:jc w:val="center"/>
      </w:pPr>
      <w:r>
        <w:rPr>
          <w:i/>
        </w:rPr>
        <w:t>From Windows Authentication to cloud identity — a ten-book reading sequence on transforming the SQL Server estate</w:t>
      </w:r>
    </w:p>
    <w:p/>
    <w:p>
      <w:pPr>
        <w:jc w:val="center"/>
      </w:pPr>
      <w:r>
        <w:drawing>
          <wp:inline xmlns:a="http://schemas.openxmlformats.org/drawingml/2006/main" xmlns:pic="http://schemas.openxmlformats.org/drawingml/2006/picture">
            <wp:extent cx="5486400" cy="3682652"/>
            <wp:docPr id="1" name="Picture 1"/>
            <wp:cNvGraphicFramePr>
              <a:graphicFrameLocks noChangeAspect="1"/>
            </wp:cNvGraphicFramePr>
            <a:graphic>
              <a:graphicData uri="http://schemas.openxmlformats.org/drawingml/2006/picture">
                <pic:pic>
                  <pic:nvPicPr>
                    <pic:cNvPr id="0" name="series-cover.jpg"/>
                    <pic:cNvPicPr/>
                  </pic:nvPicPr>
                  <pic:blipFill>
                    <a:blip r:embed="rId9"/>
                    <a:stretch>
                      <a:fillRect/>
                    </a:stretch>
                  </pic:blipFill>
                  <pic:spPr>
                    <a:xfrm>
                      <a:off x="0" y="0"/>
                      <a:ext cx="5486400" cy="3682652"/>
                    </a:xfrm>
                    <a:prstGeom prst="rect"/>
                  </pic:spPr>
                </pic:pic>
              </a:graphicData>
            </a:graphic>
          </wp:inline>
        </w:drawing>
      </w:r>
    </w:p>
    <w:p>
      <w:pPr>
        <w:pStyle w:val="Heading1"/>
      </w:pPr>
      <w:r>
        <w:t>Status</w:t>
      </w:r>
    </w:p>
    <w:p>
      <w:r>
        <w:t>This is a cleaned multi-chapter narrative. It is written as an engineering argument, not a runbook. Treat the patterns as guidance that must be validated against the specific estate.</w:t>
      </w:r>
    </w:p>
    <w:p>
      <w:pPr>
        <w:pStyle w:val="Heading1"/>
      </w:pPr>
      <w:r>
        <w:t>The destination</w:t>
      </w:r>
    </w:p>
    <w:p>
      <w:r>
        <w:t>Windows Authentication and SQL Authentication are eliminated and replaced with cloud identity authentication for SQL Server 2022 and later. Authentication is enforced through OAuth 2.0 tokens, a managed identity for the engine process, and multi-factor authentication for every human principal.</w:t>
      </w:r>
    </w:p>
    <w:p>
      <w:pPr>
        <w:pStyle w:val="Heading1"/>
      </w:pPr>
      <w:r>
        <w:t>Reading sequence shape</w:t>
      </w:r>
    </w:p>
    <w:p>
      <w:r>
        <w:t>Book 01 names the inheritance: SQL Server’s Windows Authentication was good engineering for its world, not negligence. Book 02 confronts the precondition that most authentication narratives skip: you cannot migrate the authentication of an estate you have not first assessed and consolidated. Books 03 through 06 trace the migration itself. Books 07 and 08 follow the transformation outward. Book 09 describes the transformed steady-state, and Book 10 addresses the certificate-authority dependency.</w:t>
      </w:r>
    </w:p>
    <w:p>
      <w:pPr>
        <w:pStyle w:val="Heading1"/>
      </w:pPr>
      <w:r>
        <w:t>The transformation in three diagrams</w:t>
      </w:r>
    </w:p>
    <w:p>
      <w:pPr>
        <w:pStyle w:val="Heading2"/>
      </w:pPr>
      <w:r>
        <w:t>Before — the domain is the trust boundary</w:t>
      </w:r>
    </w:p>
    <w:p>
      <w:pPr>
        <w:jc w:val="center"/>
      </w:pPr>
      <w:r>
        <w:drawing>
          <wp:inline xmlns:a="http://schemas.openxmlformats.org/drawingml/2006/main" xmlns:pic="http://schemas.openxmlformats.org/drawingml/2006/picture">
            <wp:extent cx="5486400" cy="3682652"/>
            <wp:docPr id="2" name="Picture 2"/>
            <wp:cNvGraphicFramePr>
              <a:graphicFrameLocks noChangeAspect="1"/>
            </wp:cNvGraphicFramePr>
            <a:graphic>
              <a:graphicData uri="http://schemas.openxmlformats.org/drawingml/2006/picture">
                <pic:pic>
                  <pic:nvPicPr>
                    <pic:cNvPr id="0" name="before-domain.jpg"/>
                    <pic:cNvPicPr/>
                  </pic:nvPicPr>
                  <pic:blipFill>
                    <a:blip r:embed="rId10"/>
                    <a:stretch>
                      <a:fillRect/>
                    </a:stretch>
                  </pic:blipFill>
                  <pic:spPr>
                    <a:xfrm>
                      <a:off x="0" y="0"/>
                      <a:ext cx="5486400" cy="3682652"/>
                    </a:xfrm>
                    <a:prstGeom prst="rect"/>
                  </pic:spPr>
                </pic:pic>
              </a:graphicData>
            </a:graphic>
          </wp:inline>
        </w:drawing>
      </w:r>
    </w:p>
    <w:p>
      <w:r>
        <w:t>Every party is domain-joined. The domain controller is the authentication authority. Kerberos is the protocol. NTLM is the silent fallback when the service principal name is missing. The cloud identity plane is not in the path.</w:t>
      </w:r>
    </w:p>
    <w:p>
      <w:pPr>
        <w:pStyle w:val="Heading2"/>
      </w:pPr>
      <w:r>
        <w:t>During — both paths live simultaneously</w:t>
      </w:r>
    </w:p>
    <w:p>
      <w:pPr>
        <w:jc w:val="center"/>
      </w:pPr>
      <w:r>
        <w:drawing>
          <wp:inline xmlns:a="http://schemas.openxmlformats.org/drawingml/2006/main" xmlns:pic="http://schemas.openxmlformats.org/drawingml/2006/picture">
            <wp:extent cx="5486400" cy="3682652"/>
            <wp:docPr id="3" name="Picture 3"/>
            <wp:cNvGraphicFramePr>
              <a:graphicFrameLocks noChangeAspect="1"/>
            </wp:cNvGraphicFramePr>
            <a:graphic>
              <a:graphicData uri="http://schemas.openxmlformats.org/drawingml/2006/picture">
                <pic:pic>
                  <pic:nvPicPr>
                    <pic:cNvPr id="0" name="during-parallel.jpg"/>
                    <pic:cNvPicPr/>
                  </pic:nvPicPr>
                  <pic:blipFill>
                    <a:blip r:embed="rId11"/>
                    <a:stretch>
                      <a:fillRect/>
                    </a:stretch>
                  </pic:blipFill>
                  <pic:spPr>
                    <a:xfrm>
                      <a:off x="0" y="0"/>
                      <a:ext cx="5486400" cy="3682652"/>
                    </a:xfrm>
                    <a:prstGeom prst="rect"/>
                  </pic:spPr>
                </pic:pic>
              </a:graphicData>
            </a:graphic>
          </wp:inline>
        </w:drawing>
      </w:r>
    </w:p>
    <w:p>
      <w:r>
        <w:t>Legacy clients still use Kerberos or fall back to NTLM. Migrated clients authenticate to the cloud identity platform and present a token. The SQL Server accepts both during the parallel-run window.</w:t>
      </w:r>
    </w:p>
    <w:p>
      <w:pPr>
        <w:pStyle w:val="Heading2"/>
      </w:pPr>
      <w:r>
        <w:t>After — no domain controller in the authentication path</w:t>
      </w:r>
    </w:p>
    <w:p>
      <w:pPr>
        <w:jc w:val="center"/>
      </w:pPr>
      <w:r>
        <w:drawing>
          <wp:inline xmlns:a="http://schemas.openxmlformats.org/drawingml/2006/main" xmlns:pic="http://schemas.openxmlformats.org/drawingml/2006/picture">
            <wp:extent cx="5486400" cy="3682652"/>
            <wp:docPr id="4" name="Picture 4"/>
            <wp:cNvGraphicFramePr>
              <a:graphicFrameLocks noChangeAspect="1"/>
            </wp:cNvGraphicFramePr>
            <a:graphic>
              <a:graphicData uri="http://schemas.openxmlformats.org/drawingml/2006/picture">
                <pic:pic>
                  <pic:nvPicPr>
                    <pic:cNvPr id="0" name="after-cloud.jpg"/>
                    <pic:cNvPicPr/>
                  </pic:nvPicPr>
                  <pic:blipFill>
                    <a:blip r:embed="rId12"/>
                    <a:stretch>
                      <a:fillRect/>
                    </a:stretch>
                  </pic:blipFill>
                  <pic:spPr>
                    <a:xfrm>
                      <a:off x="0" y="0"/>
                      <a:ext cx="5486400" cy="3682652"/>
                    </a:xfrm>
                    <a:prstGeom prst="rect"/>
                  </pic:spPr>
                </pic:pic>
              </a:graphicData>
            </a:graphic>
          </wp:inline>
        </w:drawing>
      </w:r>
    </w:p>
    <w:p>
      <w:r>
        <w:t>The client authenticates to the cloud identity platform with multi-factor authentication. Conditional Access evaluates identity and device. An OAuth 2.0 token is issued. The SQL Server validates the token.</w:t>
      </w:r>
    </w:p>
    <w:p>
      <w:pPr>
        <w:pStyle w:val="Heading1"/>
      </w:pPr>
      <w:r>
        <w:t>Reading sequence</w:t>
      </w:r>
    </w:p>
    <w:tbl>
      <w:tblPr>
        <w:tblStyle w:val="TableGrid"/>
        <w:tblW w:type="auto" w:w="0"/>
        <w:tblLook w:firstColumn="1" w:firstRow="1" w:lastColumn="0" w:lastRow="0" w:noHBand="0" w:noVBand="1" w:val="04A0"/>
      </w:tblPr>
      <w:tblGrid>
        <w:gridCol w:w="2880"/>
        <w:gridCol w:w="2880"/>
        <w:gridCol w:w="2880"/>
      </w:tblGrid>
      <w:tr>
        <w:tc>
          <w:tcPr>
            <w:tcW w:type="dxa" w:w="2880"/>
          </w:tcPr>
          <w:p>
            <w:r>
              <w:t>Book</w:t>
            </w:r>
          </w:p>
        </w:tc>
        <w:tc>
          <w:tcPr>
            <w:tcW w:type="dxa" w:w="2880"/>
          </w:tcPr>
          <w:p>
            <w:r>
              <w:t>Title</w:t>
            </w:r>
          </w:p>
        </w:tc>
        <w:tc>
          <w:tcPr>
            <w:tcW w:type="dxa" w:w="2880"/>
          </w:tcPr>
          <w:p>
            <w:r>
              <w:t>Focus</w:t>
            </w:r>
          </w:p>
        </w:tc>
      </w:tr>
      <w:tr>
        <w:tc>
          <w:tcPr>
            <w:tcW w:type="dxa" w:w="2880"/>
          </w:tcPr>
          <w:p>
            <w:r>
              <w:t>01</w:t>
            </w:r>
          </w:p>
        </w:tc>
        <w:tc>
          <w:tcPr>
            <w:tcW w:type="dxa" w:w="2880"/>
          </w:tcPr>
          <w:p>
            <w:r>
              <w:t>The Authentication Inheritance Problem</w:t>
            </w:r>
          </w:p>
        </w:tc>
        <w:tc>
          <w:tcPr>
            <w:tcW w:type="dxa" w:w="2880"/>
          </w:tcPr>
          <w:p>
            <w:r>
              <w:t>What Windows Authentication actually is, and why it must end</w:t>
            </w:r>
          </w:p>
        </w:tc>
      </w:tr>
      <w:tr>
        <w:tc>
          <w:tcPr>
            <w:tcW w:type="dxa" w:w="2880"/>
          </w:tcPr>
          <w:p>
            <w:r>
              <w:t>02</w:t>
            </w:r>
          </w:p>
        </w:tc>
        <w:tc>
          <w:tcPr>
            <w:tcW w:type="dxa" w:w="2880"/>
          </w:tcPr>
          <w:p>
            <w:r>
              <w:t>The Estate Itself</w:t>
            </w:r>
          </w:p>
        </w:tc>
        <w:tc>
          <w:tcPr>
            <w:tcW w:type="dxa" w:w="2880"/>
          </w:tcPr>
          <w:p>
            <w:r>
              <w:t>Assess and consolidate before you touch authentication</w:t>
            </w:r>
          </w:p>
        </w:tc>
      </w:tr>
      <w:tr>
        <w:tc>
          <w:tcPr>
            <w:tcW w:type="dxa" w:w="2880"/>
          </w:tcPr>
          <w:p>
            <w:r>
              <w:t>03</w:t>
            </w:r>
          </w:p>
        </w:tc>
        <w:tc>
          <w:tcPr>
            <w:tcW w:type="dxa" w:w="2880"/>
          </w:tcPr>
          <w:p>
            <w:r>
              <w:t>The Authentication Audit</w:t>
            </w:r>
          </w:p>
        </w:tc>
        <w:tc>
          <w:tcPr>
            <w:tcW w:type="dxa" w:w="2880"/>
          </w:tcPr>
          <w:p>
            <w:r>
              <w:t>What is actually using Windows Authentication, SQL Authentication, and NTLM</w:t>
            </w:r>
          </w:p>
        </w:tc>
      </w:tr>
      <w:tr>
        <w:tc>
          <w:tcPr>
            <w:tcW w:type="dxa" w:w="2880"/>
          </w:tcPr>
          <w:p>
            <w:r>
              <w:t>04</w:t>
            </w:r>
          </w:p>
        </w:tc>
        <w:tc>
          <w:tcPr>
            <w:tcW w:type="dxa" w:w="2880"/>
          </w:tcPr>
          <w:p>
            <w:r>
              <w:t>The Identity Bridge</w:t>
            </w:r>
          </w:p>
        </w:tc>
        <w:tc>
          <w:tcPr>
            <w:tcW w:type="dxa" w:w="2880"/>
          </w:tcPr>
          <w:p>
            <w:r>
              <w:t>Hybrid-management attachment and managed identity for the engine</w:t>
            </w:r>
          </w:p>
        </w:tc>
      </w:tr>
      <w:tr>
        <w:tc>
          <w:tcPr>
            <w:tcW w:type="dxa" w:w="2880"/>
          </w:tcPr>
          <w:p>
            <w:r>
              <w:t>05</w:t>
            </w:r>
          </w:p>
        </w:tc>
        <w:tc>
          <w:tcPr>
            <w:tcW w:type="dxa" w:w="2880"/>
          </w:tcPr>
          <w:p>
            <w:r>
              <w:t>Login Migration</w:t>
            </w:r>
          </w:p>
        </w:tc>
        <w:tc>
          <w:tcPr>
            <w:tcW w:type="dxa" w:w="2880"/>
          </w:tcPr>
          <w:p>
            <w:r>
              <w:t>Parallel-run of Windows and cloud-identity logins</w:t>
            </w:r>
          </w:p>
        </w:tc>
      </w:tr>
      <w:tr>
        <w:tc>
          <w:tcPr>
            <w:tcW w:type="dxa" w:w="2880"/>
          </w:tcPr>
          <w:p>
            <w:r>
              <w:t>06</w:t>
            </w:r>
          </w:p>
        </w:tc>
        <w:tc>
          <w:tcPr>
            <w:tcW w:type="dxa" w:w="2880"/>
          </w:tcPr>
          <w:p>
            <w:r>
              <w:t>NTLM Elimination</w:t>
            </w:r>
          </w:p>
        </w:tc>
        <w:tc>
          <w:tcPr>
            <w:tcW w:type="dxa" w:w="2880"/>
          </w:tcPr>
          <w:p>
            <w:r>
              <w:t>Silent fallback, service principal name repair, and protocol restriction</w:t>
            </w:r>
          </w:p>
        </w:tc>
      </w:tr>
      <w:tr>
        <w:tc>
          <w:tcPr>
            <w:tcW w:type="dxa" w:w="2880"/>
          </w:tcPr>
          <w:p>
            <w:r>
              <w:t>07</w:t>
            </w:r>
          </w:p>
        </w:tc>
        <w:tc>
          <w:tcPr>
            <w:tcW w:type="dxa" w:w="2880"/>
          </w:tcPr>
          <w:p>
            <w:r>
              <w:t>Access Control</w:t>
            </w:r>
          </w:p>
        </w:tc>
        <w:tc>
          <w:tcPr>
            <w:tcW w:type="dxa" w:w="2880"/>
          </w:tcPr>
          <w:p>
            <w:r>
              <w:t>Dynamic groups and administrative-unit delegation</w:t>
            </w:r>
          </w:p>
        </w:tc>
      </w:tr>
      <w:tr>
        <w:tc>
          <w:tcPr>
            <w:tcW w:type="dxa" w:w="2880"/>
          </w:tcPr>
          <w:p>
            <w:r>
              <w:t>08</w:t>
            </w:r>
          </w:p>
        </w:tc>
        <w:tc>
          <w:tcPr>
            <w:tcW w:type="dxa" w:w="2880"/>
          </w:tcPr>
          <w:p>
            <w:r>
              <w:t>The Upstream Application Chain</w:t>
            </w:r>
          </w:p>
        </w:tc>
        <w:tc>
          <w:tcPr>
            <w:tcW w:type="dxa" w:w="2880"/>
          </w:tcPr>
          <w:p>
            <w:r>
              <w:t>Applications that depend on Windows Authentication or LDAP</w:t>
            </w:r>
          </w:p>
        </w:tc>
      </w:tr>
      <w:tr>
        <w:tc>
          <w:tcPr>
            <w:tcW w:type="dxa" w:w="2880"/>
          </w:tcPr>
          <w:p>
            <w:r>
              <w:t>09</w:t>
            </w:r>
          </w:p>
        </w:tc>
        <w:tc>
          <w:tcPr>
            <w:tcW w:type="dxa" w:w="2880"/>
          </w:tcPr>
          <w:p>
            <w:r>
              <w:t>Transformed Steady State</w:t>
            </w:r>
          </w:p>
        </w:tc>
        <w:tc>
          <w:tcPr>
            <w:tcW w:type="dxa" w:w="2880"/>
          </w:tcPr>
          <w:p>
            <w:r>
              <w:t>The destination and the milestone</w:t>
            </w:r>
          </w:p>
        </w:tc>
      </w:tr>
      <w:tr>
        <w:tc>
          <w:tcPr>
            <w:tcW w:type="dxa" w:w="2880"/>
          </w:tcPr>
          <w:p>
            <w:r>
              <w:t>10</w:t>
            </w:r>
          </w:p>
        </w:tc>
        <w:tc>
          <w:tcPr>
            <w:tcW w:type="dxa" w:w="2880"/>
          </w:tcPr>
          <w:p>
            <w:r>
              <w:t>Certificate-Authority Dependency</w:t>
            </w:r>
          </w:p>
        </w:tc>
        <w:tc>
          <w:tcPr>
            <w:tcW w:type="dxa" w:w="2880"/>
          </w:tcPr>
          <w:p>
            <w:r>
              <w:t>The layer the other steps depend on but rarely name</w:t>
            </w:r>
          </w:p>
        </w:tc>
      </w:tr>
    </w:tbl>
    <w:p>
      <w:pPr>
        <w:pStyle w:val="Heading1"/>
      </w:pPr>
      <w:r>
        <w:t>Audience</w:t>
      </w:r>
    </w:p>
    <w:p>
      <w:r>
        <w:t>Database engineers who execute the login migrations, infrastructure architects responsible for estate consolidation, security engineers who own Conditional Access design, and program leadership who must understand the scope of the engine-layer decision. The series assumes familiarity with SQL Server administration and Active Directory security concepts.</w:t>
      </w:r>
    </w:p>
    <w:p/>
    <w:p>
      <w:r>
        <w:rPr>
          <w:i/>
        </w:rPr>
        <w:t>Cleaned extraction for project use. No internal branding or document identifiers.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