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Critique of the </w:t>
      </w:r>
      <w:r>
        <w:rPr>
          <w:i/>
          <w:iCs/>
          <w:rStyle w:val="Normal"/>
        </w:rPr>
        <w:t xml:space="preserve">SQL Server Identity Transformation</w:t>
      </w:r>
      <w:r>
        <w:rPr>
          <w:rStyle w:val="Normal"/>
        </w:rPr>
        <w:t xml:space="preserve"> Narrative Series</w:t>
      </w:r>
    </w:p>
    <w:p>
      <w:r>
        <w:rPr>
          <w:b/>
          <w:bCs/>
          <w:rStyle w:val="Normal"/>
        </w:rPr>
        <w:t xml:space="preserve">Overview:</w:t>
      </w:r>
      <w:r>
        <w:rPr>
          <w:rStyle w:val="Normal"/>
        </w:rPr>
        <w:t xml:space="preserve"> The </w:t>
      </w:r>
      <w:r>
        <w:rPr>
          <w:i/>
          <w:iCs/>
          <w:rStyle w:val="Normal"/>
        </w:rPr>
        <w:t xml:space="preserve">SQL Server Identity Transformation</w:t>
      </w:r>
      <w:r>
        <w:rPr>
          <w:rStyle w:val="Normal"/>
        </w:rPr>
        <w:t xml:space="preserve"> is an ambitious ten-part (now eleven-part) narrative series guiding a comprehensive overhaul of SQL Server authentication from traditional </w:t>
      </w:r>
      <w:r>
        <w:rPr>
          <w:b/>
          <w:bCs/>
          <w:rStyle w:val="Normal"/>
        </w:rPr>
        <w:t xml:space="preserve">Windows/AD</w:t>
      </w:r>
      <w:r>
        <w:rPr>
          <w:rStyle w:val="Normal"/>
        </w:rPr>
        <w:t xml:space="preserve">-based </w:t>
      </w:r>
      <w:r>
        <w:rPr>
          <w:b/>
          <w:bCs/>
          <w:rStyle w:val="Normal"/>
        </w:rPr>
        <w:t xml:space="preserve">integrated security</w:t>
      </w:r>
      <w:r>
        <w:rPr>
          <w:rStyle w:val="Normal"/>
        </w:rPr>
        <w:t xml:space="preserve"> to </w:t>
      </w:r>
      <w:r>
        <w:rPr>
          <w:b/>
          <w:bCs/>
          <w:rStyle w:val="Normal"/>
        </w:rPr>
        <w:t xml:space="preserve">Microsoft Entra ID</w:t>
      </w:r>
      <w:r>
        <w:rPr>
          <w:rStyle w:val="Normal"/>
        </w:rPr>
        <w:t xml:space="preserve"> (formerly Azure AD) with </w:t>
      </w:r>
      <w:r>
        <w:rPr>
          <w:b/>
          <w:bCs/>
          <w:rStyle w:val="Normal"/>
        </w:rPr>
        <w:t xml:space="preserve">token-based authentication</w:t>
      </w:r>
      <w:r>
        <w:rPr>
          <w:rStyle w:val="Normal"/>
        </w:rPr>
        <w:t xml:space="preserve">. It outlines a sequential </w:t>
      </w:r>
      <w:r>
        <w:rPr>
          <w:b/>
          <w:bCs/>
          <w:rStyle w:val="Normal"/>
        </w:rPr>
        <w:t xml:space="preserve">roadmap</w:t>
      </w:r>
      <w:r>
        <w:rPr>
          <w:rStyle w:val="Normal"/>
        </w:rPr>
        <w:t xml:space="preserve">: starting from historical context (Book 01), establishing the need for </w:t>
      </w:r>
      <w:r>
        <w:rPr>
          <w:b/>
          <w:bCs/>
          <w:rStyle w:val="Normal"/>
        </w:rPr>
        <w:t xml:space="preserve">full estate inventory and consolidation (Book 02)</w:t>
      </w:r>
      <w:r>
        <w:rPr>
          <w:rStyle w:val="Normal"/>
        </w:rPr>
        <w:t xml:space="preserve">, then detailing the </w:t>
      </w:r>
      <w:r>
        <w:rPr>
          <w:b/>
          <w:bCs/>
          <w:rStyle w:val="Normal"/>
        </w:rPr>
        <w:t xml:space="preserve">core migration</w:t>
      </w:r>
      <w:r>
        <w:rPr>
          <w:rStyle w:val="Normal"/>
        </w:rPr>
        <w:t xml:space="preserve"> steps (Books 03–06) – from auditing and </w:t>
      </w:r>
      <w:r>
        <w:rPr>
          <w:b/>
          <w:bCs/>
          <w:rStyle w:val="Normal"/>
        </w:rPr>
        <w:t xml:space="preserve">Azure Arc</w:t>
      </w:r>
      <w:r>
        <w:rPr>
          <w:rStyle w:val="Normal"/>
        </w:rPr>
        <w:t xml:space="preserve"> onboarding to </w:t>
      </w:r>
      <w:r>
        <w:rPr>
          <w:b/>
          <w:bCs/>
          <w:rStyle w:val="Normal"/>
        </w:rPr>
        <w:t xml:space="preserve">Entra ID login cutover and NTLM elimination</w:t>
      </w:r>
      <w:r>
        <w:rPr>
          <w:rStyle w:val="Normal"/>
        </w:rPr>
        <w:t xml:space="preserve"> – and extending into </w:t>
      </w:r>
      <w:r>
        <w:rPr>
          <w:b/>
          <w:bCs/>
          <w:rStyle w:val="Normal"/>
        </w:rPr>
        <w:t xml:space="preserve">access control changes</w:t>
      </w:r>
      <w:r>
        <w:rPr>
          <w:rStyle w:val="Normal"/>
        </w:rPr>
        <w:t xml:space="preserve"> (Book 07), </w:t>
      </w:r>
      <w:r>
        <w:rPr>
          <w:b/>
          <w:bCs/>
          <w:rStyle w:val="Normal"/>
        </w:rPr>
        <w:t xml:space="preserve">application integration</w:t>
      </w:r>
      <w:r>
        <w:rPr>
          <w:rStyle w:val="Normal"/>
        </w:rPr>
        <w:t xml:space="preserve"> (Book 08), and finally describing a </w:t>
      </w:r>
      <w:r>
        <w:rPr>
          <w:b/>
          <w:bCs/>
          <w:rStyle w:val="Normal"/>
        </w:rPr>
        <w:t xml:space="preserve">continuous compliance steady-state</w:t>
      </w:r>
      <w:r>
        <w:rPr>
          <w:rStyle w:val="Normal"/>
        </w:rPr>
        <w:t xml:space="preserve"> (Book 09) and critical dependencies like certificate services (Book 10). A supplemental leadership brief (</w:t>
      </w:r>
      <w:r>
        <w:rPr>
          <w:i/>
          <w:iCs/>
          <w:rStyle w:val="Normal"/>
        </w:rPr>
        <w:t xml:space="preserve">“The Platform Question”/Book 11</w:t>
      </w:r>
      <w:r>
        <w:rPr>
          <w:rStyle w:val="Normal"/>
        </w:rPr>
        <w:t xml:space="preserve">) lays out strategic </w:t>
      </w:r>
      <w:r>
        <w:rPr>
          <w:b/>
          <w:bCs/>
          <w:rStyle w:val="Normal"/>
        </w:rPr>
        <w:t xml:space="preserve">choices</w:t>
      </w:r>
      <w:r>
        <w:rPr>
          <w:rStyle w:val="Normal"/>
        </w:rPr>
        <w:t xml:space="preserve">: whether to remain on SQL Server 2022 or re-platform to alternatives (PostgreSQL, Oracle) in light of external pressures (Microsoft’s </w:t>
      </w:r>
      <w:r>
        <w:rPr>
          <w:b/>
          <w:bCs/>
          <w:rStyle w:val="Normal"/>
        </w:rPr>
        <w:t xml:space="preserve">NTLM deprecation</w:t>
      </w:r>
      <w:r>
        <w:rPr>
          <w:rStyle w:val="Normal"/>
        </w:rPr>
        <w:t xml:space="preserve">, version end-of-support, etc.). The series is explicitly framed as the </w:t>
      </w:r>
      <w:r>
        <w:rPr>
          <w:b/>
          <w:bCs/>
          <w:rStyle w:val="Normal"/>
        </w:rPr>
        <w:t xml:space="preserve">“why”</w:t>
      </w:r>
      <w:r>
        <w:rPr>
          <w:rStyle w:val="Normal"/>
        </w:rPr>
        <w:t xml:space="preserve"> (architectural reasoning and policy) and is paired with an </w:t>
      </w:r>
      <w:r>
        <w:rPr>
          <w:i/>
          <w:iCs/>
          <w:rStyle w:val="Normal"/>
        </w:rPr>
        <w:t xml:space="preserve">Implementation Companion</w:t>
      </w:r>
      <w:r>
        <w:rPr>
          <w:rStyle w:val="Normal"/>
        </w:rPr>
        <w:t xml:space="preserve"> (the </w:t>
      </w:r>
      <w:r>
        <w:rPr>
          <w:b/>
          <w:bCs/>
          <w:rStyle w:val="Normal"/>
        </w:rPr>
        <w:t xml:space="preserve">“how”</w:t>
      </w:r>
      <w:r>
        <w:rPr>
          <w:rStyle w:val="Normal"/>
        </w:rPr>
        <w:t xml:space="preserve">) containing runbooks and scripts for each step. </w:t>
      </w:r>
      <w:hyperlink w:history="1" r:id="rIdmp_7rmp4im7vtaynfpbxk">
        <w:r>
          <w:rPr>
            <w:rStyle w:val="Hyperlink"/>
          </w:rPr>
          <w:t xml:space="preserve">[whalermike.github.io]</w:t>
        </w:r>
      </w:hyperlink>
      <w:r>
        <w:rPr>
          <w:rStyle w:val="Normal"/>
        </w:rPr>
        <w:t xml:space="preserve">, </w:t>
      </w:r>
      <w:hyperlink w:history="1" r:id="rId3rbk_qbquwevbs8npfk8b">
        <w:r>
          <w:rPr>
            <w:rStyle w:val="Hyperlink"/>
          </w:rPr>
          <w:t xml:space="preserve">[whalermike.github.io]</w:t>
        </w:r>
      </w:hyperlink>
      <w:r>
        <w:rPr>
          <w:rStyle w:val="Normal"/>
        </w:rPr>
        <w:t xml:space="preserve"> </w:t>
      </w:r>
      <w:hyperlink w:history="1" r:id="rId326sotfnursj-a3auiemt">
        <w:r>
          <w:rPr>
            <w:rStyle w:val="Hyperlink"/>
          </w:rPr>
          <w:t xml:space="preserve">[whalermike.github.io]</w:t>
        </w:r>
      </w:hyperlink>
      <w:r>
        <w:rPr>
          <w:rStyle w:val="Normal"/>
        </w:rPr>
        <w:t xml:space="preserve">, </w:t>
      </w:r>
      <w:hyperlink w:history="1" r:id="rId2dmvprsykxs1w6nv0qq9n">
        <w:r>
          <w:rPr>
            <w:rStyle w:val="Hyperlink"/>
          </w:rPr>
          <w:t xml:space="preserve">[github.com]</w:t>
        </w:r>
      </w:hyperlink>
      <w:r>
        <w:rPr>
          <w:rStyle w:val="Normal"/>
        </w:rPr>
        <w:t xml:space="preserve"> </w:t>
      </w:r>
      <w:hyperlink w:history="1" r:id="rIdx6qjk6h3ql4d4_uadudtc">
        <w:r>
          <w:rPr>
            <w:rStyle w:val="Hyperlink"/>
          </w:rPr>
          <w:t xml:space="preserve">[whalermike.github.io]</w:t>
        </w:r>
      </w:hyperlink>
      <w:r>
        <w:rPr>
          <w:rStyle w:val="Normal"/>
        </w:rPr>
        <w:t xml:space="preserve"> </w:t>
      </w:r>
      <w:hyperlink w:history="1" r:id="rIdonrdpekge0km0tcmm2of4">
        <w:r>
          <w:rPr>
            <w:rStyle w:val="Hyperlink"/>
          </w:rPr>
          <w:t xml:space="preserve">[whalermike.github.io]</w:t>
        </w:r>
      </w:hyperlink>
      <w:r>
        <w:rPr>
          <w:rStyle w:val="Normal"/>
        </w:rPr>
        <w:t xml:space="preserve"> </w:t>
      </w:r>
      <w:hyperlink w:history="1" r:id="rIdmvt48dm490cpi4fcdtf5k">
        <w:r>
          <w:rPr>
            <w:rStyle w:val="Hyperlink"/>
          </w:rPr>
          <w:t xml:space="preserve">[whalermike.github.io]</w:t>
        </w:r>
      </w:hyperlink>
      <w:r>
        <w:rPr>
          <w:rStyle w:val="Normal"/>
        </w:rPr>
        <w:t xml:space="preserve">, </w:t>
      </w:r>
      <w:hyperlink w:history="1" r:id="rIdloavyyh-ty_ajs-qb92zt">
        <w:r>
          <w:rPr>
            <w:rStyle w:val="Hyperlink"/>
          </w:rPr>
          <w:t xml:space="preserve">[whalermike.github.io]</w:t>
        </w:r>
      </w:hyperlink>
      <w:r>
        <w:rPr>
          <w:rStyle w:val="Normal"/>
        </w:rPr>
        <w:t xml:space="preserve"> </w:t>
      </w:r>
      <w:hyperlink w:history="1" r:id="rIdbanqneg6lxz8zy8k3wcfs">
        <w:r>
          <w:rPr>
            <w:rStyle w:val="Hyperlink"/>
          </w:rPr>
          <w:t xml:space="preserve">[whalermike.github.io]</w:t>
        </w:r>
      </w:hyperlink>
      <w:r>
        <w:rPr>
          <w:rStyle w:val="Normal"/>
        </w:rPr>
        <w:t xml:space="preserve">, </w:t>
      </w:r>
      <w:hyperlink w:history="1" r:id="rIdgeghtfmixucvyamsg06pd">
        <w:r>
          <w:rPr>
            <w:rStyle w:val="Hyperlink"/>
          </w:rPr>
          <w:t xml:space="preserve">[whalermike.github.io]</w:t>
        </w:r>
      </w:hyperlink>
    </w:p>
    <w:p>
      <w:r>
        <w:rPr>
          <w:rStyle w:val="Normal"/>
        </w:rPr>
        <w:t xml:space="preserve">Overall, the narrative series is </w:t>
      </w:r>
      <w:r>
        <w:rPr>
          <w:b/>
          <w:bCs/>
          <w:rStyle w:val="Normal"/>
        </w:rPr>
        <w:t xml:space="preserve">technically robust</w:t>
      </w:r>
      <w:r>
        <w:rPr>
          <w:rStyle w:val="Normal"/>
        </w:rPr>
        <w:t xml:space="preserve">, covering </w:t>
      </w:r>
      <w:r>
        <w:rPr>
          <w:b/>
          <w:bCs/>
          <w:rStyle w:val="Normal"/>
        </w:rPr>
        <w:t xml:space="preserve">all major facets</w:t>
      </w:r>
      <w:r>
        <w:rPr>
          <w:rStyle w:val="Normal"/>
        </w:rPr>
        <w:t xml:space="preserve"> of identity modernization for SQL Server with remarkable depth. It integrates Microsoft’s latest guidance on Entra ID authentication for SQL Server 2022, </w:t>
      </w:r>
      <w:r>
        <w:rPr>
          <w:b/>
          <w:bCs/>
          <w:rStyle w:val="Normal"/>
        </w:rPr>
        <w:t xml:space="preserve">zero-trust security principles</w:t>
      </w:r>
      <w:r>
        <w:rPr>
          <w:rStyle w:val="Normal"/>
        </w:rPr>
        <w:t xml:space="preserve">, and real-world considerations like multi-domain “forest sprawl” and legacy constraints. The organized </w:t>
      </w:r>
      <w:r>
        <w:rPr>
          <w:b/>
          <w:bCs/>
          <w:rStyle w:val="Normal"/>
        </w:rPr>
        <w:t xml:space="preserve">book-by-book structure</w:t>
      </w:r>
      <w:r>
        <w:rPr>
          <w:rStyle w:val="Normal"/>
        </w:rPr>
        <w:t xml:space="preserve"> – each addressing a critical phase or topic – reflects a logical progression that aligns with a typical enterprise transformation journey (inventory → audit → enablement → migration → decommissioning → steady-state governance). The authors demonstrate a clear understanding of both the </w:t>
      </w:r>
      <w:r>
        <w:rPr>
          <w:b/>
          <w:bCs/>
          <w:rStyle w:val="Normal"/>
        </w:rPr>
        <w:t xml:space="preserve">SQL Server internals</w:t>
      </w:r>
      <w:r>
        <w:rPr>
          <w:rStyle w:val="Normal"/>
        </w:rPr>
        <w:t xml:space="preserve"> and the </w:t>
      </w:r>
      <w:r>
        <w:rPr>
          <w:b/>
          <w:bCs/>
          <w:rStyle w:val="Normal"/>
        </w:rPr>
        <w:t xml:space="preserve">broader identity/security landscape</w:t>
      </w:r>
      <w:r>
        <w:rPr>
          <w:rStyle w:val="Normal"/>
        </w:rPr>
        <w:t xml:space="preserve">, and they emphasize a balanced division of responsibilities between what </w:t>
      </w:r>
      <w:r>
        <w:rPr>
          <w:b/>
          <w:bCs/>
          <w:rStyle w:val="Normal"/>
        </w:rPr>
        <w:t xml:space="preserve">Microsoft provides</w:t>
      </w:r>
      <w:r>
        <w:rPr>
          <w:rStyle w:val="Normal"/>
        </w:rPr>
        <w:t xml:space="preserve"> (cloud identity technology, tools) versus what </w:t>
      </w:r>
      <w:r>
        <w:rPr>
          <w:b/>
          <w:bCs/>
          <w:rStyle w:val="Normal"/>
        </w:rPr>
        <w:t xml:space="preserve">the enterprise itself must do</w:t>
      </w:r>
      <w:r>
        <w:rPr>
          <w:rStyle w:val="Normal"/>
        </w:rPr>
        <w:t xml:space="preserve"> (inventory, planning, remediation). </w:t>
      </w:r>
      <w:hyperlink w:history="1" r:id="rIdstp7ksvusqulvlfp4evv4">
        <w:r>
          <w:rPr>
            <w:rStyle w:val="Hyperlink"/>
          </w:rPr>
          <w:t xml:space="preserve">[learn.microsoft.com]</w:t>
        </w:r>
      </w:hyperlink>
      <w:r>
        <w:rPr>
          <w:rStyle w:val="Normal"/>
        </w:rPr>
        <w:t xml:space="preserve">, </w:t>
      </w:r>
      <w:hyperlink w:history="1" r:id="rIdtviplco0gc8mnunf9hzjw">
        <w:r>
          <w:rPr>
            <w:rStyle w:val="Hyperlink"/>
          </w:rPr>
          <w:t xml:space="preserve">[learn.microsoft.com]</w:t>
        </w:r>
      </w:hyperlink>
      <w:r>
        <w:rPr>
          <w:rStyle w:val="Normal"/>
        </w:rPr>
        <w:t xml:space="preserve"> </w:t>
      </w:r>
      <w:hyperlink w:history="1" r:id="rIdg9warmol4bdrv2ye3j0hc">
        <w:r>
          <w:rPr>
            <w:rStyle w:val="Hyperlink"/>
          </w:rPr>
          <w:t xml:space="preserve">[whalermike.github.io]</w:t>
        </w:r>
      </w:hyperlink>
      <w:r>
        <w:rPr>
          <w:rStyle w:val="Normal"/>
        </w:rPr>
        <w:t xml:space="preserve">, </w:t>
      </w:r>
      <w:hyperlink w:history="1" r:id="rIdal_bjwwr5wwrtqt54baks">
        <w:r>
          <w:rPr>
            <w:rStyle w:val="Hyperlink"/>
          </w:rPr>
          <w:t xml:space="preserve">[whalermike.github.io]</w:t>
        </w:r>
      </w:hyperlink>
    </w:p>
    <w:p>
      <w:r>
        <w:rPr>
          <w:rStyle w:val="Normal"/>
        </w:rPr>
        <w:t xml:space="preserve">That said, the series’ </w:t>
      </w:r>
      <w:r>
        <w:rPr>
          <w:b/>
          <w:bCs/>
          <w:rStyle w:val="Normal"/>
        </w:rPr>
        <w:t xml:space="preserve">comprehensiveness</w:t>
      </w:r>
      <w:r>
        <w:rPr>
          <w:rStyle w:val="Normal"/>
        </w:rPr>
        <w:t xml:space="preserve"> can also be a double-edged sword. Below, we provide a detailed critique through multiple lenses – </w:t>
      </w:r>
      <w:r>
        <w:rPr>
          <w:b/>
          <w:bCs/>
          <w:rStyle w:val="Normal"/>
        </w:rPr>
        <w:t xml:space="preserve">(1) SQL Server engine &amp; DBA perspective, (2) Identity/Security architecture alignment, (3) Cloud &amp; hybrid platform realism, and (4) Narrative clarity &amp; pedagogical effectiveness</w:t>
      </w:r>
      <w:r>
        <w:rPr>
          <w:rStyle w:val="Normal"/>
        </w:rPr>
        <w:t xml:space="preserve"> – highlighting </w:t>
      </w:r>
      <w:r>
        <w:rPr>
          <w:b/>
          <w:bCs/>
          <w:rStyle w:val="Normal"/>
        </w:rPr>
        <w:t xml:space="preserve">strengths</w:t>
      </w:r>
      <w:r>
        <w:rPr>
          <w:rStyle w:val="Normal"/>
        </w:rPr>
        <w:t xml:space="preserve">, </w:t>
      </w:r>
      <w:r>
        <w:rPr>
          <w:b/>
          <w:bCs/>
          <w:rStyle w:val="Normal"/>
        </w:rPr>
        <w:t xml:space="preserve">potential gaps or assumptions</w:t>
      </w:r>
      <w:r>
        <w:rPr>
          <w:rStyle w:val="Normal"/>
        </w:rPr>
        <w:t xml:space="preserve">, and </w:t>
      </w:r>
      <w:r>
        <w:rPr>
          <w:b/>
          <w:bCs/>
          <w:rStyle w:val="Normal"/>
        </w:rPr>
        <w:t xml:space="preserve">recommendations</w:t>
      </w:r>
      <w:r>
        <w:rPr>
          <w:rStyle w:val="Normal"/>
        </w:rPr>
        <w:t xml:space="preserve"> for improvement.</w:t>
      </w:r>
    </w:p>
    <w:p>
      <w:r>
        <w:drawing>
          <wp:inline distT="0" distB="0" distL="0" distR="0">
            <wp:extent cx="5734050" cy="375285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3752850"/>
                    </a:xfrm>
                    <a:prstGeom prst="rect">
                      <a:avLst/>
                    </a:prstGeom>
                  </pic:spPr>
                </pic:pic>
              </a:graphicData>
            </a:graphic>
          </wp:inline>
        </w:drawing>
      </w:r>
    </w:p>
    <w:p>
      <w:pPr>
        <w:pStyle w:val="Heading2"/>
      </w:pPr>
      <w:r>
        <w:rPr>
          <w:rStyle w:val="Normal"/>
        </w:rPr>
        <w:t xml:space="preserve">1. </w:t>
      </w:r>
      <w:r>
        <w:rPr>
          <w:b/>
          <w:bCs/>
          <w:rStyle w:val="Normal"/>
        </w:rPr>
        <w:t xml:space="preserve">Database Engine (SQL Server &amp; DBA) Perspective</w:t>
      </w:r>
    </w:p>
    <w:p>
      <w:r>
        <w:rPr>
          <w:b/>
          <w:bCs/>
          <w:rStyle w:val="Normal"/>
        </w:rPr>
        <w:t xml:space="preserve">Strengths:</w:t>
      </w:r>
      <w:r>
        <w:rPr>
          <w:rStyle w:val="Normal"/>
        </w:rPr>
        <w:t xml:space="preserve"> From the SQL Server practitioner’s viewpoint, the narrative demonstrates </w:t>
      </w:r>
      <w:r>
        <w:rPr>
          <w:b/>
          <w:bCs/>
          <w:rStyle w:val="Normal"/>
        </w:rPr>
        <w:t xml:space="preserve">high technical accuracy and thoroughness</w:t>
      </w:r>
      <w:r>
        <w:rPr>
          <w:rStyle w:val="Normal"/>
        </w:rPr>
        <w:t xml:space="preserve"> in describing the existing Windows Authentication model and the upcoming Entra ID integration:</w:t>
      </w:r>
    </w:p>
    <w:p>
      <w:pPr>
        <w:pStyle w:val="ListParagraph"/>
        <w:pStyle w:val="ListParagraph"/>
        <w:numPr>
          <w:ilvl w:val="0"/>
          <w:numId w:val="1"/>
        </w:numPr>
        <w:numPr>
          <w:ilvl w:val="0"/>
          <w:numId w:val="2"/>
        </w:numPr>
      </w:pPr>
      <w:r>
        <w:rPr>
          <w:b/>
          <w:bCs/>
          <w:rStyle w:val="Normal"/>
        </w:rPr>
        <w:t xml:space="preserve">Precise Depiction of Windows Authentication:</w:t>
      </w:r>
      <w:r>
        <w:rPr>
          <w:rStyle w:val="Normal"/>
        </w:rPr>
        <w:t xml:space="preserve"> Book 01 provides an excellent dissection of how </w:t>
      </w:r>
      <w:r>
        <w:rPr>
          <w:b/>
          <w:bCs/>
          <w:rStyle w:val="Normal"/>
        </w:rPr>
        <w:t xml:space="preserve">SQL Server’s Windows Authentication works via SSPI/Kerberos</w:t>
      </w:r>
      <w:r>
        <w:rPr>
          <w:rStyle w:val="Normal"/>
        </w:rPr>
        <w:t xml:space="preserve"> and why the </w:t>
      </w:r>
      <w:r>
        <w:rPr>
          <w:b/>
          <w:bCs/>
          <w:rStyle w:val="Normal"/>
        </w:rPr>
        <w:t xml:space="preserve">NTLM fallback</w:t>
      </w:r>
      <w:r>
        <w:rPr>
          <w:rStyle w:val="Normal"/>
        </w:rPr>
        <w:t xml:space="preserve"> occurs. It clearly explains the significance of </w:t>
      </w:r>
      <w:r>
        <w:rPr>
          <w:b/>
          <w:bCs/>
          <w:rStyle w:val="Normal"/>
        </w:rPr>
        <w:t xml:space="preserve">Service Principal Names (SPNs)</w:t>
      </w:r>
      <w:r>
        <w:rPr>
          <w:rStyle w:val="Normal"/>
        </w:rPr>
        <w:t xml:space="preserve">, the behavior of the </w:t>
      </w:r>
      <w:r>
        <w:rPr>
          <w:b/>
          <w:bCs/>
          <w:rStyle w:val="Normal"/>
        </w:rPr>
        <w:t xml:space="preserve">Security Support Provider Interface (SSPI)</w:t>
      </w:r>
      <w:r>
        <w:rPr>
          <w:rStyle w:val="Normal"/>
        </w:rPr>
        <w:t xml:space="preserve"> in negotiating Kerberos vs. NTLM, and the consequences of missing SPNs leading to silent NTLM usage. This explanation is </w:t>
      </w:r>
      <w:r>
        <w:rPr>
          <w:b/>
          <w:bCs/>
          <w:rStyle w:val="Normal"/>
        </w:rPr>
        <w:t xml:space="preserve">technically spot-on</w:t>
      </w:r>
      <w:r>
        <w:rPr>
          <w:rStyle w:val="Normal"/>
        </w:rPr>
        <w:t xml:space="preserve"> and aligns with Microsoft’s own documentation on Windows Auth (Kerberos requiring proper SPNs). The acknowledgment that </w:t>
      </w:r>
      <w:r>
        <w:rPr>
          <w:b/>
          <w:bCs/>
          <w:rStyle w:val="Normal"/>
        </w:rPr>
        <w:t xml:space="preserve">NTLM’s silent fallback has historically masked authentication weaknesses</w:t>
      </w:r>
      <w:r>
        <w:rPr>
          <w:rStyle w:val="Normal"/>
        </w:rPr>
        <w:t xml:space="preserve"> (often 40–60% of “Kerberos” connections actually using NTLM in many environments) is reinforced by industry observations, underscoring the narrative’s accuracy and urgency. </w:t>
      </w:r>
      <w:hyperlink w:history="1" r:id="rIdpbewkaynbzxauym5kwkha">
        <w:r>
          <w:rPr>
            <w:rStyle w:val="Hyperlink"/>
          </w:rPr>
          <w:t xml:space="preserve">[whalermike.github.io]</w:t>
        </w:r>
      </w:hyperlink>
      <w:r>
        <w:rPr>
          <w:rStyle w:val="Normal"/>
        </w:rPr>
        <w:t xml:space="preserve">, </w:t>
      </w:r>
      <w:hyperlink w:history="1" r:id="rIdajmrj_o_hupskhjopmgu1">
        <w:r>
          <w:rPr>
            <w:rStyle w:val="Hyperlink"/>
          </w:rPr>
          <w:t xml:space="preserve">[whalermike.github.io]</w:t>
        </w:r>
      </w:hyperlink>
      <w:r>
        <w:rPr>
          <w:rStyle w:val="Normal"/>
        </w:rPr>
        <w:t xml:space="preserve"> </w:t>
      </w:r>
      <w:hyperlink w:history="1" r:id="rIdb9z2iu6ybdjvuua_jbmxg">
        <w:r>
          <w:rPr>
            <w:rStyle w:val="Hyperlink"/>
          </w:rPr>
          <w:t xml:space="preserve">[sqlfingers.com]</w:t>
        </w:r>
      </w:hyperlink>
      <w:r>
        <w:rPr>
          <w:rStyle w:val="Normal"/>
        </w:rPr>
        <w:t xml:space="preserve">, </w:t>
      </w:r>
      <w:hyperlink w:history="1" r:id="rIdbmufc0kuzwfwocfuag7yq">
        <w:r>
          <w:rPr>
            <w:rStyle w:val="Hyperlink"/>
          </w:rPr>
          <w:t xml:space="preserve">[sqlfingers.com]</w:t>
        </w:r>
      </w:hyperlink>
    </w:p>
    <w:p>
      <w:pPr>
        <w:pStyle w:val="ListParagraph"/>
        <w:pStyle w:val="ListParagraph"/>
        <w:numPr>
          <w:ilvl w:val="0"/>
          <w:numId w:val="1"/>
        </w:numPr>
        <w:numPr>
          <w:ilvl w:val="0"/>
          <w:numId w:val="2"/>
        </w:numPr>
      </w:pPr>
      <w:r>
        <w:rPr>
          <w:b/>
          <w:bCs/>
          <w:rStyle w:val="Normal"/>
        </w:rPr>
        <w:t xml:space="preserve">Clarity on SQL Server </w:t>
      </w:r>
      <w:r>
        <w:rPr>
          <w:b/>
          <w:bCs/>
          <w:i/>
          <w:iCs/>
          <w:rStyle w:val="Normal"/>
        </w:rPr>
        <w:t xml:space="preserve">2022</w:t>
      </w:r>
      <w:r>
        <w:rPr>
          <w:b/>
          <w:bCs/>
          <w:rStyle w:val="Normal"/>
        </w:rPr>
        <w:t xml:space="preserve"> Requirements:</w:t>
      </w:r>
      <w:r>
        <w:rPr>
          <w:rStyle w:val="Normal"/>
        </w:rPr>
        <w:t xml:space="preserve"> The series correctly highlights that </w:t>
      </w:r>
      <w:r>
        <w:rPr>
          <w:b/>
          <w:bCs/>
          <w:rStyle w:val="Normal"/>
        </w:rPr>
        <w:t xml:space="preserve">SQL Server 2022 (16.x) is required to natively support Entra (Azure AD) authentication</w:t>
      </w:r>
      <w:r>
        <w:rPr>
          <w:rStyle w:val="Normal"/>
        </w:rPr>
        <w:t xml:space="preserve"> for on-premises instances. This matches Microsoft’s guidance that Entra authentication is only available on SQL Server 2022 and later. Book 05 (Login Migration) codifies that </w:t>
      </w:r>
      <w:r>
        <w:rPr>
          <w:b/>
          <w:bCs/>
          <w:rStyle w:val="Normal"/>
        </w:rPr>
        <w:t xml:space="preserve">pre-2022 instances must either be upgraded or handled via exceptions</w:t>
      </w:r>
      <w:r>
        <w:rPr>
          <w:rStyle w:val="Normal"/>
        </w:rPr>
        <w:t xml:space="preserve"> – a crucial point that ensures DBAs focus their efforts on supported platforms. The narrative’s guidance to adopt </w:t>
      </w:r>
      <w:r>
        <w:rPr>
          <w:b/>
          <w:bCs/>
          <w:rStyle w:val="Normal"/>
        </w:rPr>
        <w:t xml:space="preserve">Windows Authentication mode only (no SQL mixed mode)</w:t>
      </w:r>
      <w:r>
        <w:rPr>
          <w:rStyle w:val="Normal"/>
        </w:rPr>
        <w:t xml:space="preserve"> once migration completes (to enforce </w:t>
      </w:r>
      <w:r>
        <w:rPr>
          <w:i/>
          <w:iCs/>
          <w:rStyle w:val="Normal"/>
        </w:rPr>
        <w:t xml:space="preserve">no</w:t>
      </w:r>
      <w:r>
        <w:rPr>
          <w:rStyle w:val="Normal"/>
        </w:rPr>
        <w:t xml:space="preserve"> local SQL logins) is aligned with best practices for reducing attack surface. </w:t>
      </w:r>
      <w:hyperlink w:history="1" r:id="rIdqtbqbdxij9dstc3gpyca1">
        <w:r>
          <w:rPr>
            <w:rStyle w:val="Hyperlink"/>
          </w:rPr>
          <w:t xml:space="preserve">[whalermike.github.io]</w:t>
        </w:r>
      </w:hyperlink>
      <w:r>
        <w:rPr>
          <w:rStyle w:val="Normal"/>
        </w:rPr>
        <w:t xml:space="preserve"> </w:t>
      </w:r>
      <w:hyperlink w:history="1" r:id="rIdintrkc2zjfe8rs7per1e9">
        <w:r>
          <w:rPr>
            <w:rStyle w:val="Hyperlink"/>
          </w:rPr>
          <w:t xml:space="preserve">[learn.microsoft.com]</w:t>
        </w:r>
      </w:hyperlink>
      <w:r>
        <w:rPr>
          <w:rStyle w:val="Normal"/>
        </w:rPr>
        <w:t xml:space="preserve"> </w:t>
      </w:r>
      <w:hyperlink w:history="1" r:id="rIdg4i4w7azljqrjlpp1moql">
        <w:r>
          <w:rPr>
            <w:rStyle w:val="Hyperlink"/>
          </w:rPr>
          <w:t xml:space="preserve">[whalermike.github.io]</w:t>
        </w:r>
      </w:hyperlink>
      <w:r>
        <w:rPr>
          <w:rStyle w:val="Normal"/>
        </w:rPr>
        <w:t xml:space="preserve">, </w:t>
      </w:r>
      <w:hyperlink w:history="1" r:id="rIdd_6e_gcdac3h4rrvesrpt">
        <w:r>
          <w:rPr>
            <w:rStyle w:val="Hyperlink"/>
          </w:rPr>
          <w:t xml:space="preserve">[whalermike.github.io]</w:t>
        </w:r>
      </w:hyperlink>
    </w:p>
    <w:p>
      <w:pPr>
        <w:pStyle w:val="ListParagraph"/>
        <w:pStyle w:val="ListParagraph"/>
        <w:numPr>
          <w:ilvl w:val="0"/>
          <w:numId w:val="1"/>
        </w:numPr>
        <w:numPr>
          <w:ilvl w:val="0"/>
          <w:numId w:val="2"/>
        </w:numPr>
      </w:pPr>
      <w:r>
        <w:rPr>
          <w:b/>
          <w:bCs/>
          <w:rStyle w:val="Normal"/>
        </w:rPr>
        <w:t xml:space="preserve">Engine-Centric Migration Strategy:</w:t>
      </w:r>
      <w:r>
        <w:rPr>
          <w:rStyle w:val="Normal"/>
        </w:rPr>
        <w:t xml:space="preserve"> The </w:t>
      </w:r>
      <w:r>
        <w:rPr>
          <w:b/>
          <w:bCs/>
          <w:rStyle w:val="Normal"/>
        </w:rPr>
        <w:t xml:space="preserve">three-phase parallel-run cutover model</w:t>
      </w:r>
      <w:r>
        <w:rPr>
          <w:rStyle w:val="Normal"/>
        </w:rPr>
        <w:t xml:space="preserve"> (create Entra logins in parallel, test them, then disable legacy logins for a 30-day observation period before removal) is a sound strategy for minimizing downtime and preventing lockouts. This approach gives DBAs a safety net – if any account wasn’t mapped correctly or an application fails to use Entra credentials, the old login can be quickly re-enabled during the observation window. This reflects real-world DBA wisdom: </w:t>
      </w:r>
      <w:r>
        <w:rPr>
          <w:i/>
          <w:iCs/>
          <w:rStyle w:val="Normal"/>
        </w:rPr>
        <w:t xml:space="preserve">“never drop before you observe”</w:t>
      </w:r>
      <w:r>
        <w:rPr>
          <w:rStyle w:val="Normal"/>
        </w:rPr>
        <w:t xml:space="preserve">. It shows the narrative’s deep concern for </w:t>
      </w:r>
      <w:r>
        <w:rPr>
          <w:b/>
          <w:bCs/>
          <w:rStyle w:val="Normal"/>
        </w:rPr>
        <w:t xml:space="preserve">maintaining operational continuity and the ability to rollback</w:t>
      </w:r>
      <w:r>
        <w:rPr>
          <w:rStyle w:val="Normal"/>
        </w:rPr>
        <w:t xml:space="preserve"> if needed, which is a significant strength from an operational perspective. </w:t>
      </w:r>
      <w:hyperlink w:history="1" r:id="rIdntz0g_tn_89nvh9e8giol">
        <w:r>
          <w:rPr>
            <w:rStyle w:val="Hyperlink"/>
          </w:rPr>
          <w:t xml:space="preserve">[whalermike.github.io]</w:t>
        </w:r>
      </w:hyperlink>
      <w:r>
        <w:rPr>
          <w:rStyle w:val="Normal"/>
        </w:rPr>
        <w:t xml:space="preserve"> </w:t>
      </w:r>
      <w:hyperlink w:history="1" r:id="rId6uvsfnsm8zwattwol0l4m">
        <w:r>
          <w:rPr>
            <w:rStyle w:val="Hyperlink"/>
          </w:rPr>
          <w:t xml:space="preserve">[whalermike.github.io]</w:t>
        </w:r>
      </w:hyperlink>
    </w:p>
    <w:p>
      <w:pPr>
        <w:pStyle w:val="ListParagraph"/>
        <w:pStyle w:val="ListParagraph"/>
        <w:numPr>
          <w:ilvl w:val="0"/>
          <w:numId w:val="1"/>
        </w:numPr>
        <w:numPr>
          <w:ilvl w:val="0"/>
          <w:numId w:val="2"/>
        </w:numPr>
      </w:pPr>
      <w:r>
        <w:rPr>
          <w:b/>
          <w:bCs/>
          <w:rStyle w:val="Normal"/>
        </w:rPr>
        <w:t xml:space="preserve">Comprehensive Handling of Authentication Types:</w:t>
      </w:r>
      <w:r>
        <w:rPr>
          <w:rStyle w:val="Normal"/>
        </w:rPr>
        <w:t xml:space="preserve"> The series addresses </w:t>
      </w:r>
      <w:r>
        <w:rPr>
          <w:b/>
          <w:bCs/>
          <w:rStyle w:val="Normal"/>
        </w:rPr>
        <w:t xml:space="preserve">all types of SQL principals (logins)</w:t>
      </w:r>
      <w:r>
        <w:rPr>
          <w:rStyle w:val="Normal"/>
        </w:rPr>
        <w:t xml:space="preserve"> – covering </w:t>
      </w:r>
      <w:r>
        <w:rPr>
          <w:i/>
          <w:iCs/>
          <w:rStyle w:val="Normal"/>
        </w:rPr>
        <w:t xml:space="preserve">users (U)</w:t>
      </w:r>
      <w:r>
        <w:rPr>
          <w:rStyle w:val="Normal"/>
        </w:rPr>
        <w:t xml:space="preserve">, </w:t>
      </w:r>
      <w:r>
        <w:rPr>
          <w:i/>
          <w:iCs/>
          <w:rStyle w:val="Normal"/>
        </w:rPr>
        <w:t xml:space="preserve">Windows groups (G)</w:t>
      </w:r>
      <w:r>
        <w:rPr>
          <w:rStyle w:val="Normal"/>
        </w:rPr>
        <w:t xml:space="preserve">, </w:t>
      </w:r>
      <w:r>
        <w:rPr>
          <w:i/>
          <w:iCs/>
          <w:rStyle w:val="Normal"/>
        </w:rPr>
        <w:t xml:space="preserve">SQL logins (S)</w:t>
      </w:r>
      <w:r>
        <w:rPr>
          <w:rStyle w:val="Normal"/>
        </w:rPr>
        <w:t xml:space="preserve">, and new </w:t>
      </w:r>
      <w:r>
        <w:rPr>
          <w:i/>
          <w:iCs/>
          <w:rStyle w:val="Normal"/>
        </w:rPr>
        <w:t xml:space="preserve">Entra logins (E)</w:t>
      </w:r>
      <w:r>
        <w:rPr>
          <w:rStyle w:val="Normal"/>
        </w:rPr>
        <w:t xml:space="preserve">. It doesn’t just focus on individual users; it also considers group logins and </w:t>
      </w:r>
      <w:r>
        <w:rPr>
          <w:b/>
          <w:bCs/>
          <w:rStyle w:val="Normal"/>
        </w:rPr>
        <w:t xml:space="preserve">shared service accounts</w:t>
      </w:r>
      <w:r>
        <w:rPr>
          <w:rStyle w:val="Normal"/>
        </w:rPr>
        <w:t xml:space="preserve">. Notably, it demands migrating or retiring </w:t>
      </w:r>
      <w:r>
        <w:rPr>
          <w:b/>
          <w:bCs/>
          <w:rStyle w:val="Normal"/>
        </w:rPr>
        <w:t xml:space="preserve">all SQL-authenticated (SQL login) users</w:t>
      </w:r>
      <w:r>
        <w:rPr>
          <w:rStyle w:val="Normal"/>
        </w:rPr>
        <w:t xml:space="preserve"> and even the </w:t>
      </w:r>
      <w:r>
        <w:rPr>
          <w:rStyle w:val="Quote"/>
        </w:rPr>
        <w:t xml:space="preserve">sa</w:t>
      </w:r>
      <w:r>
        <w:rPr>
          <w:rStyle w:val="Normal"/>
        </w:rPr>
        <w:t xml:space="preserve"> account, which is to be disabled and renamed as part of the transformation. This hardline stance on </w:t>
      </w:r>
      <w:r>
        <w:rPr>
          <w:b/>
          <w:bCs/>
          <w:rStyle w:val="Normal"/>
        </w:rPr>
        <w:t xml:space="preserve">eliminating SQL Auth</w:t>
      </w:r>
      <w:r>
        <w:rPr>
          <w:rStyle w:val="Normal"/>
        </w:rPr>
        <w:t xml:space="preserve"> is well-justified: the narrative correctly notes that </w:t>
      </w:r>
      <w:r>
        <w:rPr>
          <w:b/>
          <w:bCs/>
          <w:rStyle w:val="Normal"/>
        </w:rPr>
        <w:t xml:space="preserve">SQL authentication yields no AAD/Entra sign-in logs or Conditional Access enforcement</w:t>
      </w:r>
      <w:r>
        <w:rPr>
          <w:rStyle w:val="Normal"/>
        </w:rPr>
        <w:t xml:space="preserve">, making any leftover SQL login a </w:t>
      </w:r>
      <w:r>
        <w:rPr>
          <w:b/>
          <w:bCs/>
          <w:rStyle w:val="Normal"/>
        </w:rPr>
        <w:t xml:space="preserve">blind spot and potential backdoor</w:t>
      </w:r>
      <w:r>
        <w:rPr>
          <w:rStyle w:val="Normal"/>
        </w:rPr>
        <w:t xml:space="preserve"> in a zero-trust model. The guidance to treat an active </w:t>
      </w:r>
      <w:r>
        <w:rPr>
          <w:rStyle w:val="Quote"/>
        </w:rPr>
        <w:t xml:space="preserve">sa</w:t>
      </w:r>
      <w:r>
        <w:rPr>
          <w:rStyle w:val="Normal"/>
        </w:rPr>
        <w:t xml:space="preserve"> (with non-rotated password) as a </w:t>
      </w:r>
      <w:r>
        <w:rPr>
          <w:b/>
          <w:bCs/>
          <w:rStyle w:val="Normal"/>
        </w:rPr>
        <w:t xml:space="preserve">“highest-priority remediation finding”</w:t>
      </w:r>
      <w:r>
        <w:rPr>
          <w:rStyle w:val="Normal"/>
        </w:rPr>
        <w:t xml:space="preserve"> is prudent from a security standpoint. At the same time, the series does allow for rare cases of retained SQL logins under strict conditions: those must have a </w:t>
      </w:r>
      <w:r>
        <w:rPr>
          <w:i/>
          <w:iCs/>
          <w:rStyle w:val="Normal"/>
        </w:rPr>
        <w:t xml:space="preserve">“documented exception with compensating controls and a sunset date”</w:t>
      </w:r>
      <w:r>
        <w:rPr>
          <w:rStyle w:val="Normal"/>
        </w:rPr>
        <w:t xml:space="preserve">, with </w:t>
      </w:r>
      <w:r>
        <w:rPr>
          <w:b/>
          <w:bCs/>
          <w:rStyle w:val="Normal"/>
        </w:rPr>
        <w:t xml:space="preserve">Certificate-Based Authentication (CBA)</w:t>
      </w:r>
      <w:r>
        <w:rPr>
          <w:rStyle w:val="Normal"/>
        </w:rPr>
        <w:t xml:space="preserve"> as the interim solution for legacy scenarios that physically </w:t>
      </w:r>
      <w:r>
        <w:rPr>
          <w:b/>
          <w:bCs/>
          <w:rStyle w:val="Normal"/>
        </w:rPr>
        <w:t xml:space="preserve">cannot use Kerberos or Entra ID by the deadline</w:t>
      </w:r>
      <w:r>
        <w:rPr>
          <w:rStyle w:val="Normal"/>
        </w:rPr>
        <w:t xml:space="preserve">. This demonstrates a realistic understanding that some edge cases (e.g. legacy systems or cross-domain scenarios) might temporarily require non-domain, non-Entra authentication. </w:t>
      </w:r>
      <w:hyperlink w:history="1" r:id="rIdioxyqj7upjqcayw4jcd50">
        <w:r>
          <w:rPr>
            <w:rStyle w:val="Hyperlink"/>
          </w:rPr>
          <w:t xml:space="preserve">[whalermike.github.io]</w:t>
        </w:r>
      </w:hyperlink>
      <w:r>
        <w:rPr>
          <w:rStyle w:val="Normal"/>
        </w:rPr>
        <w:t xml:space="preserve"> </w:t>
      </w:r>
      <w:hyperlink w:history="1" r:id="rIdlc0l8zoui7ppf--k7f36f">
        <w:r>
          <w:rPr>
            <w:rStyle w:val="Hyperlink"/>
          </w:rPr>
          <w:t xml:space="preserve">[whalermike.github.io]</w:t>
        </w:r>
      </w:hyperlink>
      <w:r>
        <w:rPr>
          <w:rStyle w:val="Normal"/>
        </w:rPr>
        <w:t xml:space="preserve">, </w:t>
      </w:r>
      <w:hyperlink w:history="1" r:id="rIdlhl1wdvhkfmrqp-ziuabv">
        <w:r>
          <w:rPr>
            <w:rStyle w:val="Hyperlink"/>
          </w:rPr>
          <w:t xml:space="preserve">[whalermike.github.io]</w:t>
        </w:r>
      </w:hyperlink>
      <w:r>
        <w:rPr>
          <w:rStyle w:val="Normal"/>
        </w:rPr>
        <w:t xml:space="preserve"> </w:t>
      </w:r>
      <w:hyperlink w:history="1" r:id="rIdbgya93t3jrteww9wwcjj-">
        <w:r>
          <w:rPr>
            <w:rStyle w:val="Hyperlink"/>
          </w:rPr>
          <w:t xml:space="preserve">[whalermike.github.io]</w:t>
        </w:r>
      </w:hyperlink>
      <w:r>
        <w:rPr>
          <w:rStyle w:val="Normal"/>
        </w:rPr>
        <w:t xml:space="preserve">, </w:t>
      </w:r>
      <w:hyperlink w:history="1" r:id="rIdrjzhqtk5fg0cu0kokyuys">
        <w:r>
          <w:rPr>
            <w:rStyle w:val="Hyperlink"/>
          </w:rPr>
          <w:t xml:space="preserve">[whalermike.github.io]</w:t>
        </w:r>
      </w:hyperlink>
    </w:p>
    <w:p>
      <w:pPr>
        <w:pStyle w:val="ListParagraph"/>
        <w:pStyle w:val="ListParagraph"/>
        <w:numPr>
          <w:ilvl w:val="0"/>
          <w:numId w:val="1"/>
        </w:numPr>
        <w:numPr>
          <w:ilvl w:val="0"/>
          <w:numId w:val="2"/>
        </w:numPr>
      </w:pPr>
      <w:r>
        <w:rPr>
          <w:b/>
          <w:bCs/>
          <w:rStyle w:val="Normal"/>
        </w:rPr>
        <w:t xml:space="preserve">Authentication Performance and Behavior:</w:t>
      </w:r>
      <w:r>
        <w:rPr>
          <w:rStyle w:val="Normal"/>
        </w:rPr>
        <w:t xml:space="preserve"> The narrative doesn’t explicitly delve into performance, but the proposed design is in line with Microsoft’s implementation. By leveraging </w:t>
      </w:r>
      <w:r>
        <w:rPr>
          <w:i/>
          <w:iCs/>
          <w:rStyle w:val="Normal"/>
        </w:rPr>
        <w:t xml:space="preserve">Azure AD tokens and integrated auth flows</w:t>
      </w:r>
      <w:r>
        <w:rPr>
          <w:rStyle w:val="Normal"/>
        </w:rPr>
        <w:t xml:space="preserve">, the expectation is that performance will be similar to Windows Kerberos auth in most cases. Indeed, per Microsoft’s documentation, </w:t>
      </w:r>
      <w:r>
        <w:rPr>
          <w:b/>
          <w:bCs/>
          <w:rStyle w:val="Normal"/>
        </w:rPr>
        <w:t xml:space="preserve">Entra ID (Azure AD) authentication allows multiple methods</w:t>
      </w:r>
      <w:r>
        <w:rPr>
          <w:rStyle w:val="Normal"/>
        </w:rPr>
        <w:t xml:space="preserve"> – including integrated flows for domain-federated credentials, token caching, and </w:t>
      </w:r>
      <w:r>
        <w:rPr>
          <w:b/>
          <w:bCs/>
          <w:rStyle w:val="Normal"/>
        </w:rPr>
        <w:t xml:space="preserve">managed identities</w:t>
      </w:r>
      <w:r>
        <w:rPr>
          <w:rStyle w:val="Normal"/>
        </w:rPr>
        <w:t xml:space="preserve"> – which should alleviate any significant latency for repeated connections. The series’ focus on </w:t>
      </w:r>
      <w:r>
        <w:rPr>
          <w:b/>
          <w:bCs/>
          <w:rStyle w:val="Normal"/>
        </w:rPr>
        <w:t xml:space="preserve">Arc-provided managed identities</w:t>
      </w:r>
      <w:r>
        <w:rPr>
          <w:rStyle w:val="Normal"/>
        </w:rPr>
        <w:t xml:space="preserve"> for SQL’s own service account is especially notable: it ensures the </w:t>
      </w:r>
      <w:r>
        <w:rPr>
          <w:i/>
          <w:iCs/>
          <w:rStyle w:val="Normal"/>
        </w:rPr>
        <w:t xml:space="preserve">SQL Server service</w:t>
      </w:r>
      <w:r>
        <w:rPr>
          <w:rStyle w:val="Normal"/>
        </w:rPr>
        <w:t xml:space="preserve"> (and agent jobs, linked servers, etc.) can authenticate to other resources </w:t>
      </w:r>
      <w:r>
        <w:rPr>
          <w:b/>
          <w:bCs/>
          <w:rStyle w:val="Normal"/>
        </w:rPr>
        <w:t xml:space="preserve">without a local AD account</w:t>
      </w:r>
      <w:r>
        <w:rPr>
          <w:rStyle w:val="Normal"/>
        </w:rPr>
        <w:t xml:space="preserve">. This is a forward-looking solution to a classic DBA concern: how will scheduled jobs, cross-server connections, or integrated processes run when machine accounts and service logins are no longer in AD? The answer given is to use the </w:t>
      </w:r>
      <w:r>
        <w:rPr>
          <w:b/>
          <w:bCs/>
          <w:rStyle w:val="Normal"/>
        </w:rPr>
        <w:t xml:space="preserve">system-assigned managed identity from Azure Arc’s Connected Machine agent</w:t>
      </w:r>
      <w:r>
        <w:rPr>
          <w:rStyle w:val="Normal"/>
        </w:rPr>
        <w:t xml:space="preserve">. This concept is innovative and aligns with Azure’s hybrid best practices – it’s essentially replacing the old AD service account or gMSA with a cloud identity tied to the machine. DBAs will appreciate the transparency of having these </w:t>
      </w:r>
      <w:r>
        <w:rPr>
          <w:i/>
          <w:iCs/>
          <w:rStyle w:val="Normal"/>
        </w:rPr>
        <w:t xml:space="preserve">service authentications also land in Entra ID logs</w:t>
      </w:r>
      <w:r>
        <w:rPr>
          <w:rStyle w:val="Normal"/>
        </w:rPr>
        <w:t xml:space="preserve"> (via OAuth tokens), although guidance on how to manage the managed identity’s permissions in hybrid scenarios could be elaborated (see </w:t>
      </w:r>
      <w:r>
        <w:rPr>
          <w:i/>
          <w:iCs/>
          <w:rStyle w:val="Normal"/>
        </w:rPr>
        <w:t xml:space="preserve">recommendations</w:t>
      </w:r>
      <w:r>
        <w:rPr>
          <w:rStyle w:val="Normal"/>
        </w:rPr>
        <w:t xml:space="preserve"> below). </w:t>
      </w:r>
      <w:hyperlink w:history="1" r:id="rIdfmiz3ryltnextp0v6lhhr">
        <w:r>
          <w:rPr>
            <w:rStyle w:val="Hyperlink"/>
          </w:rPr>
          <w:t xml:space="preserve">[learn.microsoft.com]</w:t>
        </w:r>
      </w:hyperlink>
      <w:r>
        <w:rPr>
          <w:rStyle w:val="Normal"/>
        </w:rPr>
        <w:t xml:space="preserve">, </w:t>
      </w:r>
      <w:hyperlink w:history="1" r:id="rIdk8a31ehaic07zcnytfk-9">
        <w:r>
          <w:rPr>
            <w:rStyle w:val="Hyperlink"/>
          </w:rPr>
          <w:t xml:space="preserve">[learn.microsoft.com]</w:t>
        </w:r>
      </w:hyperlink>
      <w:r>
        <w:rPr>
          <w:rStyle w:val="Normal"/>
        </w:rPr>
        <w:t xml:space="preserve"> </w:t>
      </w:r>
      <w:hyperlink w:history="1" r:id="rIdfquttbbtt0mvphbqoq0eu">
        <w:r>
          <w:rPr>
            <w:rStyle w:val="Hyperlink"/>
          </w:rPr>
          <w:t xml:space="preserve">[whalermike.github.io]</w:t>
        </w:r>
      </w:hyperlink>
      <w:r>
        <w:rPr>
          <w:rStyle w:val="Normal"/>
        </w:rPr>
        <w:t xml:space="preserve"> </w:t>
      </w:r>
      <w:hyperlink w:history="1" r:id="rIdgzs1ig0skytlpfnb33mqv">
        <w:r>
          <w:rPr>
            <w:rStyle w:val="Hyperlink"/>
          </w:rPr>
          <w:t xml:space="preserve">[whalermike.github.io]</w:t>
        </w:r>
      </w:hyperlink>
      <w:r>
        <w:rPr>
          <w:rStyle w:val="Normal"/>
        </w:rPr>
        <w:t xml:space="preserve">, </w:t>
      </w:r>
      <w:hyperlink w:history="1" r:id="rIdacvvenqn4xyz-ht9k39ho">
        <w:r>
          <w:rPr>
            <w:rStyle w:val="Hyperlink"/>
          </w:rPr>
          <w:t xml:space="preserve">[whalermike.github.io]</w:t>
        </w:r>
      </w:hyperlink>
    </w:p>
    <w:p>
      <w:r>
        <w:rPr>
          <w:b/>
          <w:bCs/>
          <w:rStyle w:val="Normal"/>
        </w:rPr>
        <w:t xml:space="preserve">Gaps &amp; Risks:</w:t>
      </w:r>
      <w:r>
        <w:rPr>
          <w:rStyle w:val="Normal"/>
        </w:rPr>
        <w:t xml:space="preserve"> A few potential concerns from the SQL Server/DBA angle:</w:t>
      </w:r>
    </w:p>
    <w:p>
      <w:pPr>
        <w:pStyle w:val="ListParagraph"/>
        <w:pStyle w:val="ListParagraph"/>
        <w:numPr>
          <w:ilvl w:val="0"/>
          <w:numId w:val="1"/>
        </w:numPr>
        <w:numPr>
          <w:ilvl w:val="0"/>
          <w:numId w:val="3"/>
        </w:numPr>
      </w:pPr>
      <w:r>
        <w:rPr>
          <w:b/>
          <w:bCs/>
          <w:rStyle w:val="Normal"/>
        </w:rPr>
        <w:t xml:space="preserve">Failover Clustering Not Addressed:</w:t>
      </w:r>
      <w:r>
        <w:rPr>
          <w:rStyle w:val="Normal"/>
        </w:rPr>
        <w:t xml:space="preserve"> One </w:t>
      </w:r>
      <w:r>
        <w:rPr>
          <w:b/>
          <w:bCs/>
          <w:rStyle w:val="Normal"/>
        </w:rPr>
        <w:t xml:space="preserve">omission</w:t>
      </w:r>
      <w:r>
        <w:rPr>
          <w:rStyle w:val="Normal"/>
        </w:rPr>
        <w:t xml:space="preserve"> is the lack of explicit discussion about </w:t>
      </w:r>
      <w:r>
        <w:rPr>
          <w:b/>
          <w:bCs/>
          <w:rStyle w:val="Normal"/>
        </w:rPr>
        <w:t xml:space="preserve">SQL Server Failover Cluster Instances (FCIs)</w:t>
      </w:r>
      <w:r>
        <w:rPr>
          <w:rStyle w:val="Normal"/>
        </w:rPr>
        <w:t xml:space="preserve">. As of SQL Server 2022, </w:t>
      </w:r>
      <w:r>
        <w:rPr>
          <w:b/>
          <w:bCs/>
          <w:rStyle w:val="Normal"/>
        </w:rPr>
        <w:t xml:space="preserve">Entra ID authentication is </w:t>
      </w:r>
      <w:r>
        <w:rPr>
          <w:b/>
          <w:bCs/>
          <w:i/>
          <w:iCs/>
          <w:rStyle w:val="Normal"/>
        </w:rPr>
        <w:t xml:space="preserve">not</w:t>
      </w:r>
      <w:r>
        <w:rPr>
          <w:b/>
          <w:bCs/>
          <w:rStyle w:val="Normal"/>
        </w:rPr>
        <w:t xml:space="preserve"> supported for FCIs</w:t>
      </w:r>
      <w:r>
        <w:rPr>
          <w:rStyle w:val="Normal"/>
        </w:rPr>
        <w:t xml:space="preserve">, only for standalone instances and Always On Availability Groups (AGs). If an enterprise has critical two-node FCIs (a common HA strategy, especially on older versions), the series should clarify the path for those systems. Options might include converting them to AGs or accepting they must be upgraded to 2022 but remain on Windows Auth until Microsoft supports Entra ID for FCIs. </w:t>
      </w:r>
      <w:r>
        <w:rPr>
          <w:b/>
          <w:bCs/>
          <w:rStyle w:val="Normal"/>
        </w:rPr>
        <w:t xml:space="preserve">Recommendation:</w:t>
      </w:r>
      <w:r>
        <w:rPr>
          <w:rStyle w:val="Normal"/>
        </w:rPr>
        <w:t xml:space="preserve"> Include a note in Book 04 or Book 05 acknowledging the Entra auth limitation with FCIs, and guide readers on alternatives (e.g. migrating to AGs or other HA solutions that support Entra ID, or planning FCI decommission as part of the consolidation phase). </w:t>
      </w:r>
      <w:hyperlink w:history="1" r:id="rIdwglkdmozqjlqq3phguwt_">
        <w:r>
          <w:rPr>
            <w:rStyle w:val="Hyperlink"/>
          </w:rPr>
          <w:t xml:space="preserve">[learn.microsoft.com]</w:t>
        </w:r>
      </w:hyperlink>
    </w:p>
    <w:p>
      <w:pPr>
        <w:pStyle w:val="ListParagraph"/>
        <w:pStyle w:val="ListParagraph"/>
        <w:numPr>
          <w:ilvl w:val="0"/>
          <w:numId w:val="1"/>
        </w:numPr>
        <w:numPr>
          <w:ilvl w:val="0"/>
          <w:numId w:val="3"/>
        </w:numPr>
      </w:pPr>
      <w:r>
        <w:rPr>
          <w:b/>
          <w:bCs/>
          <w:rStyle w:val="Normal"/>
        </w:rPr>
        <w:t xml:space="preserve">Handling of Legacy Features and Applications:</w:t>
      </w:r>
      <w:r>
        <w:rPr>
          <w:rStyle w:val="Normal"/>
        </w:rPr>
        <w:t xml:space="preserve"> The narrative’s technical focus is primarily on the engine and authentication </w:t>
      </w:r>
      <w:r>
        <w:rPr>
          <w:i/>
          <w:iCs/>
          <w:rStyle w:val="Normal"/>
        </w:rPr>
        <w:t xml:space="preserve">itself</w:t>
      </w:r>
      <w:r>
        <w:rPr>
          <w:rStyle w:val="Normal"/>
        </w:rPr>
        <w:t xml:space="preserve">, but DBAs may wonder about </w:t>
      </w:r>
      <w:r>
        <w:rPr>
          <w:b/>
          <w:bCs/>
          <w:rStyle w:val="Normal"/>
        </w:rPr>
        <w:t xml:space="preserve">related features</w:t>
      </w:r>
      <w:r>
        <w:rPr>
          <w:rStyle w:val="Normal"/>
        </w:rPr>
        <w:t xml:space="preserve"> that typically rely on AD accounts or have authentication implications:</w:t>
      </w:r>
    </w:p>
    <w:p>
      <w:pPr>
        <w:pStyle w:val="ListParagraph"/>
        <w:pStyle w:val="ListParagraph"/>
        <w:numPr>
          <w:ilvl w:val="1"/>
          <w:numId w:val="1"/>
        </w:numPr>
        <w:numPr>
          <w:ilvl w:val="1"/>
          <w:numId w:val="3"/>
        </w:numPr>
      </w:pPr>
      <w:r>
        <w:rPr>
          <w:i/>
          <w:iCs/>
          <w:rStyle w:val="Normal"/>
        </w:rPr>
        <w:t xml:space="preserve">SQL Agent jobs and linked servers:</w:t>
      </w:r>
      <w:r>
        <w:rPr>
          <w:rStyle w:val="Normal"/>
        </w:rPr>
        <w:t xml:space="preserve"> The series should assure readers that agent jobs running as proxies or with runas credentials, and linked server connections, will also need updating (</w:t>
      </w:r>
      <w:r>
        <w:rPr>
          <w:b/>
          <w:bCs/>
          <w:rStyle w:val="Normal"/>
        </w:rPr>
        <w:t xml:space="preserve">likely by using the new managed identity or Entra service principals</w:t>
      </w:r>
      <w:r>
        <w:rPr>
          <w:rStyle w:val="Normal"/>
        </w:rPr>
        <w:t xml:space="preserve">) so they don’t break when domain accounts go away. This might be implicit in the service account discussion (via Arc MI) but could be spelled out.</w:t>
      </w:r>
    </w:p>
    <w:p>
      <w:pPr>
        <w:pStyle w:val="ListParagraph"/>
        <w:pStyle w:val="ListParagraph"/>
        <w:numPr>
          <w:ilvl w:val="1"/>
          <w:numId w:val="1"/>
        </w:numPr>
        <w:numPr>
          <w:ilvl w:val="1"/>
          <w:numId w:val="3"/>
        </w:numPr>
      </w:pPr>
      <w:r>
        <w:rPr>
          <w:i/>
          <w:iCs/>
          <w:rStyle w:val="Normal"/>
        </w:rPr>
        <w:t xml:space="preserve">Legacy clients/protocols:</w:t>
      </w:r>
      <w:r>
        <w:rPr>
          <w:rStyle w:val="Normal"/>
        </w:rPr>
        <w:t xml:space="preserve"> Book 06 (NTLM elimination) likely enumerates NTLM-causing scenarios (e.g. missing SPNs, </w:t>
      </w:r>
      <w:r>
        <w:rPr>
          <w:b/>
          <w:bCs/>
          <w:rStyle w:val="Normal"/>
        </w:rPr>
        <w:t xml:space="preserve">Named Pipes forcing NTLM</w:t>
      </w:r>
      <w:r>
        <w:rPr>
          <w:rStyle w:val="Normal"/>
        </w:rPr>
        <w:t xml:space="preserve"> by design, connections by IP, older drivers, double-hop Kerberos issues) – these are touched on in external blogs. While the Implementation Companion presumably has specifics on SPN fixes and GPO settings, the narrative could acknowledge, for example, that </w:t>
      </w:r>
      <w:r>
        <w:rPr>
          <w:b/>
          <w:bCs/>
          <w:rStyle w:val="Normal"/>
        </w:rPr>
        <w:t xml:space="preserve">Named Pipes and local connections always use NTLM</w:t>
      </w:r>
      <w:r>
        <w:rPr>
          <w:rStyle w:val="Normal"/>
        </w:rPr>
        <w:t xml:space="preserve"> – so part of the migration may involve disabling or reconfiguring those where possible (e.g. moving to TCP/IP for local connections, accepting some residual NTLM for local connections which are less security-critical). </w:t>
      </w:r>
      <w:hyperlink w:history="1" r:id="rIducvc6rsig_rp-e3hafqms">
        <w:r>
          <w:rPr>
            <w:rStyle w:val="Hyperlink"/>
          </w:rPr>
          <w:t xml:space="preserve">[sqlfingers.com]</w:t>
        </w:r>
      </w:hyperlink>
      <w:r>
        <w:rPr>
          <w:rStyle w:val="Normal"/>
        </w:rPr>
        <w:t xml:space="preserve">, </w:t>
      </w:r>
      <w:hyperlink w:history="1" r:id="rIduptmafppnbzhr_qt4oqdo">
        <w:r>
          <w:rPr>
            <w:rStyle w:val="Hyperlink"/>
          </w:rPr>
          <w:t xml:space="preserve">[sqlfingers.com]</w:t>
        </w:r>
      </w:hyperlink>
    </w:p>
    <w:p>
      <w:pPr>
        <w:pStyle w:val="ListParagraph"/>
        <w:pStyle w:val="ListParagraph"/>
        <w:numPr>
          <w:ilvl w:val="1"/>
          <w:numId w:val="1"/>
        </w:numPr>
        <w:numPr>
          <w:ilvl w:val="1"/>
          <w:numId w:val="3"/>
        </w:numPr>
      </w:pPr>
      <w:r>
        <w:rPr>
          <w:i/>
          <w:iCs/>
          <w:rStyle w:val="Normal"/>
        </w:rPr>
        <w:t xml:space="preserve">Database replication and mirroring:</w:t>
      </w:r>
      <w:r>
        <w:rPr>
          <w:rStyle w:val="Normal"/>
        </w:rPr>
        <w:t xml:space="preserve"> These are not mentioned, but if used, they often rely on Windows authentication. After Entra transition, replication agents might need reconfiguration (e.g. using certificate-based auth or stored creds). It might be beyond scope, but such details are where DBAs must pay attention. </w:t>
      </w:r>
      <w:r>
        <w:rPr>
          <w:b/>
          <w:bCs/>
          <w:rStyle w:val="Normal"/>
        </w:rPr>
        <w:t xml:space="preserve">Recommendation:</w:t>
      </w:r>
      <w:r>
        <w:rPr>
          <w:rStyle w:val="Normal"/>
        </w:rPr>
        <w:t xml:space="preserve"> Add a brief caution or footnote in Book 06 or Book 09 about reviewing any </w:t>
      </w:r>
      <w:r>
        <w:rPr>
          <w:i/>
          <w:iCs/>
          <w:rStyle w:val="Normal"/>
        </w:rPr>
        <w:t xml:space="preserve">features like replication, clustered deployments, or legacy components (SSRS/SSAS/SSIS)</w:t>
      </w:r>
      <w:r>
        <w:rPr>
          <w:rStyle w:val="Normal"/>
        </w:rPr>
        <w:t xml:space="preserve"> that might use Windows authentication or machine accounts, so that readers know to include those in their remediation plans.</w:t>
      </w:r>
    </w:p>
    <w:p>
      <w:pPr>
        <w:pStyle w:val="ListParagraph"/>
        <w:pStyle w:val="ListParagraph"/>
        <w:numPr>
          <w:ilvl w:val="0"/>
          <w:numId w:val="1"/>
        </w:numPr>
        <w:numPr>
          <w:ilvl w:val="0"/>
          <w:numId w:val="3"/>
        </w:numPr>
      </w:pPr>
      <w:r>
        <w:rPr>
          <w:b/>
          <w:bCs/>
          <w:rStyle w:val="Normal"/>
        </w:rPr>
        <w:t xml:space="preserve">Performance and Testing Considerations:</w:t>
      </w:r>
      <w:r>
        <w:rPr>
          <w:rStyle w:val="Normal"/>
        </w:rPr>
        <w:t xml:space="preserve"> As Entra ID authentication for SQL 2022 is relatively new, </w:t>
      </w:r>
      <w:r>
        <w:rPr>
          <w:b/>
          <w:bCs/>
          <w:rStyle w:val="Normal"/>
        </w:rPr>
        <w:t xml:space="preserve">DBAs may be concerned about performance, reliability, and tooling</w:t>
      </w:r>
      <w:r>
        <w:rPr>
          <w:rStyle w:val="Normal"/>
        </w:rPr>
        <w:t xml:space="preserve">:</w:t>
      </w:r>
    </w:p>
    <w:p>
      <w:pPr>
        <w:pStyle w:val="ListParagraph"/>
        <w:pStyle w:val="ListParagraph"/>
        <w:numPr>
          <w:ilvl w:val="1"/>
          <w:numId w:val="1"/>
        </w:numPr>
        <w:numPr>
          <w:ilvl w:val="1"/>
          <w:numId w:val="3"/>
        </w:numPr>
      </w:pPr>
      <w:r>
        <w:rPr>
          <w:rStyle w:val="Normal"/>
        </w:rPr>
        <w:t xml:space="preserve">The narrative doesn’t mention potential overhead of token validation in SQL Server. Microsoft’s design uses </w:t>
      </w:r>
      <w:r>
        <w:rPr>
          <w:b/>
          <w:bCs/>
          <w:rStyle w:val="Normal"/>
        </w:rPr>
        <w:t xml:space="preserve">asymmetric key cryptography (JWT validation)</w:t>
      </w:r>
      <w:r>
        <w:rPr>
          <w:rStyle w:val="Normal"/>
        </w:rPr>
        <w:t xml:space="preserve"> in the engine to validate Entra tokens. While this is generally efficient, it’s new territory for DBAs. </w:t>
      </w:r>
      <w:r>
        <w:rPr>
          <w:b/>
          <w:bCs/>
          <w:rStyle w:val="Normal"/>
        </w:rPr>
        <w:t xml:space="preserve">Recommendation:</w:t>
      </w:r>
      <w:r>
        <w:rPr>
          <w:rStyle w:val="Normal"/>
        </w:rPr>
        <w:t xml:space="preserve"> Provide reassurance by referencing Microsoft’s guidance that token auth was built with performance in mind, or suggest performance testing during the parallel run phase. </w:t>
      </w:r>
      <w:hyperlink w:history="1" r:id="rId5osnvx2ifzoaxqtdyryol">
        <w:r>
          <w:rPr>
            <w:rStyle w:val="Hyperlink"/>
          </w:rPr>
          <w:t xml:space="preserve">[whalermike.github.io]</w:t>
        </w:r>
      </w:hyperlink>
      <w:r>
        <w:rPr>
          <w:rStyle w:val="Normal"/>
        </w:rPr>
        <w:t xml:space="preserve">, </w:t>
      </w:r>
      <w:hyperlink w:history="1" r:id="rIdmlhg5jxvdn0fcwuqa84od">
        <w:r>
          <w:rPr>
            <w:rStyle w:val="Hyperlink"/>
          </w:rPr>
          <w:t xml:space="preserve">[whalermike.github.io]</w:t>
        </w:r>
      </w:hyperlink>
    </w:p>
    <w:p>
      <w:pPr>
        <w:pStyle w:val="ListParagraph"/>
        <w:pStyle w:val="ListParagraph"/>
        <w:numPr>
          <w:ilvl w:val="1"/>
          <w:numId w:val="1"/>
        </w:numPr>
        <w:numPr>
          <w:ilvl w:val="1"/>
          <w:numId w:val="3"/>
        </w:numPr>
      </w:pPr>
      <w:r>
        <w:rPr>
          <w:rStyle w:val="Normal"/>
        </w:rPr>
        <w:t xml:space="preserve">Additionally, common DBA tools (SSMS, sqlcmd) have been updated for AAD support, but teams must ensure they use updated client drivers (ODBC 18+ / OLE DB 19) that support Azure AD authentication. The narrative might mention as a reminder: </w:t>
      </w:r>
      <w:r>
        <w:rPr>
          <w:i/>
          <w:iCs/>
          <w:rStyle w:val="Normal"/>
        </w:rPr>
        <w:t xml:space="preserve">“Ensure client providers (e.g., ODBC/OLEDB drivers, .NET data providers) are updated for Entra ID compatibility to avoid applications defaulting to legacy NTLM”</w:t>
      </w:r>
      <w:r>
        <w:rPr>
          <w:rStyle w:val="Normal"/>
        </w:rPr>
        <w:t xml:space="preserve"> – though the Implementation guide likely covers this in prerequisites.</w:t>
      </w:r>
    </w:p>
    <w:p>
      <w:pPr>
        <w:pStyle w:val="ListParagraph"/>
        <w:pStyle w:val="ListParagraph"/>
        <w:numPr>
          <w:ilvl w:val="1"/>
          <w:numId w:val="1"/>
        </w:numPr>
        <w:numPr>
          <w:ilvl w:val="1"/>
          <w:numId w:val="3"/>
        </w:numPr>
      </w:pPr>
      <w:r>
        <w:rPr>
          <w:rStyle w:val="Normal"/>
        </w:rPr>
        <w:t xml:space="preserve">The series also doesn’t explicitly describe the </w:t>
      </w:r>
      <w:r>
        <w:rPr>
          <w:b/>
          <w:bCs/>
          <w:rStyle w:val="Normal"/>
        </w:rPr>
        <w:t xml:space="preserve">user experience for DBAs or developers after migration</w:t>
      </w:r>
      <w:r>
        <w:rPr>
          <w:rStyle w:val="Normal"/>
        </w:rPr>
        <w:t xml:space="preserve">. Windows Authentication previously allowed “transparent” SSO to databases; Entra ID will as well, but only if certain conditions are met (such as hybrid AAD join or token caching). Otherwise, DBAs might have to use interactive MFA each time they connect with SSMS. Microsoft’s documentation indicates that if AD is federated with AAD, </w:t>
      </w:r>
      <w:r>
        <w:rPr>
          <w:i/>
          <w:iCs/>
          <w:rStyle w:val="Normal"/>
        </w:rPr>
        <w:t xml:space="preserve">Integrated</w:t>
      </w:r>
      <w:r>
        <w:rPr>
          <w:rStyle w:val="Normal"/>
        </w:rPr>
        <w:t xml:space="preserve"> auth method can obtain an Entra token using Windows credentials, preserving a seamless experience. If the agency fully eliminates AD domain join, then likely user workstations must be </w:t>
      </w:r>
      <w:r>
        <w:rPr>
          <w:b/>
          <w:bCs/>
          <w:rStyle w:val="Normal"/>
        </w:rPr>
        <w:t xml:space="preserve">Azure AD–joined</w:t>
      </w:r>
      <w:r>
        <w:rPr>
          <w:rStyle w:val="Normal"/>
        </w:rPr>
        <w:t xml:space="preserve"> to get a similar SSO experience. </w:t>
      </w:r>
      <w:r>
        <w:rPr>
          <w:b/>
          <w:bCs/>
          <w:rStyle w:val="Normal"/>
        </w:rPr>
        <w:t xml:space="preserve">Recommendation:</w:t>
      </w:r>
      <w:r>
        <w:rPr>
          <w:rStyle w:val="Normal"/>
        </w:rPr>
        <w:t xml:space="preserve"> The narrative could address how </w:t>
      </w:r>
      <w:r>
        <w:rPr>
          <w:b/>
          <w:bCs/>
          <w:rStyle w:val="Normal"/>
        </w:rPr>
        <w:t xml:space="preserve">DBA and application connectivity is handled post-migration</w:t>
      </w:r>
      <w:r>
        <w:rPr>
          <w:rStyle w:val="Normal"/>
        </w:rPr>
        <w:t xml:space="preserve"> – e.g. encouraging use of Azure AD “integrated” auth mode or managed identities for services to avoid password prompts, and the need to Azure AD-join or hybrid-join client machines for seamless Kerberos-to-token transitions. </w:t>
      </w:r>
      <w:hyperlink w:history="1" r:id="rIdix8by9sz2crtp_yzzdrsg">
        <w:r>
          <w:rPr>
            <w:rStyle w:val="Hyperlink"/>
          </w:rPr>
          <w:t xml:space="preserve">[learn.microsoft.com]</w:t>
        </w:r>
      </w:hyperlink>
      <w:r>
        <w:rPr>
          <w:rStyle w:val="Normal"/>
        </w:rPr>
        <w:t xml:space="preserve">, </w:t>
      </w:r>
      <w:hyperlink w:history="1" r:id="rId6h2pnjxgs6swbgelgr7n3">
        <w:r>
          <w:rPr>
            <w:rStyle w:val="Hyperlink"/>
          </w:rPr>
          <w:t xml:space="preserve">[learn.microsoft.com]</w:t>
        </w:r>
      </w:hyperlink>
      <w:r>
        <w:rPr>
          <w:rStyle w:val="Normal"/>
        </w:rPr>
        <w:t xml:space="preserve"> </w:t>
      </w:r>
      <w:hyperlink w:history="1" r:id="rIdfqzax5jrmcbouonyeidmy">
        <w:r>
          <w:rPr>
            <w:rStyle w:val="Hyperlink"/>
          </w:rPr>
          <w:t xml:space="preserve">[learn.microsoft.com]</w:t>
        </w:r>
      </w:hyperlink>
    </w:p>
    <w:p>
      <w:pPr>
        <w:pStyle w:val="ListParagraph"/>
        <w:pStyle w:val="ListParagraph"/>
        <w:numPr>
          <w:ilvl w:val="0"/>
          <w:numId w:val="1"/>
        </w:numPr>
        <w:numPr>
          <w:ilvl w:val="0"/>
          <w:numId w:val="3"/>
        </w:numPr>
      </w:pPr>
      <w:r>
        <w:rPr>
          <w:b/>
          <w:bCs/>
          <w:rStyle w:val="Normal"/>
        </w:rPr>
        <w:t xml:space="preserve">Break-glass Access:</w:t>
      </w:r>
      <w:r>
        <w:rPr>
          <w:rStyle w:val="Normal"/>
        </w:rPr>
        <w:t xml:space="preserve"> The plan to eliminate local SQL accounts (including </w:t>
      </w:r>
      <w:r>
        <w:rPr>
          <w:rStyle w:val="Quote"/>
        </w:rPr>
        <w:t xml:space="preserve">sa</w:t>
      </w:r>
      <w:r>
        <w:rPr>
          <w:rStyle w:val="Normal"/>
        </w:rPr>
        <w:t xml:space="preserve">) may raise </w:t>
      </w:r>
      <w:r>
        <w:rPr>
          <w:b/>
          <w:bCs/>
          <w:rStyle w:val="Normal"/>
        </w:rPr>
        <w:t xml:space="preserve">concerns about emergency access</w:t>
      </w:r>
      <w:r>
        <w:rPr>
          <w:rStyle w:val="Normal"/>
        </w:rPr>
        <w:t xml:space="preserve"> if cloud authentication is unavailable (e.g., an Azure outage or network issue). The narrative does mention that </w:t>
      </w:r>
      <w:r>
        <w:rPr>
          <w:rStyle w:val="Quote"/>
        </w:rPr>
        <w:t xml:space="preserve">sa</w:t>
      </w:r>
      <w:r>
        <w:rPr>
          <w:rStyle w:val="Normal"/>
        </w:rPr>
        <w:t xml:space="preserve"> (and presumably other SQL logins) will be disabled and renamed, not deleted. It further states that if an </w:t>
      </w:r>
      <w:r>
        <w:rPr>
          <w:i/>
          <w:iCs/>
          <w:rStyle w:val="Normal"/>
        </w:rPr>
        <w:t xml:space="preserve">“emergency-access recovery”</w:t>
      </w:r>
      <w:r>
        <w:rPr>
          <w:rStyle w:val="Normal"/>
        </w:rPr>
        <w:t xml:space="preserve"> account is retained, it must be documented as a break-glass procedure with monitoring. This is a sound approach – similar to Microsoft’s guidance of having </w:t>
      </w:r>
      <w:r>
        <w:rPr>
          <w:b/>
          <w:bCs/>
          <w:rStyle w:val="Normal"/>
        </w:rPr>
        <w:t xml:space="preserve">one emergency admin account</w:t>
      </w:r>
      <w:r>
        <w:rPr>
          <w:rStyle w:val="Normal"/>
        </w:rPr>
        <w:t xml:space="preserve"> that is cloud-isolated. </w:t>
      </w:r>
      <w:r>
        <w:rPr>
          <w:b/>
          <w:bCs/>
          <w:rStyle w:val="Normal"/>
        </w:rPr>
        <w:t xml:space="preserve">Recommendation:</w:t>
      </w:r>
      <w:r>
        <w:rPr>
          <w:rStyle w:val="Normal"/>
        </w:rPr>
        <w:t xml:space="preserve"> Provide a bit more explicit guidance on how to handle break-glass accounts for SQL Server in a purely Entra ID world. For example, clarify whether an offline admin could re-enable </w:t>
      </w:r>
      <w:r>
        <w:rPr>
          <w:rStyle w:val="Quote"/>
        </w:rPr>
        <w:t xml:space="preserve">sa</w:t>
      </w:r>
      <w:r>
        <w:rPr>
          <w:rStyle w:val="Normal"/>
        </w:rPr>
        <w:t xml:space="preserve"> (with a strong rotated password stored in a vault) or if the organization should </w:t>
      </w:r>
      <w:r>
        <w:rPr>
          <w:b/>
          <w:bCs/>
          <w:rStyle w:val="Normal"/>
        </w:rPr>
        <w:t xml:space="preserve">keep a secondary AD (or AAD DS) running</w:t>
      </w:r>
      <w:r>
        <w:rPr>
          <w:rStyle w:val="Normal"/>
        </w:rPr>
        <w:t xml:space="preserve"> for emergency use. While too much detail might be beyond scope, acknowledging the inherent risk of </w:t>
      </w:r>
      <w:r>
        <w:rPr>
          <w:i/>
          <w:iCs/>
          <w:rStyle w:val="Normal"/>
        </w:rPr>
        <w:t xml:space="preserve">having no on-prem fallback authentication</w:t>
      </w:r>
      <w:r>
        <w:rPr>
          <w:rStyle w:val="Normal"/>
        </w:rPr>
        <w:t xml:space="preserve"> and pointing to contingency planning would strengthen the DBA’s comfort level. </w:t>
      </w:r>
      <w:hyperlink w:history="1" r:id="rIdxfjbvwgmrrtymo-ntvmyv">
        <w:r>
          <w:rPr>
            <w:rStyle w:val="Hyperlink"/>
          </w:rPr>
          <w:t xml:space="preserve">[whalermike.github.io]</w:t>
        </w:r>
      </w:hyperlink>
    </w:p>
    <w:p>
      <w:pPr>
        <w:pStyle w:val="Heading2"/>
      </w:pPr>
      <w:r>
        <w:rPr>
          <w:rStyle w:val="Normal"/>
        </w:rPr>
        <w:t xml:space="preserve">2. </w:t>
      </w:r>
      <w:r>
        <w:rPr>
          <w:b/>
          <w:bCs/>
          <w:rStyle w:val="Normal"/>
        </w:rPr>
        <w:t xml:space="preserve">Identity &amp; Security Architecture Perspective</w:t>
      </w:r>
    </w:p>
    <w:p>
      <w:r>
        <w:rPr>
          <w:b/>
          <w:bCs/>
          <w:rStyle w:val="Normal"/>
        </w:rPr>
        <w:t xml:space="preserve">Strengths:</w:t>
      </w:r>
      <w:r>
        <w:rPr>
          <w:rStyle w:val="Normal"/>
        </w:rPr>
        <w:t xml:space="preserve"> From an identity and security design standpoint, the series is strongly aligned with modern Microsoft recommendations and zero-trust principles:</w:t>
      </w:r>
    </w:p>
    <w:p>
      <w:pPr>
        <w:pStyle w:val="ListParagraph"/>
        <w:pStyle w:val="ListParagraph"/>
        <w:numPr>
          <w:ilvl w:val="0"/>
          <w:numId w:val="1"/>
        </w:numPr>
        <w:numPr>
          <w:ilvl w:val="0"/>
          <w:numId w:val="4"/>
        </w:numPr>
      </w:pPr>
      <w:r>
        <w:rPr>
          <w:b/>
          <w:bCs/>
          <w:rStyle w:val="Normal"/>
        </w:rPr>
        <w:t xml:space="preserve">Modern Authentication &amp; Zero Trust Alignment:</w:t>
      </w:r>
      <w:r>
        <w:rPr>
          <w:rStyle w:val="Normal"/>
        </w:rPr>
        <w:t xml:space="preserve"> The core premise is to shift the entire SQL Server </w:t>
      </w:r>
      <w:r>
        <w:rPr>
          <w:b/>
          <w:bCs/>
          <w:rStyle w:val="Normal"/>
        </w:rPr>
        <w:t xml:space="preserve">“identity plane” to Microsoft Entra ID</w:t>
      </w:r>
      <w:r>
        <w:rPr>
          <w:rStyle w:val="Normal"/>
        </w:rPr>
        <w:t xml:space="preserve">, enforcing </w:t>
      </w:r>
      <w:r>
        <w:rPr>
          <w:b/>
          <w:bCs/>
          <w:rStyle w:val="Normal"/>
        </w:rPr>
        <w:t xml:space="preserve">OAuth 2.0 token-based authentication</w:t>
      </w:r>
      <w:r>
        <w:rPr>
          <w:rStyle w:val="Normal"/>
        </w:rPr>
        <w:t xml:space="preserve"> for </w:t>
      </w:r>
      <w:r>
        <w:rPr>
          <w:i/>
          <w:iCs/>
          <w:rStyle w:val="Normal"/>
        </w:rPr>
        <w:t xml:space="preserve">all human and service accounts</w:t>
      </w:r>
      <w:r>
        <w:rPr>
          <w:rStyle w:val="Normal"/>
        </w:rPr>
        <w:t xml:space="preserve"> on SQL Server. This directly supports critical security practices: using centrally managed cloud identities, enforcing </w:t>
      </w:r>
      <w:r>
        <w:rPr>
          <w:b/>
          <w:bCs/>
          <w:rStyle w:val="Normal"/>
        </w:rPr>
        <w:t xml:space="preserve">Multi-Factor Authentication (MFA)</w:t>
      </w:r>
      <w:r>
        <w:rPr>
          <w:rStyle w:val="Normal"/>
        </w:rPr>
        <w:t xml:space="preserve"> and </w:t>
      </w:r>
      <w:r>
        <w:rPr>
          <w:b/>
          <w:bCs/>
          <w:rStyle w:val="Normal"/>
        </w:rPr>
        <w:t xml:space="preserve">Conditional Access (CA)</w:t>
      </w:r>
      <w:r>
        <w:rPr>
          <w:rStyle w:val="Normal"/>
        </w:rPr>
        <w:t xml:space="preserve"> policies on DB access, and eliminating credentials that are invisible to cloud security tools. The narrative correctly notes that </w:t>
      </w:r>
      <w:r>
        <w:rPr>
          <w:b/>
          <w:bCs/>
          <w:rStyle w:val="Normal"/>
        </w:rPr>
        <w:t xml:space="preserve">NTLM and SQL logins cannot be evaluated by Azure AD’s Conditional Access or modern identity protection</w:t>
      </w:r>
      <w:r>
        <w:rPr>
          <w:rStyle w:val="Normal"/>
        </w:rPr>
        <w:t xml:space="preserve"> – a severe limitation in a zero-trust model. By moving to Entra ID, </w:t>
      </w:r>
      <w:r>
        <w:rPr>
          <w:b/>
          <w:bCs/>
          <w:rStyle w:val="Normal"/>
        </w:rPr>
        <w:t xml:space="preserve">every login attempt to SQL can generate an auditable event in Entra ID/Defender for Identity</w:t>
      </w:r>
      <w:r>
        <w:rPr>
          <w:rStyle w:val="Normal"/>
        </w:rPr>
        <w:t xml:space="preserve"> and be subject to risk analysis (e.g. impossible travel, device compliance, etc.). This is a huge security improvement and is explicitly highlighted in the series as a motivation for change. The plan also accounts for </w:t>
      </w:r>
      <w:r>
        <w:rPr>
          <w:b/>
          <w:bCs/>
          <w:rStyle w:val="Normal"/>
        </w:rPr>
        <w:t xml:space="preserve">Managed identities for automation</w:t>
      </w:r>
      <w:r>
        <w:rPr>
          <w:rStyle w:val="Normal"/>
        </w:rPr>
        <w:t xml:space="preserve"> (via Arc) and </w:t>
      </w:r>
      <w:r>
        <w:rPr>
          <w:b/>
          <w:bCs/>
          <w:rStyle w:val="Normal"/>
        </w:rPr>
        <w:t xml:space="preserve">service principal logins</w:t>
      </w:r>
      <w:r>
        <w:rPr>
          <w:rStyle w:val="Normal"/>
        </w:rPr>
        <w:t xml:space="preserve"> for non-human access, ensuring even </w:t>
      </w:r>
      <w:r>
        <w:rPr>
          <w:i/>
          <w:iCs/>
          <w:rStyle w:val="Normal"/>
        </w:rPr>
        <w:t xml:space="preserve">applications</w:t>
      </w:r>
      <w:r>
        <w:rPr>
          <w:rStyle w:val="Normal"/>
        </w:rPr>
        <w:t xml:space="preserve"> and jobs use robust identities instead of shared passwords. This comprehensive identity coverage is a standout strength. </w:t>
      </w:r>
      <w:hyperlink w:history="1" r:id="rIdjlfggezctq81yaqf79jhj">
        <w:r>
          <w:rPr>
            <w:rStyle w:val="Hyperlink"/>
          </w:rPr>
          <w:t xml:space="preserve">[whalermike.github.io]</w:t>
        </w:r>
      </w:hyperlink>
      <w:r>
        <w:rPr>
          <w:rStyle w:val="Normal"/>
        </w:rPr>
        <w:t xml:space="preserve">, </w:t>
      </w:r>
      <w:hyperlink w:history="1" r:id="rIdwb3ao4w_-hcmhznunpxra">
        <w:r>
          <w:rPr>
            <w:rStyle w:val="Hyperlink"/>
          </w:rPr>
          <w:t xml:space="preserve">[whalermike.github.io]</w:t>
        </w:r>
      </w:hyperlink>
      <w:r>
        <w:rPr>
          <w:rStyle w:val="Normal"/>
        </w:rPr>
        <w:t xml:space="preserve"> </w:t>
      </w:r>
      <w:hyperlink w:history="1" r:id="rIdyzi9vkooc9rzdf1zljc-1">
        <w:r>
          <w:rPr>
            <w:rStyle w:val="Hyperlink"/>
          </w:rPr>
          <w:t xml:space="preserve">[whalermike.github.io]</w:t>
        </w:r>
      </w:hyperlink>
      <w:r>
        <w:rPr>
          <w:rStyle w:val="Normal"/>
        </w:rPr>
        <w:t xml:space="preserve">, </w:t>
      </w:r>
      <w:hyperlink w:history="1" r:id="rIdyo8avumgmlu0mvgyeqj4d">
        <w:r>
          <w:rPr>
            <w:rStyle w:val="Hyperlink"/>
          </w:rPr>
          <w:t xml:space="preserve">[whalermike.github.io]</w:t>
        </w:r>
      </w:hyperlink>
      <w:r>
        <w:rPr>
          <w:rStyle w:val="Normal"/>
        </w:rPr>
        <w:t xml:space="preserve"> </w:t>
      </w:r>
      <w:hyperlink w:history="1" r:id="rIdvyv-dx3jlrbube_g8pf3e">
        <w:r>
          <w:rPr>
            <w:rStyle w:val="Hyperlink"/>
          </w:rPr>
          <w:t xml:space="preserve">[whalermike.github.io]</w:t>
        </w:r>
      </w:hyperlink>
      <w:r>
        <w:rPr>
          <w:rStyle w:val="Normal"/>
        </w:rPr>
        <w:t xml:space="preserve">, </w:t>
      </w:r>
      <w:hyperlink w:history="1" r:id="rIdcf0dmyeyhsupks_-so6wj">
        <w:r>
          <w:rPr>
            <w:rStyle w:val="Hyperlink"/>
          </w:rPr>
          <w:t xml:space="preserve">[whalermike.github.io]</w:t>
        </w:r>
      </w:hyperlink>
      <w:r>
        <w:rPr>
          <w:rStyle w:val="Normal"/>
        </w:rPr>
        <w:t xml:space="preserve"> </w:t>
      </w:r>
      <w:hyperlink w:history="1" r:id="rIdrcg3nfjip7ztodwjqcifa">
        <w:r>
          <w:rPr>
            <w:rStyle w:val="Hyperlink"/>
          </w:rPr>
          <w:t xml:space="preserve">[whalermike.github.io]</w:t>
        </w:r>
      </w:hyperlink>
      <w:r>
        <w:rPr>
          <w:rStyle w:val="Normal"/>
        </w:rPr>
        <w:t xml:space="preserve">, </w:t>
      </w:r>
      <w:hyperlink w:history="1" r:id="rIdyodtkywjithre1o4uehf-">
        <w:r>
          <w:rPr>
            <w:rStyle w:val="Hyperlink"/>
          </w:rPr>
          <w:t xml:space="preserve">[whalermike.github.io]</w:t>
        </w:r>
      </w:hyperlink>
    </w:p>
    <w:p>
      <w:pPr>
        <w:pStyle w:val="ListParagraph"/>
        <w:pStyle w:val="ListParagraph"/>
        <w:numPr>
          <w:ilvl w:val="0"/>
          <w:numId w:val="1"/>
        </w:numPr>
        <w:numPr>
          <w:ilvl w:val="0"/>
          <w:numId w:val="4"/>
        </w:numPr>
      </w:pPr>
      <w:r>
        <w:rPr>
          <w:b/>
          <w:bCs/>
          <w:rStyle w:val="Normal"/>
        </w:rPr>
        <w:t xml:space="preserve">Integration with Microsoft Guidance and Tooling:</w:t>
      </w:r>
      <w:r>
        <w:rPr>
          <w:rStyle w:val="Normal"/>
        </w:rPr>
        <w:t xml:space="preserve"> The series doesn’t propose a “fantasy” solution – it builds on Microsoft’s own features and timelines:</w:t>
      </w:r>
    </w:p>
    <w:p>
      <w:pPr>
        <w:pStyle w:val="ListParagraph"/>
        <w:pStyle w:val="ListParagraph"/>
        <w:numPr>
          <w:ilvl w:val="1"/>
          <w:numId w:val="1"/>
        </w:numPr>
        <w:numPr>
          <w:ilvl w:val="1"/>
          <w:numId w:val="4"/>
        </w:numPr>
      </w:pPr>
      <w:r>
        <w:rPr>
          <w:rStyle w:val="Normal"/>
        </w:rPr>
        <w:t xml:space="preserve">It references </w:t>
      </w:r>
      <w:r>
        <w:rPr>
          <w:b/>
          <w:bCs/>
          <w:rStyle w:val="Normal"/>
        </w:rPr>
        <w:t xml:space="preserve">ADR-068 (Kerberos/NTLM elimination)</w:t>
      </w:r>
      <w:r>
        <w:rPr>
          <w:rStyle w:val="Normal"/>
        </w:rPr>
        <w:t xml:space="preserve"> and outlines a phased approach consistent with Microsoft’s </w:t>
      </w:r>
      <w:r>
        <w:rPr>
          <w:b/>
          <w:bCs/>
          <w:rStyle w:val="Normal"/>
        </w:rPr>
        <w:t xml:space="preserve">NTLM deprecation roadmap</w:t>
      </w:r>
      <w:r>
        <w:rPr>
          <w:rStyle w:val="Normal"/>
        </w:rPr>
        <w:t xml:space="preserve"> (Phase 1: audit improvements in new Windows versions, Phase 2: NTLMv1 disabled by default in late 2026, Phase 3: eventually disable NTLM entirely). The narrative’s target of </w:t>
      </w:r>
      <w:r>
        <w:rPr>
          <w:b/>
          <w:bCs/>
          <w:rStyle w:val="Normal"/>
        </w:rPr>
        <w:t xml:space="preserve">April 1, 2027 as a network-wide NTLM “backstop”</w:t>
      </w:r>
      <w:r>
        <w:rPr>
          <w:rStyle w:val="Normal"/>
        </w:rPr>
        <w:t xml:space="preserve"> fits with Microsoft’s announced plan to disable NTLM by the next major Windows Server release (expected around 2027). By anticipating this, the series is ensuring the organization isn’t caught off-guard by Microsoft’s “Kerberos-only” future. </w:t>
      </w:r>
      <w:hyperlink w:history="1" r:id="rIda9qkmjeb_3wxvfogtn9jb">
        <w:r>
          <w:rPr>
            <w:rStyle w:val="Hyperlink"/>
          </w:rPr>
          <w:t xml:space="preserve">[sqlfingers.com]</w:t>
        </w:r>
      </w:hyperlink>
      <w:r>
        <w:rPr>
          <w:rStyle w:val="Normal"/>
        </w:rPr>
        <w:t xml:space="preserve"> </w:t>
      </w:r>
      <w:hyperlink w:history="1" r:id="rIdoqfdsgu1wzha5t_n1q9xn">
        <w:r>
          <w:rPr>
            <w:rStyle w:val="Hyperlink"/>
          </w:rPr>
          <w:t xml:space="preserve">[whalermike.github.io]</w:t>
        </w:r>
      </w:hyperlink>
      <w:r>
        <w:rPr>
          <w:rStyle w:val="Normal"/>
        </w:rPr>
        <w:t xml:space="preserve">, </w:t>
      </w:r>
      <w:hyperlink w:history="1" r:id="rIdhpyglgcdd9p75mgadv5lq">
        <w:r>
          <w:rPr>
            <w:rStyle w:val="Hyperlink"/>
          </w:rPr>
          <w:t xml:space="preserve">[whalermike.github.io]</w:t>
        </w:r>
      </w:hyperlink>
      <w:r>
        <w:rPr>
          <w:rStyle w:val="Normal"/>
        </w:rPr>
        <w:t xml:space="preserve"> </w:t>
      </w:r>
      <w:hyperlink w:history="1" r:id="rIdir33c7qfnewqxwsvy2cy-">
        <w:r>
          <w:rPr>
            <w:rStyle w:val="Hyperlink"/>
          </w:rPr>
          <w:t xml:space="preserve">[sqlfingers.com]</w:t>
        </w:r>
      </w:hyperlink>
      <w:r>
        <w:rPr>
          <w:rStyle w:val="Normal"/>
        </w:rPr>
        <w:t xml:space="preserve">, </w:t>
      </w:r>
      <w:hyperlink w:history="1" r:id="rIdsiku0fej1hqcd-aalihpb">
        <w:r>
          <w:rPr>
            <w:rStyle w:val="Hyperlink"/>
          </w:rPr>
          <w:t xml:space="preserve">[sqlfingers.com]</w:t>
        </w:r>
      </w:hyperlink>
    </w:p>
    <w:p>
      <w:pPr>
        <w:pStyle w:val="ListParagraph"/>
        <w:pStyle w:val="ListParagraph"/>
        <w:numPr>
          <w:ilvl w:val="1"/>
          <w:numId w:val="1"/>
        </w:numPr>
        <w:numPr>
          <w:ilvl w:val="1"/>
          <w:numId w:val="4"/>
        </w:numPr>
      </w:pPr>
      <w:r>
        <w:rPr>
          <w:rStyle w:val="Normal"/>
        </w:rPr>
        <w:t xml:space="preserve">It also leverages </w:t>
      </w:r>
      <w:r>
        <w:rPr>
          <w:b/>
          <w:bCs/>
          <w:rStyle w:val="Normal"/>
        </w:rPr>
        <w:t xml:space="preserve">Azure Arc for enabling Azure AD authentication</w:t>
      </w:r>
      <w:r>
        <w:rPr>
          <w:rStyle w:val="Normal"/>
        </w:rPr>
        <w:t xml:space="preserve"> on SQL 2022. This is exactly the path Microsoft envisages: official documentation states that to use Entra ID with on-prem SQL, you </w:t>
      </w:r>
      <w:r>
        <w:rPr>
          <w:b/>
          <w:bCs/>
          <w:rStyle w:val="Normal"/>
        </w:rPr>
        <w:t xml:space="preserve">install the Azure Arc agent and the Azure SQL extension on the host</w:t>
      </w:r>
      <w:r>
        <w:rPr>
          <w:rStyle w:val="Normal"/>
        </w:rPr>
        <w:t xml:space="preserve"> (for Azure VMs, the analogous SQL IaaS Agent is used). The narrative’s stance that “Without Arc, the SQL engine has no cloud identity and cannot accept Entra tokens” is largely true in practice. (There </w:t>
      </w:r>
      <w:r>
        <w:rPr>
          <w:i/>
          <w:iCs/>
          <w:rStyle w:val="Normal"/>
        </w:rPr>
        <w:t xml:space="preserve">is</w:t>
      </w:r>
      <w:r>
        <w:rPr>
          <w:rStyle w:val="Normal"/>
        </w:rPr>
        <w:t xml:space="preserve"> a manual AAD setup method without Arc on Windows Server 2022 for </w:t>
      </w:r>
      <w:r>
        <w:rPr>
          <w:b/>
          <w:bCs/>
          <w:rStyle w:val="Normal"/>
        </w:rPr>
        <w:t xml:space="preserve">demo or dev</w:t>
      </w:r>
      <w:r>
        <w:rPr>
          <w:rStyle w:val="Normal"/>
        </w:rPr>
        <w:t xml:space="preserve"> purposes, involving certificate trust and app registrations, but it’s complex and not intended for broad enterprise use. Requiring Arc is a fair trade-off given Arc’s other benefits like inventory and governance.) </w:t>
      </w:r>
      <w:hyperlink w:history="1" r:id="rIdzbzexhrvcjfsu5snoxd6t">
        <w:r>
          <w:rPr>
            <w:rStyle w:val="Hyperlink"/>
          </w:rPr>
          <w:t xml:space="preserve">[learn.microsoft.com]</w:t>
        </w:r>
      </w:hyperlink>
      <w:r>
        <w:rPr>
          <w:rStyle w:val="Normal"/>
        </w:rPr>
        <w:t xml:space="preserve"> </w:t>
      </w:r>
      <w:hyperlink w:history="1" r:id="rIdxvxrsvmveiil4ewudopmg">
        <w:r>
          <w:rPr>
            <w:rStyle w:val="Hyperlink"/>
          </w:rPr>
          <w:t xml:space="preserve">[whalermike.github.io]</w:t>
        </w:r>
      </w:hyperlink>
    </w:p>
    <w:p>
      <w:pPr>
        <w:pStyle w:val="ListParagraph"/>
        <w:pStyle w:val="ListParagraph"/>
        <w:numPr>
          <w:ilvl w:val="1"/>
          <w:numId w:val="1"/>
        </w:numPr>
        <w:numPr>
          <w:ilvl w:val="1"/>
          <w:numId w:val="4"/>
        </w:numPr>
      </w:pPr>
      <w:r>
        <w:rPr>
          <w:rStyle w:val="Normal"/>
        </w:rPr>
        <w:t xml:space="preserve">The reliance on </w:t>
      </w:r>
      <w:r>
        <w:rPr>
          <w:b/>
          <w:bCs/>
          <w:rStyle w:val="Normal"/>
        </w:rPr>
        <w:t xml:space="preserve">Arc’s managed identity</w:t>
      </w:r>
      <w:r>
        <w:rPr>
          <w:rStyle w:val="Normal"/>
        </w:rPr>
        <w:t xml:space="preserve"> to replace AD machine accounts and gMSAs is directly supported by Azure’s design (Arc provides a </w:t>
      </w:r>
      <w:r>
        <w:rPr>
          <w:b/>
          <w:bCs/>
          <w:rStyle w:val="Normal"/>
        </w:rPr>
        <w:t xml:space="preserve">managed identity (MI)</w:t>
      </w:r>
      <w:r>
        <w:rPr>
          <w:rStyle w:val="Normal"/>
        </w:rPr>
        <w:t xml:space="preserve"> for the server in Azure AD, which the SQL extension uses for cloud features). This plan addresses a common gap in lift-and-shift scenarios: when domain accounts vanish, scheduled tasks and cross-server access break. Using the Arc-provided MI (or converting to </w:t>
      </w:r>
      <w:r>
        <w:rPr>
          <w:b/>
          <w:bCs/>
          <w:rStyle w:val="Normal"/>
        </w:rPr>
        <w:t xml:space="preserve">Entra service principals</w:t>
      </w:r>
      <w:r>
        <w:rPr>
          <w:rStyle w:val="Normal"/>
        </w:rPr>
        <w:t xml:space="preserve"> for specific services) is aligned with Azure’s best practices for service identity management. </w:t>
      </w:r>
      <w:hyperlink w:history="1" r:id="rIddf0aqalz9dkf9lx365ule">
        <w:r>
          <w:rPr>
            <w:rStyle w:val="Hyperlink"/>
          </w:rPr>
          <w:t xml:space="preserve">[whalermike.github.io]</w:t>
        </w:r>
      </w:hyperlink>
      <w:r>
        <w:rPr>
          <w:rStyle w:val="Normal"/>
        </w:rPr>
        <w:t xml:space="preserve">, </w:t>
      </w:r>
      <w:hyperlink w:history="1" r:id="rIdwr9g-bosmrt64lofo0p17">
        <w:r>
          <w:rPr>
            <w:rStyle w:val="Hyperlink"/>
          </w:rPr>
          <w:t xml:space="preserve">[whalermike.github.io]</w:t>
        </w:r>
      </w:hyperlink>
    </w:p>
    <w:p>
      <w:pPr>
        <w:pStyle w:val="ListParagraph"/>
        <w:pStyle w:val="ListParagraph"/>
        <w:numPr>
          <w:ilvl w:val="1"/>
          <w:numId w:val="1"/>
        </w:numPr>
        <w:numPr>
          <w:ilvl w:val="1"/>
          <w:numId w:val="4"/>
        </w:numPr>
      </w:pPr>
      <w:r>
        <w:rPr>
          <w:rStyle w:val="Normal"/>
        </w:rPr>
        <w:t xml:space="preserve">The series also integrates </w:t>
      </w:r>
      <w:r>
        <w:rPr>
          <w:b/>
          <w:bCs/>
          <w:rStyle w:val="Normal"/>
        </w:rPr>
        <w:t xml:space="preserve">Microsoft’s own tooling</w:t>
      </w:r>
      <w:r>
        <w:rPr>
          <w:rStyle w:val="Normal"/>
        </w:rPr>
        <w:t xml:space="preserve"> and guidance: e.g., using </w:t>
      </w:r>
      <w:r>
        <w:rPr>
          <w:i/>
          <w:iCs/>
          <w:rStyle w:val="Normal"/>
        </w:rPr>
        <w:t xml:space="preserve">Get-SQLServerAuthAudit.ps1 (Spec3-D1.8)</w:t>
      </w:r>
      <w:r>
        <w:rPr>
          <w:rStyle w:val="Normal"/>
        </w:rPr>
        <w:t xml:space="preserve"> to capture the baseline of logins, SPNs, auth types, etc., and referencing </w:t>
      </w:r>
      <w:r>
        <w:rPr>
          <w:b/>
          <w:bCs/>
          <w:rStyle w:val="Normal"/>
        </w:rPr>
        <w:t xml:space="preserve">Azure Migrate, Data Migration Assistant (DMA)</w:t>
      </w:r>
      <w:r>
        <w:rPr>
          <w:rStyle w:val="Normal"/>
        </w:rPr>
        <w:t xml:space="preserve">, </w:t>
      </w:r>
      <w:r>
        <w:rPr>
          <w:b/>
          <w:bCs/>
          <w:rStyle w:val="Normal"/>
        </w:rPr>
        <w:t xml:space="preserve">Defender for SQL</w:t>
      </w:r>
      <w:r>
        <w:rPr>
          <w:rStyle w:val="Normal"/>
        </w:rPr>
        <w:t xml:space="preserve">, and other official tools for various phases. This not only boosts credibility but ensures the recommendations are actionable with known Microsoft tools. </w:t>
      </w:r>
      <w:hyperlink w:history="1" r:id="rId29feq4qiykkb5gviw3xtx">
        <w:r>
          <w:rPr>
            <w:rStyle w:val="Hyperlink"/>
          </w:rPr>
          <w:t xml:space="preserve">[whalermike.github.io]</w:t>
        </w:r>
      </w:hyperlink>
      <w:r>
        <w:rPr>
          <w:rStyle w:val="Normal"/>
        </w:rPr>
        <w:t xml:space="preserve"> </w:t>
      </w:r>
      <w:hyperlink w:history="1" r:id="rIdlmjwwlpggdd54sn1yz_p6">
        <w:r>
          <w:rPr>
            <w:rStyle w:val="Hyperlink"/>
          </w:rPr>
          <w:t xml:space="preserve">[whalermike.github.io]</w:t>
        </w:r>
      </w:hyperlink>
      <w:r>
        <w:rPr>
          <w:rStyle w:val="Normal"/>
        </w:rPr>
        <w:t xml:space="preserve">, </w:t>
      </w:r>
      <w:hyperlink w:history="1" r:id="rIdcou3tzpwunvggmh0rbc-3">
        <w:r>
          <w:rPr>
            <w:rStyle w:val="Hyperlink"/>
          </w:rPr>
          <w:t xml:space="preserve">[whalermike.github.io]</w:t>
        </w:r>
      </w:hyperlink>
    </w:p>
    <w:p>
      <w:pPr>
        <w:pStyle w:val="ListParagraph"/>
        <w:pStyle w:val="ListParagraph"/>
        <w:numPr>
          <w:ilvl w:val="0"/>
          <w:numId w:val="1"/>
        </w:numPr>
        <w:numPr>
          <w:ilvl w:val="0"/>
          <w:numId w:val="4"/>
        </w:numPr>
      </w:pPr>
      <w:r>
        <w:rPr>
          <w:b/>
          <w:bCs/>
          <w:rStyle w:val="Normal"/>
        </w:rPr>
        <w:t xml:space="preserve">Comprehensive Identity and Access Redesign:</w:t>
      </w:r>
      <w:r>
        <w:rPr>
          <w:rStyle w:val="Normal"/>
        </w:rPr>
        <w:t xml:space="preserve"> Books 07 and 08 push the transformation beyond just SQL engine logins into the domain of </w:t>
      </w:r>
      <w:r>
        <w:rPr>
          <w:b/>
          <w:bCs/>
          <w:rStyle w:val="Normal"/>
        </w:rPr>
        <w:t xml:space="preserve">authorization and application identity</w:t>
      </w:r>
      <w:r>
        <w:rPr>
          <w:rStyle w:val="Normal"/>
        </w:rPr>
        <w:t xml:space="preserve">:</w:t>
      </w:r>
    </w:p>
    <w:p>
      <w:pPr>
        <w:pStyle w:val="ListParagraph"/>
        <w:pStyle w:val="ListParagraph"/>
        <w:numPr>
          <w:ilvl w:val="1"/>
          <w:numId w:val="1"/>
        </w:numPr>
        <w:numPr>
          <w:ilvl w:val="1"/>
          <w:numId w:val="4"/>
        </w:numPr>
      </w:pPr>
      <w:r>
        <w:rPr>
          <w:rStyle w:val="Normal"/>
        </w:rPr>
        <w:t xml:space="preserve">Book 07 (Access Control) proposes rethinking how database </w:t>
      </w:r>
      <w:r>
        <w:rPr>
          <w:i/>
          <w:iCs/>
          <w:rStyle w:val="Normal"/>
        </w:rPr>
        <w:t xml:space="preserve">authorization</w:t>
      </w:r>
      <w:r>
        <w:rPr>
          <w:rStyle w:val="Normal"/>
        </w:rPr>
        <w:t xml:space="preserve"> is handled once AD groups disappear. It smartly introduces the concept of using </w:t>
      </w:r>
      <w:r>
        <w:rPr>
          <w:b/>
          <w:bCs/>
          <w:rStyle w:val="Normal"/>
        </w:rPr>
        <w:t xml:space="preserve">Entra security groups</w:t>
      </w:r>
      <w:r>
        <w:rPr>
          <w:rStyle w:val="Normal"/>
        </w:rPr>
        <w:t xml:space="preserve"> (in place of AD groups) for database role membership, and tying those groups to on-premises roles. It references </w:t>
      </w:r>
      <w:r>
        <w:rPr>
          <w:b/>
          <w:bCs/>
          <w:rStyle w:val="Normal"/>
        </w:rPr>
        <w:t xml:space="preserve">ADR-067’s group taxonomy</w:t>
      </w:r>
      <w:r>
        <w:rPr>
          <w:rStyle w:val="Normal"/>
        </w:rPr>
        <w:t xml:space="preserve"> and suggests using </w:t>
      </w:r>
      <w:r>
        <w:rPr>
          <w:b/>
          <w:bCs/>
          <w:rStyle w:val="Normal"/>
        </w:rPr>
        <w:t xml:space="preserve">dynamic groups driven by “OrgPath” attributes</w:t>
      </w:r>
      <w:r>
        <w:rPr>
          <w:rStyle w:val="Normal"/>
        </w:rPr>
        <w:t xml:space="preserve">. This indicates a plan to automate group membership (for example, auto-assign users to the appropriate DB access groups based on organizational metadata) and to implement </w:t>
      </w:r>
      <w:r>
        <w:rPr>
          <w:b/>
          <w:bCs/>
          <w:rStyle w:val="Normal"/>
        </w:rPr>
        <w:t xml:space="preserve">Administrative Units (AUs)</w:t>
      </w:r>
      <w:r>
        <w:rPr>
          <w:rStyle w:val="Normal"/>
        </w:rPr>
        <w:t xml:space="preserve"> to delegate management of those groups to DBAs without giving them full tenant admin rights. This is a very forward-leaning approach: dynamic groups can indeed reduce manual effort and keep DB access in sync with HR records (as long as the </w:t>
      </w:r>
      <w:r>
        <w:rPr>
          <w:b/>
          <w:bCs/>
          <w:rStyle w:val="Normal"/>
        </w:rPr>
        <w:t xml:space="preserve">OrgPath attribute data is reliable</w:t>
      </w:r>
      <w:r>
        <w:rPr>
          <w:rStyle w:val="Normal"/>
        </w:rPr>
        <w:t xml:space="preserve">). The mention of </w:t>
      </w:r>
      <w:r>
        <w:rPr>
          <w:b/>
          <w:bCs/>
          <w:rStyle w:val="Normal"/>
        </w:rPr>
        <w:t xml:space="preserve">ADR-037 (AU for DBA delegation)</w:t>
      </w:r>
      <w:r>
        <w:rPr>
          <w:rStyle w:val="Normal"/>
        </w:rPr>
        <w:t xml:space="preserve"> suggests the authors have considered how to allow DBAs to manage access in Entra ID for their databases without violating separation of duties – a nuanced governance concern often overlooked. </w:t>
      </w:r>
      <w:hyperlink w:history="1" r:id="rIdaqrc-c8nclgucbvaxlkuc">
        <w:r>
          <w:rPr>
            <w:rStyle w:val="Hyperlink"/>
          </w:rPr>
          <w:t xml:space="preserve">[whalermike.github.io]</w:t>
        </w:r>
      </w:hyperlink>
      <w:r>
        <w:rPr>
          <w:rStyle w:val="Normal"/>
        </w:rPr>
        <w:t xml:space="preserve"> </w:t>
      </w:r>
      <w:hyperlink w:history="1" r:id="rIdxvaqgwe95lcs33cpvjnl9">
        <w:r>
          <w:rPr>
            <w:rStyle w:val="Hyperlink"/>
          </w:rPr>
          <w:t xml:space="preserve">[whalermike.github.io]</w:t>
        </w:r>
      </w:hyperlink>
      <w:r>
        <w:rPr>
          <w:rStyle w:val="Normal"/>
        </w:rPr>
        <w:t xml:space="preserve">, </w:t>
      </w:r>
      <w:hyperlink w:history="1" r:id="rIdtdbr6d2nvubmyuvoneedy">
        <w:r>
          <w:rPr>
            <w:rStyle w:val="Hyperlink"/>
          </w:rPr>
          <w:t xml:space="preserve">[whalermike.github.io]</w:t>
        </w:r>
      </w:hyperlink>
    </w:p>
    <w:p>
      <w:pPr>
        <w:pStyle w:val="ListParagraph"/>
        <w:pStyle w:val="ListParagraph"/>
        <w:numPr>
          <w:ilvl w:val="1"/>
          <w:numId w:val="1"/>
        </w:numPr>
        <w:numPr>
          <w:ilvl w:val="1"/>
          <w:numId w:val="4"/>
        </w:numPr>
      </w:pPr>
      <w:r>
        <w:rPr>
          <w:rStyle w:val="Normal"/>
        </w:rPr>
        <w:t xml:space="preserve">Book 08 (Application Chain) tackles the </w:t>
      </w:r>
      <w:r>
        <w:rPr>
          <w:b/>
          <w:bCs/>
          <w:rStyle w:val="Normal"/>
        </w:rPr>
        <w:t xml:space="preserve">wider ecosystem of applications that connect to SQL</w:t>
      </w:r>
      <w:r>
        <w:rPr>
          <w:rStyle w:val="Normal"/>
        </w:rPr>
        <w:t xml:space="preserve">. This is critical because changing the DB’s auth method has ripple effects upstream. The narrative uses </w:t>
      </w:r>
      <w:r>
        <w:rPr>
          <w:b/>
          <w:bCs/>
          <w:rStyle w:val="Normal"/>
        </w:rPr>
        <w:t xml:space="preserve">ADR-069’s four-class model</w:t>
      </w:r>
      <w:r>
        <w:rPr>
          <w:rStyle w:val="Normal"/>
        </w:rPr>
        <w:t xml:space="preserve"> to categorize legacy applications by how they handle identity. The classes (likely: </w:t>
      </w:r>
      <w:r>
        <w:rPr>
          <w:i/>
          <w:iCs/>
          <w:rStyle w:val="Normal"/>
        </w:rPr>
        <w:t xml:space="preserve">native Entra-ready, federation/SAML, Azure AD App Proxy with Kerberos delegation, or requiring Entra Domain Services</w:t>
      </w:r>
      <w:r>
        <w:rPr>
          <w:rStyle w:val="Normal"/>
        </w:rPr>
        <w:t xml:space="preserve">) cover a broad range of scenarios. By mapping out “LDAP-bound and SQL-consuming applications,” the series ensures the modernization doesn’t fail at the last mile – an all-too-common risk when an application can’t easily use AAD tokens. It even mentions the “connection string migration – the last mile”, acknowledging that many applications will need configuration changes (or code changes) to use new authentication methods or endpoints. </w:t>
      </w:r>
      <w:hyperlink w:history="1" r:id="rIdt5_oqnhgt75vrxgjhsyq3">
        <w:r>
          <w:rPr>
            <w:rStyle w:val="Hyperlink"/>
          </w:rPr>
          <w:t xml:space="preserve">[whalermike.github.io]</w:t>
        </w:r>
      </w:hyperlink>
    </w:p>
    <w:p>
      <w:pPr>
        <w:pStyle w:val="ListParagraph"/>
        <w:pStyle w:val="ListParagraph"/>
        <w:numPr>
          <w:ilvl w:val="1"/>
          <w:numId w:val="1"/>
        </w:numPr>
        <w:numPr>
          <w:ilvl w:val="1"/>
          <w:numId w:val="4"/>
        </w:numPr>
      </w:pPr>
      <w:r>
        <w:rPr>
          <w:b/>
          <w:bCs/>
          <w:rStyle w:val="Normal"/>
        </w:rPr>
        <w:t xml:space="preserve">Strength</w:t>
      </w:r>
      <w:r>
        <w:rPr>
          <w:rStyle w:val="Normal"/>
        </w:rPr>
        <w:t xml:space="preserve">: These identity architecture considerations show that the authors understand </w:t>
      </w:r>
      <w:r>
        <w:rPr>
          <w:b/>
          <w:bCs/>
          <w:rStyle w:val="Normal"/>
        </w:rPr>
        <w:t xml:space="preserve">identity is not just about the database</w:t>
      </w:r>
      <w:r>
        <w:rPr>
          <w:rStyle w:val="Normal"/>
        </w:rPr>
        <w:t xml:space="preserve"> – it’s about the entire environment including how users and apps obtain those identities and credentials. The series interfaces with a parallel </w:t>
      </w:r>
      <w:r>
        <w:rPr>
          <w:i/>
          <w:iCs/>
          <w:rStyle w:val="Normal"/>
        </w:rPr>
        <w:t xml:space="preserve">OrgPath</w:t>
      </w:r>
      <w:r>
        <w:rPr>
          <w:rStyle w:val="Normal"/>
        </w:rPr>
        <w:t xml:space="preserve"> initiative (for enterprise user identity and attribute management), highlighting that the </w:t>
      </w:r>
      <w:r>
        <w:rPr>
          <w:b/>
          <w:bCs/>
          <w:rStyle w:val="Normal"/>
        </w:rPr>
        <w:t xml:space="preserve">SQL transformation depends on an organizational identity foundation</w:t>
      </w:r>
      <w:r>
        <w:rPr>
          <w:rStyle w:val="Normal"/>
        </w:rPr>
        <w:t xml:space="preserve"> (for instance, populating users with new attributes to drive dynamic grouping). This cross-linkage is an architectural strength because it situates the SQL work in the larger identity transformation program, preventing the “solution in a silo” problem. </w:t>
      </w:r>
      <w:hyperlink w:history="1" r:id="rIdzxqqhup8rlqib2asn2mu5">
        <w:r>
          <w:rPr>
            <w:rStyle w:val="Hyperlink"/>
          </w:rPr>
          <w:t xml:space="preserve">[whalermike.github.io]</w:t>
        </w:r>
      </w:hyperlink>
    </w:p>
    <w:p>
      <w:r>
        <w:rPr>
          <w:b/>
          <w:bCs/>
          <w:rStyle w:val="Normal"/>
        </w:rPr>
        <w:t xml:space="preserve">Gaps &amp; Risks:</w:t>
      </w:r>
      <w:r>
        <w:rPr>
          <w:rStyle w:val="Normal"/>
        </w:rPr>
        <w:t xml:space="preserve"> While the identity/security architecture proposed is cutting-edge, a few points need careful consideration or clarification:</w:t>
      </w:r>
    </w:p>
    <w:p>
      <w:pPr>
        <w:pStyle w:val="ListParagraph"/>
        <w:pStyle w:val="ListParagraph"/>
        <w:numPr>
          <w:ilvl w:val="0"/>
          <w:numId w:val="1"/>
        </w:numPr>
        <w:numPr>
          <w:ilvl w:val="0"/>
          <w:numId w:val="5"/>
        </w:numPr>
      </w:pPr>
      <w:r>
        <w:rPr>
          <w:b/>
          <w:bCs/>
          <w:rStyle w:val="Normal"/>
        </w:rPr>
        <w:t xml:space="preserve">Reliance on Cloud Connectivity &amp; Trust:</w:t>
      </w:r>
      <w:r>
        <w:rPr>
          <w:rStyle w:val="Normal"/>
        </w:rPr>
        <w:t xml:space="preserve"> The plan assumes a </w:t>
      </w:r>
      <w:r>
        <w:rPr>
          <w:b/>
          <w:bCs/>
          <w:rStyle w:val="Normal"/>
        </w:rPr>
        <w:t xml:space="preserve">robust connection and trust in Azure services</w:t>
      </w:r>
      <w:r>
        <w:rPr>
          <w:rStyle w:val="Normal"/>
        </w:rPr>
        <w:t xml:space="preserve">, which is generally the direction most organizations (even government agencies) are heading, but it’s effectively making </w:t>
      </w:r>
      <w:r>
        <w:rPr>
          <w:b/>
          <w:bCs/>
          <w:rStyle w:val="Normal"/>
        </w:rPr>
        <w:t xml:space="preserve">on-prem SQL Servers critically dependent on cloud identity</w:t>
      </w:r>
      <w:r>
        <w:rPr>
          <w:rStyle w:val="Normal"/>
        </w:rPr>
        <w:t xml:space="preserve">. The series does not mention if any on-prem </w:t>
      </w:r>
      <w:r>
        <w:rPr>
          <w:b/>
          <w:bCs/>
          <w:rStyle w:val="Normal"/>
        </w:rPr>
        <w:t xml:space="preserve">intermediate identity solutions</w:t>
      </w:r>
      <w:r>
        <w:rPr>
          <w:rStyle w:val="Normal"/>
        </w:rPr>
        <w:t xml:space="preserve"> are retained to mitigate this dependency. Some highly secure or offline environments might be wary of having authentication depend on cloud availability. The inclusion of </w:t>
      </w:r>
      <w:r>
        <w:rPr>
          <w:b/>
          <w:bCs/>
          <w:rStyle w:val="Normal"/>
        </w:rPr>
        <w:t xml:space="preserve">Certificate-Based Authentication (CBA)</w:t>
      </w:r>
      <w:r>
        <w:rPr>
          <w:rStyle w:val="Normal"/>
        </w:rPr>
        <w:t xml:space="preserve"> as an “interim posture” for systems that can’t reach Entra ID or Kerberos by 2027 is one way to address </w:t>
      </w:r>
      <w:r>
        <w:rPr>
          <w:i/>
          <w:iCs/>
          <w:rStyle w:val="Normal"/>
        </w:rPr>
        <w:t xml:space="preserve">certain</w:t>
      </w:r>
      <w:r>
        <w:rPr>
          <w:rStyle w:val="Normal"/>
        </w:rPr>
        <w:t xml:space="preserve"> connectivity gaps (since CBA could allow authentication without direct DC or internet access, using certificates). However, CBA typically covers </w:t>
      </w:r>
      <w:r>
        <w:rPr>
          <w:i/>
          <w:iCs/>
          <w:rStyle w:val="Normal"/>
        </w:rPr>
        <w:t xml:space="preserve">user-to-AD</w:t>
      </w:r>
      <w:r>
        <w:rPr>
          <w:rStyle w:val="Normal"/>
        </w:rPr>
        <w:t xml:space="preserve"> authentication (smartcards, etc.) and it’s unclear if this is meant to allow clients to connect to SQL without AD/AAD – likely it refers to using certificate-mapped SQL logins or client certs to satisfy authentication in a zero-NTLM world. </w:t>
      </w:r>
      <w:hyperlink w:history="1" r:id="rId0dlkx8nm49gmtxybta5xp">
        <w:r>
          <w:rPr>
            <w:rStyle w:val="Hyperlink"/>
          </w:rPr>
          <w:t xml:space="preserve">[whalermike.github.io]</w:t>
        </w:r>
      </w:hyperlink>
      <w:r>
        <w:rPr>
          <w:rStyle w:val="Normal"/>
        </w:rPr>
        <w:t xml:space="preserve">, </w:t>
      </w:r>
      <w:hyperlink w:history="1" r:id="rIdayc9khjrmroahvrrquh-w">
        <w:r>
          <w:rPr>
            <w:rStyle w:val="Hyperlink"/>
          </w:rPr>
          <w:t xml:space="preserve">[whalermike.github.io]</w:t>
        </w:r>
      </w:hyperlink>
      <w:r>
        <w:rPr>
          <w:rStyle w:val="Normal"/>
        </w:rPr>
        <w:t xml:space="preserve"> </w:t>
      </w:r>
      <w:hyperlink w:history="1" r:id="rIdrzvmnuavlngeskko0-fn0">
        <w:r>
          <w:rPr>
            <w:rStyle w:val="Hyperlink"/>
          </w:rPr>
          <w:t xml:space="preserve">[whalermike.github.io]</w:t>
        </w:r>
      </w:hyperlink>
      <w:r>
        <w:rPr>
          <w:rStyle w:val="Normal"/>
        </w:rPr>
        <w:t xml:space="preserve">, </w:t>
      </w:r>
      <w:hyperlink w:history="1" r:id="rIdcbo3vianoyphschvxelhv">
        <w:r>
          <w:rPr>
            <w:rStyle w:val="Hyperlink"/>
          </w:rPr>
          <w:t xml:space="preserve">[whalermike.github.io]</w:t>
        </w:r>
      </w:hyperlink>
    </w:p>
    <w:p>
      <w:pPr>
        <w:pStyle w:val="ListParagraph"/>
        <w:pStyle w:val="ListParagraph"/>
        <w:numPr>
          <w:ilvl w:val="1"/>
          <w:numId w:val="1"/>
        </w:numPr>
        <w:numPr>
          <w:ilvl w:val="1"/>
          <w:numId w:val="5"/>
        </w:numPr>
      </w:pPr>
      <w:r>
        <w:rPr>
          <w:b/>
          <w:bCs/>
          <w:rStyle w:val="Normal"/>
        </w:rPr>
        <w:t xml:space="preserve">Recommendation:</w:t>
      </w:r>
      <w:r>
        <w:rPr>
          <w:rStyle w:val="Normal"/>
        </w:rPr>
        <w:t xml:space="preserve"> Provide more detail on how </w:t>
      </w:r>
      <w:r>
        <w:rPr>
          <w:i/>
          <w:iCs/>
          <w:rStyle w:val="Normal"/>
        </w:rPr>
        <w:t xml:space="preserve">completely isolated networks</w:t>
      </w:r>
      <w:r>
        <w:rPr>
          <w:rStyle w:val="Normal"/>
        </w:rPr>
        <w:t xml:space="preserve"> or </w:t>
      </w:r>
      <w:r>
        <w:rPr>
          <w:i/>
          <w:iCs/>
          <w:rStyle w:val="Normal"/>
        </w:rPr>
        <w:t xml:space="preserve">disconnected operations</w:t>
      </w:r>
      <w:r>
        <w:rPr>
          <w:rStyle w:val="Normal"/>
        </w:rPr>
        <w:t xml:space="preserve"> are handled, if at all. If the assumption is that </w:t>
      </w:r>
      <w:r>
        <w:rPr>
          <w:b/>
          <w:bCs/>
          <w:rStyle w:val="Normal"/>
        </w:rPr>
        <w:t xml:space="preserve">100% of remaining SQL workloads will have at least intermittent connectivity to Entra ID</w:t>
      </w:r>
      <w:r>
        <w:rPr>
          <w:rStyle w:val="Normal"/>
        </w:rPr>
        <w:t xml:space="preserve">, state this clearly as a prerequisite (and possibly out of scope for completely air-gapped systems). Otherwise, mention if </w:t>
      </w:r>
      <w:r>
        <w:rPr>
          <w:i/>
          <w:iCs/>
          <w:rStyle w:val="Normal"/>
        </w:rPr>
        <w:t xml:space="preserve">Azure AD Domain Services (AAD DS)</w:t>
      </w:r>
      <w:r>
        <w:rPr>
          <w:rStyle w:val="Normal"/>
        </w:rPr>
        <w:t xml:space="preserve"> or maintaining a </w:t>
      </w:r>
      <w:r>
        <w:rPr>
          <w:b/>
          <w:bCs/>
          <w:rStyle w:val="Normal"/>
        </w:rPr>
        <w:t xml:space="preserve">minimal AD</w:t>
      </w:r>
      <w:r>
        <w:rPr>
          <w:rStyle w:val="Normal"/>
        </w:rPr>
        <w:t xml:space="preserve"> is an acceptable temporary solution for truly offline scenarios (bearing in mind that AAD DS itself would require connectivity to Azure for sync).</w:t>
      </w:r>
    </w:p>
    <w:p>
      <w:pPr>
        <w:pStyle w:val="ListParagraph"/>
        <w:pStyle w:val="ListParagraph"/>
        <w:numPr>
          <w:ilvl w:val="0"/>
          <w:numId w:val="1"/>
        </w:numPr>
        <w:numPr>
          <w:ilvl w:val="0"/>
          <w:numId w:val="5"/>
        </w:numPr>
      </w:pPr>
      <w:r>
        <w:rPr>
          <w:b/>
          <w:bCs/>
          <w:rStyle w:val="Normal"/>
        </w:rPr>
        <w:t xml:space="preserve">Azure AD Device/Workstation Integration:</w:t>
      </w:r>
      <w:r>
        <w:rPr>
          <w:rStyle w:val="Normal"/>
        </w:rPr>
        <w:t xml:space="preserve"> The series focuses on server-side identity, but to fully realize “Integrated Authentication with Entra,” the </w:t>
      </w:r>
      <w:r>
        <w:rPr>
          <w:b/>
          <w:bCs/>
          <w:rStyle w:val="Normal"/>
        </w:rPr>
        <w:t xml:space="preserve">client side (workstations and application servers) must also be considered</w:t>
      </w:r>
      <w:r>
        <w:rPr>
          <w:rStyle w:val="Normal"/>
        </w:rPr>
        <w:t xml:space="preserve">. The official Microsoft approach for “Integrated” Azure AD auth involves either Azure AD Join or </w:t>
      </w:r>
      <w:r>
        <w:rPr>
          <w:b/>
          <w:bCs/>
          <w:rStyle w:val="Normal"/>
        </w:rPr>
        <w:t xml:space="preserve">Hybrid AD</w:t>
      </w:r>
      <w:r>
        <w:rPr>
          <w:rStyle w:val="Normal"/>
        </w:rPr>
        <w:t xml:space="preserve"> (AD federated/ synched to AAD) so that a user’s Kerberos ticket can be translated into an AAD token silently. The narrative touches on this in passing (noting the </w:t>
      </w:r>
      <w:r>
        <w:rPr>
          <w:i/>
          <w:iCs/>
          <w:rStyle w:val="Normal"/>
        </w:rPr>
        <w:t xml:space="preserve">“two-layer distinction between SQL engine Entra auth and OS-level Entra login”</w:t>
      </w:r>
      <w:r>
        <w:rPr>
          <w:rStyle w:val="Normal"/>
        </w:rPr>
        <w:t xml:space="preserve">), implying that </w:t>
      </w:r>
      <w:r>
        <w:rPr>
          <w:b/>
          <w:bCs/>
          <w:rStyle w:val="Normal"/>
        </w:rPr>
        <w:t xml:space="preserve">removing AD domain join for servers is handled separately (ADR-002)</w:t>
      </w:r>
      <w:r>
        <w:rPr>
          <w:rStyle w:val="Normal"/>
        </w:rPr>
        <w:t xml:space="preserve">. However, it doesn’t elaborate on how user PCs or application servers are authenticated in the new model: </w:t>
      </w:r>
      <w:hyperlink w:history="1" r:id="rIdgh_ubfwaqrv8x1drxyr1y">
        <w:r>
          <w:rPr>
            <w:rStyle w:val="Hyperlink"/>
          </w:rPr>
          <w:t xml:space="preserve">[learn.microsoft.com]</w:t>
        </w:r>
      </w:hyperlink>
      <w:r>
        <w:rPr>
          <w:rStyle w:val="Normal"/>
        </w:rPr>
        <w:t xml:space="preserve">, </w:t>
      </w:r>
      <w:hyperlink w:history="1" r:id="rIdhz2b7tilkkpkrxlu3c-f9">
        <w:r>
          <w:rPr>
            <w:rStyle w:val="Hyperlink"/>
          </w:rPr>
          <w:t xml:space="preserve">[learn.microsoft.com]</w:t>
        </w:r>
      </w:hyperlink>
      <w:r>
        <w:rPr>
          <w:rStyle w:val="Normal"/>
        </w:rPr>
        <w:t xml:space="preserve"> </w:t>
      </w:r>
      <w:hyperlink w:history="1" r:id="rIdov4lr1qhcd5ug8dl8_qmr">
        <w:r>
          <w:rPr>
            <w:rStyle w:val="Hyperlink"/>
          </w:rPr>
          <w:t xml:space="preserve">[whalermike.github.io]</w:t>
        </w:r>
      </w:hyperlink>
    </w:p>
    <w:p>
      <w:pPr>
        <w:pStyle w:val="ListParagraph"/>
        <w:pStyle w:val="ListParagraph"/>
        <w:numPr>
          <w:ilvl w:val="1"/>
          <w:numId w:val="1"/>
        </w:numPr>
        <w:numPr>
          <w:ilvl w:val="1"/>
          <w:numId w:val="5"/>
        </w:numPr>
      </w:pPr>
      <w:r>
        <w:rPr>
          <w:rStyle w:val="Normal"/>
        </w:rPr>
        <w:t xml:space="preserve">In a pure cloud-auth scenario, user PCs would ideally be </w:t>
      </w:r>
      <w:r>
        <w:rPr>
          <w:b/>
          <w:bCs/>
          <w:rStyle w:val="Normal"/>
        </w:rPr>
        <w:t xml:space="preserve">Azure AD–joined</w:t>
      </w:r>
      <w:r>
        <w:rPr>
          <w:rStyle w:val="Normal"/>
        </w:rPr>
        <w:t xml:space="preserve"> (or at least hybrid joined) so that users log in with Entra credentials and can get SSO tokens for SQL connections. If the PCs remain AD-joined during the transition, a federation or PTA setup with AAD could allow their Kerberos to be exchanged for AAD tokens (this is essentially how “Integrated” auth mode works via Azure AD’s Kerberos trust in preview). </w:t>
      </w:r>
      <w:hyperlink w:history="1" r:id="rIdjslx2u-2k3ga5wjgs8dqd">
        <w:r>
          <w:rPr>
            <w:rStyle w:val="Hyperlink"/>
          </w:rPr>
          <w:t xml:space="preserve">[learn.microsoft.com]</w:t>
        </w:r>
      </w:hyperlink>
    </w:p>
    <w:p>
      <w:pPr>
        <w:pStyle w:val="ListParagraph"/>
        <w:pStyle w:val="ListParagraph"/>
        <w:numPr>
          <w:ilvl w:val="1"/>
          <w:numId w:val="1"/>
        </w:numPr>
        <w:numPr>
          <w:ilvl w:val="1"/>
          <w:numId w:val="5"/>
        </w:numPr>
      </w:pPr>
      <w:r>
        <w:rPr>
          <w:rStyle w:val="Normal"/>
        </w:rPr>
        <w:t xml:space="preserve">The narrative might assume the </w:t>
      </w:r>
      <w:r>
        <w:rPr>
          <w:b/>
          <w:bCs/>
          <w:rStyle w:val="Normal"/>
        </w:rPr>
        <w:t xml:space="preserve">OrgPath</w:t>
      </w:r>
      <w:r>
        <w:rPr>
          <w:rStyle w:val="Normal"/>
        </w:rPr>
        <w:t xml:space="preserve"> and broader identity program is handling user device join and identity issuance. However, that assumption is implicit. </w:t>
      </w:r>
      <w:r>
        <w:rPr>
          <w:b/>
          <w:bCs/>
          <w:rStyle w:val="Normal"/>
        </w:rPr>
        <w:t xml:space="preserve">Recommendation:</w:t>
      </w:r>
      <w:r>
        <w:rPr>
          <w:rStyle w:val="Normal"/>
        </w:rPr>
        <w:t xml:space="preserve"> It would strengthen the narrative to briefly note in Book 05 or Book 08 that </w:t>
      </w:r>
      <w:r>
        <w:rPr>
          <w:i/>
          <w:iCs/>
          <w:rStyle w:val="Normal"/>
        </w:rPr>
        <w:t xml:space="preserve">user identity and device management are expected to evolve in parallel (e.g., with Azure AD Join or Hybrid Join) so that users and services can obtain Entra tokens seamlessly.</w:t>
      </w:r>
      <w:r>
        <w:rPr>
          <w:rStyle w:val="Normal"/>
        </w:rPr>
        <w:t xml:space="preserve"> This assures identity architects that the SQL transformation is synchronized with endpoint identity changes, avoiding a scenario where users must manually authenticate to databases for every connection.</w:t>
      </w:r>
    </w:p>
    <w:p>
      <w:pPr>
        <w:pStyle w:val="ListParagraph"/>
        <w:pStyle w:val="ListParagraph"/>
        <w:numPr>
          <w:ilvl w:val="0"/>
          <w:numId w:val="1"/>
        </w:numPr>
        <w:numPr>
          <w:ilvl w:val="0"/>
          <w:numId w:val="5"/>
        </w:numPr>
      </w:pPr>
      <w:r>
        <w:rPr>
          <w:b/>
          <w:bCs/>
          <w:rStyle w:val="Normal"/>
        </w:rPr>
        <w:t xml:space="preserve">Dynamic Group Management Complexity:</w:t>
      </w:r>
      <w:r>
        <w:rPr>
          <w:rStyle w:val="Normal"/>
        </w:rPr>
        <w:t xml:space="preserve"> Book 07’s solution of using </w:t>
      </w:r>
      <w:r>
        <w:rPr>
          <w:b/>
          <w:bCs/>
          <w:rStyle w:val="Normal"/>
        </w:rPr>
        <w:t xml:space="preserve">dynamic Entra groups for SQL access</w:t>
      </w:r>
      <w:r>
        <w:rPr>
          <w:rStyle w:val="Normal"/>
        </w:rPr>
        <w:t xml:space="preserve"> is powerful but introduces new complexity. The narrative suggests using </w:t>
      </w:r>
      <w:r>
        <w:rPr>
          <w:b/>
          <w:bCs/>
          <w:rStyle w:val="Normal"/>
        </w:rPr>
        <w:t xml:space="preserve">user attributes (like OrgPath)</w:t>
      </w:r>
      <w:r>
        <w:rPr>
          <w:rStyle w:val="Normal"/>
        </w:rPr>
        <w:t xml:space="preserve"> to auto-maintain group membership. While this is very forward-thinking, it relies on accurate HR data and may require additional governance (to ensure attributes are kept up-to-date). Dynamic group rules in AAD have some limitations (e.g., they can only reference user attributes, not on-prem group membership directly, and have evaluation delays). The narrative already connects to the OrgPath series, implying these prerequisites are known; nonetheless, the success of this approach depends on implementing the OrgPath attribute framework first. </w:t>
      </w:r>
      <w:hyperlink w:history="1" r:id="rIdj5tskqvcw0vp5i59ixeeb">
        <w:r>
          <w:rPr>
            <w:rStyle w:val="Hyperlink"/>
          </w:rPr>
          <w:t xml:space="preserve">[whalermike.github.io]</w:t>
        </w:r>
      </w:hyperlink>
    </w:p>
    <w:p>
      <w:pPr>
        <w:pStyle w:val="ListParagraph"/>
        <w:pStyle w:val="ListParagraph"/>
        <w:numPr>
          <w:ilvl w:val="1"/>
          <w:numId w:val="1"/>
        </w:numPr>
        <w:numPr>
          <w:ilvl w:val="1"/>
          <w:numId w:val="5"/>
        </w:numPr>
      </w:pPr>
      <w:r>
        <w:rPr>
          <w:b/>
          <w:bCs/>
          <w:rStyle w:val="Normal"/>
        </w:rPr>
        <w:t xml:space="preserve">Recommendation:</w:t>
      </w:r>
      <w:r>
        <w:rPr>
          <w:rStyle w:val="Normal"/>
        </w:rPr>
        <w:t xml:space="preserve"> Emphasize these prerequisites: a reliable source of truth for user roles/attributes (OrgPath or equivalent), and thorough testing of dynamic group rules to avoid access issues or processing delays. Also, perhaps caution readers that dynamic groups and AUs are advanced AAD features – they should be tested in a non-prod environment to ensure DBAs are comfortable with how a user gets access to a database role via a dynamic rule, and how quickly removals propagate when a user’s role changes.</w:t>
      </w:r>
    </w:p>
    <w:p>
      <w:pPr>
        <w:pStyle w:val="ListParagraph"/>
        <w:pStyle w:val="ListParagraph"/>
        <w:numPr>
          <w:ilvl w:val="1"/>
          <w:numId w:val="1"/>
        </w:numPr>
        <w:numPr>
          <w:ilvl w:val="1"/>
          <w:numId w:val="5"/>
        </w:numPr>
      </w:pPr>
      <w:r>
        <w:rPr>
          <w:rStyle w:val="Normal"/>
        </w:rPr>
        <w:t xml:space="preserve">For completeness, consider mentioning the alternative or complementary approach of using </w:t>
      </w:r>
      <w:r>
        <w:rPr>
          <w:i/>
          <w:iCs/>
          <w:rStyle w:val="Normal"/>
        </w:rPr>
        <w:t xml:space="preserve">Privileged Identity Management (PIM)</w:t>
      </w:r>
      <w:r>
        <w:rPr>
          <w:rStyle w:val="Normal"/>
        </w:rPr>
        <w:t xml:space="preserve"> or just-in-time access for DBAs (though that might be outside the SQL narrative’s scope, it’s part of a zero-trust approach to admin access).</w:t>
      </w:r>
    </w:p>
    <w:p>
      <w:pPr>
        <w:pStyle w:val="ListParagraph"/>
        <w:pStyle w:val="ListParagraph"/>
        <w:numPr>
          <w:ilvl w:val="0"/>
          <w:numId w:val="1"/>
        </w:numPr>
        <w:numPr>
          <w:ilvl w:val="0"/>
          <w:numId w:val="5"/>
        </w:numPr>
      </w:pPr>
      <w:r>
        <w:rPr>
          <w:b/>
          <w:bCs/>
          <w:rStyle w:val="Normal"/>
        </w:rPr>
        <w:t xml:space="preserve">Certificate Services Migration Uncertainty:</w:t>
      </w:r>
      <w:r>
        <w:rPr>
          <w:rStyle w:val="Normal"/>
        </w:rPr>
        <w:t xml:space="preserve"> It’s a notable and </w:t>
      </w:r>
      <w:r>
        <w:rPr>
          <w:i/>
          <w:iCs/>
          <w:rStyle w:val="Normal"/>
        </w:rPr>
        <w:t xml:space="preserve">refreshingly honest</w:t>
      </w:r>
      <w:r>
        <w:rPr>
          <w:rStyle w:val="Normal"/>
        </w:rPr>
        <w:t xml:space="preserve"> aspect that Book 10 (</w:t>
      </w:r>
      <w:r>
        <w:rPr>
          <w:i/>
          <w:iCs/>
          <w:rStyle w:val="Normal"/>
        </w:rPr>
        <w:t xml:space="preserve">“From ADCS to Cloud PKI”</w:t>
      </w:r>
      <w:r>
        <w:rPr>
          <w:rStyle w:val="Normal"/>
        </w:rPr>
        <w:t xml:space="preserve">) acknowledges an </w:t>
      </w:r>
      <w:r>
        <w:rPr>
          <w:b/>
          <w:bCs/>
          <w:rStyle w:val="Normal"/>
        </w:rPr>
        <w:t xml:space="preserve">open question: how to replace AD Certificate Services</w:t>
      </w:r>
      <w:r>
        <w:rPr>
          <w:rStyle w:val="Normal"/>
        </w:rPr>
        <w:t xml:space="preserve"> in this new world. The chapter identifies three certificate-related dependencies: TLS certificates for encrypted connections, certificate-authenticated SQL logins, and the CBA interim auth method. It warns that no official “normative” decision exists yet on replacing ADCS and stresses that decommissioning ADCS without a replacement could be disastrous (e.g., expiring SQL Server TLS certs and no CA to renew them, or no way to issue client certificates for the NTLM fallback replacement). </w:t>
      </w:r>
      <w:hyperlink w:history="1" r:id="rId58-43_vctvtl3i2llnbva">
        <w:r>
          <w:rPr>
            <w:rStyle w:val="Hyperlink"/>
          </w:rPr>
          <w:t xml:space="preserve">[whalermike.github.io]</w:t>
        </w:r>
      </w:hyperlink>
      <w:r>
        <w:rPr>
          <w:rStyle w:val="Normal"/>
        </w:rPr>
        <w:t xml:space="preserve"> </w:t>
      </w:r>
      <w:hyperlink w:history="1" r:id="rIdqtbo_oi0g9qcwxp5bjqzl">
        <w:r>
          <w:rPr>
            <w:rStyle w:val="Hyperlink"/>
          </w:rPr>
          <w:t xml:space="preserve">[whalermike.github.io]</w:t>
        </w:r>
      </w:hyperlink>
      <w:r>
        <w:rPr>
          <w:rStyle w:val="Normal"/>
        </w:rPr>
        <w:t xml:space="preserve">, </w:t>
      </w:r>
      <w:hyperlink w:history="1" r:id="rIdmx_xo2s7w8hw99fwuiakc">
        <w:r>
          <w:rPr>
            <w:rStyle w:val="Hyperlink"/>
          </w:rPr>
          <w:t xml:space="preserve">[whalermike.github.io]</w:t>
        </w:r>
      </w:hyperlink>
    </w:p>
    <w:p>
      <w:pPr>
        <w:pStyle w:val="ListParagraph"/>
        <w:pStyle w:val="ListParagraph"/>
        <w:numPr>
          <w:ilvl w:val="1"/>
          <w:numId w:val="1"/>
        </w:numPr>
        <w:numPr>
          <w:ilvl w:val="1"/>
          <w:numId w:val="5"/>
        </w:numPr>
      </w:pPr>
      <w:r>
        <w:rPr>
          <w:b/>
          <w:bCs/>
          <w:rStyle w:val="Normal"/>
        </w:rPr>
        <w:t xml:space="preserve">Gap:</w:t>
      </w:r>
      <w:r>
        <w:rPr>
          <w:rStyle w:val="Normal"/>
        </w:rPr>
        <w:t xml:space="preserve"> While this chapter does a good job spotlighting the problem, it stops at an analytic discussion. For identity architects, the lack of a defined solution for certificate services is a concern – especially since encrypted connections and possibly CBA will require </w:t>
      </w:r>
      <w:r>
        <w:rPr>
          <w:i/>
          <w:iCs/>
          <w:rStyle w:val="Normal"/>
        </w:rPr>
        <w:t xml:space="preserve">either a new internal PKI or using Azure-based PKI (like Azure Key Vault, Azure AD Certificate Services if available, or a third-party)</w:t>
      </w:r>
      <w:r>
        <w:rPr>
          <w:rStyle w:val="Normal"/>
        </w:rPr>
        <w:t xml:space="preserve">.</w:t>
      </w:r>
    </w:p>
    <w:p>
      <w:pPr>
        <w:pStyle w:val="ListParagraph"/>
        <w:pStyle w:val="ListParagraph"/>
        <w:numPr>
          <w:ilvl w:val="1"/>
          <w:numId w:val="1"/>
        </w:numPr>
        <w:numPr>
          <w:ilvl w:val="1"/>
          <w:numId w:val="5"/>
        </w:numPr>
      </w:pPr>
      <w:r>
        <w:rPr>
          <w:b/>
          <w:bCs/>
          <w:rStyle w:val="Normal"/>
        </w:rPr>
        <w:t xml:space="preserve">Recommendation:</w:t>
      </w:r>
      <w:r>
        <w:rPr>
          <w:rStyle w:val="Normal"/>
        </w:rPr>
        <w:t xml:space="preserve"> The narrative should provide at least interim guidance or options. For example, it could reference Azure Key Vault’s certificate management as a potential </w:t>
      </w:r>
      <w:r>
        <w:rPr>
          <w:i/>
          <w:iCs/>
          <w:rStyle w:val="Normal"/>
        </w:rPr>
        <w:t xml:space="preserve">Cloud PKI</w:t>
      </w:r>
      <w:r>
        <w:rPr>
          <w:rStyle w:val="Normal"/>
        </w:rPr>
        <w:t xml:space="preserve"> solution for SQL Server TLS (since SQL Server 2022 can use certificates from Azure Key Vault via the Azure extension) or mention using public CAs for server certificates as an interim measure. For CBA and certificate-mapped logins, one approach might be to use a </w:t>
      </w:r>
      <w:r>
        <w:rPr>
          <w:b/>
          <w:bCs/>
          <w:rStyle w:val="Normal"/>
        </w:rPr>
        <w:t xml:space="preserve">long-lived internal CA</w:t>
      </w:r>
      <w:r>
        <w:rPr>
          <w:rStyle w:val="Normal"/>
        </w:rPr>
        <w:t xml:space="preserve"> (if ADCS must be shut down, perhaps utilize </w:t>
      </w:r>
      <w:r>
        <w:rPr>
          <w:b/>
          <w:bCs/>
          <w:rStyle w:val="Normal"/>
        </w:rPr>
        <w:t xml:space="preserve">Azure AD Certificate Services</w:t>
      </w:r>
      <w:r>
        <w:rPr>
          <w:rStyle w:val="Normal"/>
        </w:rPr>
        <w:t xml:space="preserve"> if/when that becomes available, or stand up a new PKI in the cloud). Even if the final decision is pending, giving readers an idea of possible solutions (and pointing to Microsoft’s work-in-progress on this front) would be valuable. </w:t>
      </w:r>
      <w:hyperlink w:history="1" r:id="rId0jgg-d2emwryoraxtaj-v">
        <w:r>
          <w:rPr>
            <w:rStyle w:val="Hyperlink"/>
          </w:rPr>
          <w:t xml:space="preserve">[whalermike.github.io]</w:t>
        </w:r>
      </w:hyperlink>
    </w:p>
    <w:p>
      <w:pPr>
        <w:pStyle w:val="Heading4"/>
      </w:pPr>
      <w:r>
        <w:rPr>
          <w:b/>
          <w:bCs/>
          <w:rStyle w:val="Normal"/>
        </w:rPr>
        <w:t xml:space="preserve">Table 1: Summary – SQL Server &amp; Identity Architecture</w:t>
      </w:r>
      <w:r>
        <w:rPr>
          <w:rStyle w:val="Normal"/>
        </w:rPr>
        <w:t xml:space="preserve"> (Key Strengths, Gaps, and Recommendations)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w:tc>
          <w:tcPr>
            <w:vAlign w:val="center"/>
          </w:tcPr>
          <w:p>
            <w:r>
              <w:rPr>
                <w:b/>
                <w:bCs/>
                <w:rStyle w:val="Normal"/>
              </w:rPr>
              <w:t xml:space="preserve">Aspect &amp; Topic</w:t>
            </w:r>
          </w:p>
        </w:tc>
        <w:tc>
          <w:tcPr>
            <w:vAlign w:val="center"/>
          </w:tcPr>
          <w:p>
            <w:r>
              <w:rPr>
                <w:b/>
                <w:bCs/>
                <w:rStyle w:val="Normal"/>
              </w:rPr>
              <w:t xml:space="preserve">Strengths</w:t>
            </w:r>
            <w:r>
              <w:rPr>
                <w:rStyle w:val="Normal"/>
              </w:rPr>
              <w:t xml:space="preserve"> (Technically Sound Elements)</w:t>
            </w:r>
          </w:p>
        </w:tc>
        <w:tc>
          <w:tcPr>
            <w:vAlign w:val="center"/>
          </w:tcPr>
          <w:p>
            <w:r>
              <w:rPr>
                <w:b/>
                <w:bCs/>
                <w:rStyle w:val="Normal"/>
              </w:rPr>
              <w:t xml:space="preserve">Gaps / Risks / Weak Points</w:t>
            </w:r>
          </w:p>
        </w:tc>
        <w:tc>
          <w:tcPr>
            <w:vAlign w:val="center"/>
          </w:tcPr>
          <w:p>
            <w:r>
              <w:rPr>
                <w:b/>
                <w:bCs/>
                <w:rStyle w:val="Normal"/>
              </w:rPr>
              <w:t xml:space="preserve">Recommendations</w:t>
            </w:r>
          </w:p>
        </w:tc>
      </w:tr>
      <w:tr>
        <w:tc>
          <w:tcPr>
            <w:vAlign w:val="center"/>
          </w:tcPr>
          <w:p>
            <w:r>
              <w:rPr>
                <w:b/>
                <w:bCs/>
                <w:rStyle w:val="Normal"/>
              </w:rPr>
              <w:t xml:space="preserve">Windows Auth &amp; NTLM</w:t>
            </w:r>
            <w:r>
              <w:rPr>
                <w:rStyle w:val="Normal"/>
              </w:rPr>
              <w:t xml:space="preserve"> </w:t>
            </w:r>
            <w:r>
              <w:rPr>
                <w:i/>
                <w:iCs/>
                <w:rStyle w:val="Normal"/>
              </w:rPr>
              <w:t xml:space="preserve">Book 01</w:t>
            </w:r>
          </w:p>
        </w:tc>
        <w:tc>
          <w:tcPr>
            <w:vAlign w:val="center"/>
          </w:tcPr>
          <w:p>
            <w:r>
              <w:rPr>
                <w:rStyle w:val="Normal"/>
              </w:rPr>
              <w:t xml:space="preserve">– Precise explanation of Kerberos, SPNs, and silent NTLM fallback </w:t>
            </w:r>
            <w:hyperlink w:history="1" r:id="rIdjw9zmv8cofs9vme-gvulc">
              <w:r>
                <w:rPr>
                  <w:rStyle w:val="Hyperlink"/>
                </w:rPr>
                <w:t xml:space="preserve">[whalermike.github.io]</w:t>
              </w:r>
            </w:hyperlink>
            <w:r>
              <w:rPr>
                <w:rStyle w:val="Normal"/>
              </w:rPr>
              <w:t xml:space="preserve">, </w:t>
            </w:r>
            <w:hyperlink w:history="1" r:id="rIdu-ftv6kj3it9v1uxruy_b">
              <w:r>
                <w:rPr>
                  <w:rStyle w:val="Hyperlink"/>
                </w:rPr>
                <w:t xml:space="preserve">[whalermike.github.io]</w:t>
              </w:r>
            </w:hyperlink>
            <w:r>
              <w:rPr>
                <w:rStyle w:val="Normal"/>
              </w:rPr>
              <w:t xml:space="preserve">, matching Microsoft’s documentation. </w:t>
            </w:r>
            <w:r>
              <w:rPr>
                <w:rStyle w:val="Normal"/>
              </w:rPr>
              <w:t xml:space="preserve"> – Fairly portrays legacy design as “correct for its time” while highlighting why it fails under modern zero-trust requirements </w:t>
            </w:r>
            <w:hyperlink w:history="1" r:id="rIdludspcaacwbzqd3yyh0-d">
              <w:r>
                <w:rPr>
                  <w:rStyle w:val="Hyperlink"/>
                </w:rPr>
                <w:t xml:space="preserve">[whalermike.github.io]</w:t>
              </w:r>
            </w:hyperlink>
            <w:r>
              <w:rPr>
                <w:rStyle w:val="Normal"/>
              </w:rPr>
              <w:t xml:space="preserve">, </w:t>
            </w:r>
            <w:hyperlink w:history="1" r:id="rIdnzlgjzkf0o4odvs9yltq0">
              <w:r>
                <w:rPr>
                  <w:rStyle w:val="Hyperlink"/>
                </w:rPr>
                <w:t xml:space="preserve">[whalermike.github.io]</w:t>
              </w:r>
            </w:hyperlink>
            <w:r>
              <w:rPr>
                <w:rStyle w:val="Normal"/>
              </w:rPr>
              <w:t xml:space="preserve">.</w:t>
            </w:r>
          </w:p>
        </w:tc>
        <w:tc>
          <w:tcPr>
            <w:vAlign w:val="center"/>
          </w:tcPr>
          <w:p>
            <w:r>
              <w:rPr>
                <w:rStyle w:val="Normal"/>
              </w:rPr>
              <w:t xml:space="preserve">– Doesn’t explicitly mention common </w:t>
            </w:r>
            <w:r>
              <w:rPr>
                <w:b/>
                <w:bCs/>
                <w:rStyle w:val="Normal"/>
              </w:rPr>
              <w:t xml:space="preserve">NTLM scenarios</w:t>
            </w:r>
            <w:r>
              <w:rPr>
                <w:rStyle w:val="Normal"/>
              </w:rPr>
              <w:t xml:space="preserve"> like Named Pipes or IP-address connections always using NTLM </w:t>
            </w:r>
            <w:hyperlink w:history="1" r:id="rIdzkbuq3aikkmzwis0xjfig">
              <w:r>
                <w:rPr>
                  <w:rStyle w:val="Hyperlink"/>
                </w:rPr>
                <w:t xml:space="preserve">[sqlfingers.com]</w:t>
              </w:r>
            </w:hyperlink>
            <w:r>
              <w:rPr>
                <w:rStyle w:val="Normal"/>
              </w:rPr>
              <w:t xml:space="preserve">. </w:t>
            </w:r>
            <w:r>
              <w:rPr>
                <w:rStyle w:val="Normal"/>
              </w:rPr>
              <w:t xml:space="preserve"> – Assumes readers know if their environment has these issues (though the audit script will surface them).</w:t>
            </w:r>
          </w:p>
        </w:tc>
        <w:tc>
          <w:tcPr>
            <w:vAlign w:val="center"/>
          </w:tcPr>
          <w:p>
            <w:r>
              <w:rPr>
                <w:i/>
                <w:iCs/>
                <w:rStyle w:val="Normal"/>
              </w:rPr>
              <w:t xml:space="preserve">Expand</w:t>
            </w:r>
            <w:r>
              <w:rPr>
                <w:rStyle w:val="Normal"/>
              </w:rPr>
              <w:t xml:space="preserve"> Book 06 or Book 01 to list known </w:t>
            </w:r>
            <w:r>
              <w:rPr>
                <w:b/>
                <w:bCs/>
                <w:rStyle w:val="Normal"/>
              </w:rPr>
              <w:t xml:space="preserve">NTLM-triggering cases</w:t>
            </w:r>
            <w:r>
              <w:rPr>
                <w:rStyle w:val="Normal"/>
              </w:rPr>
              <w:t xml:space="preserve"> (e.g. Named Pipes, local connections, missing SPNs, old drivers) </w:t>
            </w:r>
            <w:hyperlink w:history="1" r:id="rIddw_qeuc2h4g2deppw9ngo">
              <w:r>
                <w:rPr>
                  <w:rStyle w:val="Hyperlink"/>
                </w:rPr>
                <w:t xml:space="preserve">[sqlfingers.com]</w:t>
              </w:r>
            </w:hyperlink>
            <w:r>
              <w:rPr>
                <w:rStyle w:val="Normal"/>
              </w:rPr>
              <w:t xml:space="preserve"> so DBAs can comprehensively hunt these down.</w:t>
            </w:r>
          </w:p>
        </w:tc>
      </w:tr>
      <w:tr>
        <w:tc>
          <w:tcPr>
            <w:vAlign w:val="center"/>
          </w:tcPr>
          <w:p>
            <w:r>
              <w:rPr>
                <w:b/>
                <w:bCs/>
                <w:rStyle w:val="Normal"/>
              </w:rPr>
              <w:t xml:space="preserve">Eliminating SQL Logins</w:t>
            </w:r>
            <w:r>
              <w:rPr>
                <w:rStyle w:val="Normal"/>
              </w:rPr>
              <w:t xml:space="preserve"> </w:t>
            </w:r>
            <w:r>
              <w:rPr>
                <w:i/>
                <w:iCs/>
                <w:rStyle w:val="Normal"/>
              </w:rPr>
              <w:t xml:space="preserve">Book 05</w:t>
            </w:r>
          </w:p>
        </w:tc>
        <w:tc>
          <w:tcPr>
            <w:vAlign w:val="center"/>
          </w:tcPr>
          <w:p>
            <w:r>
              <w:rPr>
                <w:rStyle w:val="Normal"/>
              </w:rPr>
              <w:t xml:space="preserve">– Strong stance on removing SQL-auth (type S) logins and the </w:t>
            </w:r>
            <w:r>
              <w:rPr>
                <w:rStyle w:val="Quote"/>
              </w:rPr>
              <w:t xml:space="preserve">sa</w:t>
            </w:r>
            <w:r>
              <w:rPr>
                <w:rStyle w:val="Normal"/>
              </w:rPr>
              <w:t xml:space="preserve"> account, improving security and auditability </w:t>
            </w:r>
            <w:hyperlink w:history="1" r:id="rIdkazp_vgfkcpbuaxgfc1xe">
              <w:r>
                <w:rPr>
                  <w:rStyle w:val="Hyperlink"/>
                </w:rPr>
                <w:t xml:space="preserve">[whalermike.github.io]</w:t>
              </w:r>
            </w:hyperlink>
            <w:r>
              <w:rPr>
                <w:rStyle w:val="Normal"/>
              </w:rPr>
              <w:t xml:space="preserve">. </w:t>
            </w:r>
            <w:r>
              <w:rPr>
                <w:rStyle w:val="Normal"/>
              </w:rPr>
              <w:t xml:space="preserve"> –  Allows exceptions only with compensating controls &amp; timelines </w:t>
            </w:r>
            <w:hyperlink w:history="1" r:id="rIdftkdltxcgzutd2dfck_at">
              <w:r>
                <w:rPr>
                  <w:rStyle w:val="Hyperlink"/>
                </w:rPr>
                <w:t xml:space="preserve">[whalermike.github.io]</w:t>
              </w:r>
            </w:hyperlink>
            <w:r>
              <w:rPr>
                <w:rStyle w:val="Normal"/>
              </w:rPr>
              <w:t xml:space="preserve">. </w:t>
            </w:r>
            <w:r>
              <w:rPr>
                <w:rStyle w:val="Normal"/>
              </w:rPr>
              <w:t xml:space="preserve"> – Emphasizes “Windows-only” mode post-migration to enforce this </w:t>
            </w:r>
            <w:hyperlink w:history="1" r:id="rIduyy4ylajtcyyv0uxtrrdn">
              <w:r>
                <w:rPr>
                  <w:rStyle w:val="Hyperlink"/>
                </w:rPr>
                <w:t xml:space="preserve">[whalermike.github.io]</w:t>
              </w:r>
            </w:hyperlink>
            <w:r>
              <w:rPr>
                <w:rStyle w:val="Normal"/>
              </w:rPr>
              <w:t xml:space="preserve">.</w:t>
            </w:r>
          </w:p>
        </w:tc>
        <w:tc>
          <w:tcPr>
            <w:vAlign w:val="center"/>
          </w:tcPr>
          <w:p>
            <w:r>
              <w:rPr>
                <w:rStyle w:val="Normal"/>
              </w:rPr>
              <w:t xml:space="preserve">– </w:t>
            </w:r>
            <w:r>
              <w:rPr>
                <w:b/>
                <w:bCs/>
                <w:rStyle w:val="Normal"/>
              </w:rPr>
              <w:t xml:space="preserve">Break-glass access</w:t>
            </w:r>
            <w:r>
              <w:rPr>
                <w:rStyle w:val="Normal"/>
              </w:rPr>
              <w:t xml:space="preserve">: Removing all SQL logins means reliance on AAD – a risk if cloud auth is down. </w:t>
            </w:r>
            <w:r>
              <w:rPr>
                <w:rStyle w:val="Normal"/>
              </w:rPr>
              <w:t xml:space="preserve"> – Potential pushback from DBAs who view </w:t>
            </w:r>
            <w:r>
              <w:rPr>
                <w:rStyle w:val="Quote"/>
              </w:rPr>
              <w:t xml:space="preserve">sa</w:t>
            </w:r>
            <w:r>
              <w:rPr>
                <w:rStyle w:val="Normal"/>
              </w:rPr>
              <w:t xml:space="preserve"> as last resort access.</w:t>
            </w:r>
          </w:p>
        </w:tc>
        <w:tc>
          <w:tcPr>
            <w:vAlign w:val="center"/>
          </w:tcPr>
          <w:p>
            <w:r>
              <w:rPr>
                <w:i/>
                <w:iCs/>
                <w:rStyle w:val="Normal"/>
              </w:rPr>
              <w:t xml:space="preserve">Clarify</w:t>
            </w:r>
            <w:r>
              <w:rPr>
                <w:rStyle w:val="Normal"/>
              </w:rPr>
              <w:t xml:space="preserve"> break-glass strategy: e.g. retain a </w:t>
            </w:r>
            <w:r>
              <w:rPr>
                <w:b/>
                <w:bCs/>
                <w:rStyle w:val="Normal"/>
              </w:rPr>
              <w:t xml:space="preserve">disabled </w:t>
            </w:r>
            <w:r>
              <w:rPr>
                <w:rStyle w:val="Quote"/>
              </w:rPr>
              <w:t xml:space="preserve">sa</w:t>
            </w:r>
            <w:r>
              <w:rPr>
                <w:rStyle w:val="Normal"/>
              </w:rPr>
              <w:t xml:space="preserve"> (with a unique name and robust password in a vault) for emergencies </w:t>
            </w:r>
            <w:hyperlink w:history="1" r:id="rIdbgnygnq5fyv1bmj8hgst4">
              <w:r>
                <w:rPr>
                  <w:rStyle w:val="Hyperlink"/>
                </w:rPr>
                <w:t xml:space="preserve">[whalermike.github.io]</w:t>
              </w:r>
            </w:hyperlink>
            <w:r>
              <w:rPr>
                <w:rStyle w:val="Normal"/>
              </w:rPr>
              <w:t xml:space="preserve">. Emphasize modern </w:t>
            </w:r>
            <w:r>
              <w:rPr>
                <w:b/>
                <w:bCs/>
                <w:rStyle w:val="Normal"/>
              </w:rPr>
              <w:t xml:space="preserve">AAD SLA</w:t>
            </w:r>
            <w:r>
              <w:rPr>
                <w:rStyle w:val="Normal"/>
              </w:rPr>
              <w:t xml:space="preserve"> and encourage having reliable network connectivity/redundancy (or mention that temporary reversion to a local auth method is possible if absolutely needed).</w:t>
            </w:r>
          </w:p>
        </w:tc>
      </w:tr>
      <w:tr>
        <w:tc>
          <w:tcPr>
            <w:vAlign w:val="center"/>
          </w:tcPr>
          <w:p>
            <w:r>
              <w:rPr>
                <w:b/>
                <w:bCs/>
                <w:rStyle w:val="Normal"/>
              </w:rPr>
              <w:t xml:space="preserve">Azure Arc for Entra ID Auth</w:t>
            </w:r>
            <w:r>
              <w:rPr>
                <w:rStyle w:val="Normal"/>
              </w:rPr>
              <w:t xml:space="preserve"> </w:t>
            </w:r>
            <w:r>
              <w:rPr>
                <w:i/>
                <w:iCs/>
                <w:rStyle w:val="Normal"/>
              </w:rPr>
              <w:t xml:space="preserve">Book 04</w:t>
            </w:r>
          </w:p>
        </w:tc>
        <w:tc>
          <w:tcPr>
            <w:vAlign w:val="center"/>
          </w:tcPr>
          <w:p>
            <w:r>
              <w:rPr>
                <w:rStyle w:val="Normal"/>
              </w:rPr>
              <w:t xml:space="preserve">– Correctly identifies Azure Arc as key to enabling AAD auth on SQL 2022 </w:t>
            </w:r>
            <w:hyperlink w:history="1" r:id="rIdxrvxp1w6snhk5qmqbj7ja">
              <w:r>
                <w:rPr>
                  <w:rStyle w:val="Hyperlink"/>
                </w:rPr>
                <w:t xml:space="preserve">[whalermike.github.io]</w:t>
              </w:r>
            </w:hyperlink>
            <w:r>
              <w:rPr>
                <w:rStyle w:val="Normal"/>
              </w:rPr>
              <w:t xml:space="preserve">. </w:t>
            </w:r>
            <w:r>
              <w:rPr>
                <w:rStyle w:val="Normal"/>
              </w:rPr>
              <w:t xml:space="preserve"> – Leverages Arc for </w:t>
            </w:r>
            <w:r>
              <w:rPr>
                <w:b/>
                <w:bCs/>
                <w:rStyle w:val="Normal"/>
              </w:rPr>
              <w:t xml:space="preserve">Managed Identity</w:t>
            </w:r>
            <w:r>
              <w:rPr>
                <w:rStyle w:val="Normal"/>
              </w:rPr>
              <w:t xml:space="preserve">, solving how to replace Windows service accounts </w:t>
            </w:r>
            <w:hyperlink w:history="1" r:id="rId9pfwkd8mjzky0f7ctd5va">
              <w:r>
                <w:rPr>
                  <w:rStyle w:val="Hyperlink"/>
                </w:rPr>
                <w:t xml:space="preserve">[whalermike.github.io]</w:t>
              </w:r>
            </w:hyperlink>
            <w:r>
              <w:rPr>
                <w:rStyle w:val="Normal"/>
              </w:rPr>
              <w:t xml:space="preserve">. </w:t>
            </w:r>
            <w:r>
              <w:rPr>
                <w:rStyle w:val="Normal"/>
              </w:rPr>
              <w:t xml:space="preserve"> – Emphasizes doing Arc enablement </w:t>
            </w:r>
            <w:r>
              <w:rPr>
                <w:b/>
                <w:bCs/>
                <w:rStyle w:val="Normal"/>
              </w:rPr>
              <w:t xml:space="preserve">before</w:t>
            </w:r>
            <w:r>
              <w:rPr>
                <w:rStyle w:val="Normal"/>
              </w:rPr>
              <w:t xml:space="preserve"> cutover, avoiding sequencing issues with domain removal </w:t>
            </w:r>
            <w:hyperlink w:history="1" r:id="rIdnrwiezv9fsqqfkjzpnuls">
              <w:r>
                <w:rPr>
                  <w:rStyle w:val="Hyperlink"/>
                </w:rPr>
                <w:t xml:space="preserve">[whalermike.github.io]</w:t>
              </w:r>
            </w:hyperlink>
            <w:r>
              <w:rPr>
                <w:rStyle w:val="Normal"/>
              </w:rPr>
              <w:t xml:space="preserve">.</w:t>
            </w:r>
          </w:p>
        </w:tc>
        <w:tc>
          <w:tcPr>
            <w:vAlign w:val="center"/>
          </w:tcPr>
          <w:p>
            <w:r>
              <w:rPr>
                <w:rStyle w:val="Normal"/>
              </w:rPr>
              <w:t xml:space="preserve">– Implies Arc is mandatory; doesn’t acknowledge Microsoft’s </w:t>
            </w:r>
            <w:r>
              <w:rPr>
                <w:i/>
                <w:iCs/>
                <w:rStyle w:val="Normal"/>
              </w:rPr>
              <w:t xml:space="preserve">alternate AAD setup</w:t>
            </w:r>
            <w:r>
              <w:rPr>
                <w:rStyle w:val="Normal"/>
              </w:rPr>
              <w:t xml:space="preserve"> (cert-based) for those who </w:t>
            </w:r>
            <w:r>
              <w:rPr>
                <w:b/>
                <w:bCs/>
                <w:rStyle w:val="Normal"/>
              </w:rPr>
              <w:t xml:space="preserve">cannot install Arc</w:t>
            </w:r>
            <w:r>
              <w:rPr>
                <w:rStyle w:val="Normal"/>
              </w:rPr>
              <w:t xml:space="preserve"> </w:t>
            </w:r>
            <w:hyperlink w:history="1" r:id="rId0i-0mvpycp3ncxfndwtxx">
              <w:r>
                <w:rPr>
                  <w:rStyle w:val="Hyperlink"/>
                </w:rPr>
                <w:t xml:space="preserve">[learn.microsoft.com]</w:t>
              </w:r>
            </w:hyperlink>
            <w:r>
              <w:rPr>
                <w:rStyle w:val="Normal"/>
              </w:rPr>
              <w:t xml:space="preserve">. </w:t>
            </w:r>
            <w:r>
              <w:rPr>
                <w:rStyle w:val="Normal"/>
              </w:rPr>
              <w:t xml:space="preserve"> – </w:t>
            </w:r>
            <w:r>
              <w:rPr>
                <w:b/>
                <w:bCs/>
                <w:rStyle w:val="Normal"/>
              </w:rPr>
              <w:t xml:space="preserve">Failover cluster instances (FCIs)</w:t>
            </w:r>
            <w:r>
              <w:rPr>
                <w:rStyle w:val="Normal"/>
              </w:rPr>
              <w:t xml:space="preserve"> not discussed – AAD auth is unsupported there.</w:t>
            </w:r>
          </w:p>
        </w:tc>
        <w:tc>
          <w:tcPr>
            <w:vAlign w:val="center"/>
          </w:tcPr>
          <w:p>
            <w:r>
              <w:rPr>
                <w:i/>
                <w:iCs/>
                <w:rStyle w:val="Normal"/>
              </w:rPr>
              <w:t xml:space="preserve">Add</w:t>
            </w:r>
            <w:r>
              <w:rPr>
                <w:rStyle w:val="Normal"/>
              </w:rPr>
              <w:t xml:space="preserve"> footnote on </w:t>
            </w:r>
            <w:r>
              <w:rPr>
                <w:b/>
                <w:bCs/>
                <w:rStyle w:val="Normal"/>
              </w:rPr>
              <w:t xml:space="preserve">Arc alternatives</w:t>
            </w:r>
            <w:r>
              <w:rPr>
                <w:rStyle w:val="Normal"/>
              </w:rPr>
              <w:t xml:space="preserve">: If Arc installation is not possible, reference Microsoft’s manual AAD integration steps </w:t>
            </w:r>
            <w:hyperlink w:history="1" r:id="rIdzvodnbffscujlvz0bfsds">
              <w:r>
                <w:rPr>
                  <w:rStyle w:val="Hyperlink"/>
                </w:rPr>
                <w:t xml:space="preserve">[learn.microsoft.com]</w:t>
              </w:r>
            </w:hyperlink>
            <w:r>
              <w:rPr>
                <w:rStyle w:val="Normal"/>
              </w:rPr>
              <w:t xml:space="preserve"> (with caveat that it’s complex and not scalable). </w:t>
            </w:r>
            <w:r>
              <w:rPr>
                <w:rStyle w:val="Normal"/>
              </w:rPr>
              <w:t xml:space="preserve"> </w:t>
            </w:r>
            <w:r>
              <w:rPr>
                <w:i/>
                <w:iCs/>
                <w:rStyle w:val="Normal"/>
              </w:rPr>
              <w:t xml:space="preserve">Acknowledge</w:t>
            </w:r>
            <w:r>
              <w:rPr>
                <w:rStyle w:val="Normal"/>
              </w:rPr>
              <w:t xml:space="preserve"> FCI limitation: suggest converting FCIs to AGs or maintaining AD for those, pending MS support.</w:t>
            </w:r>
          </w:p>
        </w:tc>
      </w:tr>
      <w:tr>
        <w:tc>
          <w:tcPr>
            <w:vAlign w:val="center"/>
          </w:tcPr>
          <w:p>
            <w:r>
              <w:rPr>
                <w:b/>
                <w:bCs/>
                <w:rStyle w:val="Normal"/>
              </w:rPr>
              <w:t xml:space="preserve">Access Control &amp; Roles</w:t>
            </w:r>
            <w:r>
              <w:rPr>
                <w:rStyle w:val="Normal"/>
              </w:rPr>
              <w:t xml:space="preserve"> </w:t>
            </w:r>
            <w:r>
              <w:rPr>
                <w:i/>
                <w:iCs/>
                <w:rStyle w:val="Normal"/>
              </w:rPr>
              <w:t xml:space="preserve">Book 07</w:t>
            </w:r>
          </w:p>
        </w:tc>
        <w:tc>
          <w:tcPr>
            <w:vAlign w:val="center"/>
          </w:tcPr>
          <w:p>
            <w:r>
              <w:rPr>
                <w:rStyle w:val="Normal"/>
              </w:rPr>
              <w:t xml:space="preserve">– Introduces </w:t>
            </w:r>
            <w:r>
              <w:rPr>
                <w:b/>
                <w:bCs/>
                <w:rStyle w:val="Normal"/>
              </w:rPr>
              <w:t xml:space="preserve">dynamic Entra groups</w:t>
            </w:r>
            <w:r>
              <w:rPr>
                <w:rStyle w:val="Normal"/>
              </w:rPr>
              <w:t xml:space="preserve"> and </w:t>
            </w:r>
            <w:r>
              <w:rPr>
                <w:b/>
                <w:bCs/>
                <w:rStyle w:val="Normal"/>
              </w:rPr>
              <w:t xml:space="preserve">Admin Units</w:t>
            </w:r>
            <w:r>
              <w:rPr>
                <w:rStyle w:val="Normal"/>
              </w:rPr>
              <w:t xml:space="preserve"> for granular delegation </w:t>
            </w:r>
            <w:hyperlink w:history="1" r:id="rIdiskwbwzv7hnkernrulti1">
              <w:r>
                <w:rPr>
                  <w:rStyle w:val="Hyperlink"/>
                </w:rPr>
                <w:t xml:space="preserve">[whalermike.github.io]</w:t>
              </w:r>
            </w:hyperlink>
            <w:r>
              <w:rPr>
                <w:rStyle w:val="Normal"/>
              </w:rPr>
              <w:t xml:space="preserve">, </w:t>
            </w:r>
            <w:hyperlink w:history="1" r:id="rId_k1i5xecwaqq0dqnl1zfc">
              <w:r>
                <w:rPr>
                  <w:rStyle w:val="Hyperlink"/>
                </w:rPr>
                <w:t xml:space="preserve">[whalermike.github.io]</w:t>
              </w:r>
            </w:hyperlink>
            <w:r>
              <w:rPr>
                <w:rStyle w:val="Normal"/>
              </w:rPr>
              <w:t xml:space="preserve">. </w:t>
            </w:r>
            <w:r>
              <w:rPr>
                <w:rStyle w:val="Normal"/>
              </w:rPr>
              <w:t xml:space="preserve"> – Aligns with an enterprise-wide identity initiative (OrgPath attributes), automating group membership and minimizing manual admin overhead </w:t>
            </w:r>
            <w:hyperlink w:history="1" r:id="rIdhg0zpegrzuvfithmnzp4i">
              <w:r>
                <w:rPr>
                  <w:rStyle w:val="Hyperlink"/>
                </w:rPr>
                <w:t xml:space="preserve">[whalermike.github.io]</w:t>
              </w:r>
            </w:hyperlink>
            <w:r>
              <w:rPr>
                <w:rStyle w:val="Normal"/>
              </w:rPr>
              <w:t xml:space="preserve">. </w:t>
            </w:r>
            <w:r>
              <w:rPr>
                <w:rStyle w:val="Normal"/>
              </w:rPr>
              <w:t xml:space="preserve"> – Ties database access into Conditional Access (“outer perimeter”) – e.g. using CA policies to restrict access by compliant devices, etc. </w:t>
            </w:r>
            <w:hyperlink w:history="1" r:id="rIdujzcqmgodcvfzh3r62qzt">
              <w:r>
                <w:rPr>
                  <w:rStyle w:val="Hyperlink"/>
                </w:rPr>
                <w:t xml:space="preserve">[whalermike.github.io]</w:t>
              </w:r>
            </w:hyperlink>
            <w:r>
              <w:rPr>
                <w:rStyle w:val="Normal"/>
              </w:rPr>
              <w:t xml:space="preserve">.</w:t>
            </w:r>
          </w:p>
        </w:tc>
        <w:tc>
          <w:tcPr>
            <w:vAlign w:val="center"/>
          </w:tcPr>
          <w:p>
            <w:r>
              <w:rPr>
                <w:rStyle w:val="Normal"/>
              </w:rPr>
              <w:t xml:space="preserve">– Effectiveness of dynamic groups depends on </w:t>
            </w:r>
            <w:r>
              <w:rPr>
                <w:b/>
                <w:bCs/>
                <w:rStyle w:val="Normal"/>
              </w:rPr>
              <w:t xml:space="preserve">accurate attribute data</w:t>
            </w:r>
            <w:r>
              <w:rPr>
                <w:rStyle w:val="Normal"/>
              </w:rPr>
              <w:t xml:space="preserve"> and AAD performance (propagation delay of rule changes, etc.). </w:t>
            </w:r>
            <w:r>
              <w:rPr>
                <w:rStyle w:val="Normal"/>
              </w:rPr>
              <w:t xml:space="preserve"> – AAD Admin Units are a relatively new feature; teams may need training to use them for role delegation. </w:t>
            </w:r>
            <w:r>
              <w:rPr>
                <w:rStyle w:val="Normal"/>
              </w:rPr>
              <w:t xml:space="preserve"> – No discussion of </w:t>
            </w:r>
            <w:r>
              <w:rPr>
                <w:i/>
                <w:iCs/>
                <w:rStyle w:val="Normal"/>
              </w:rPr>
              <w:t xml:space="preserve">privileged access management</w:t>
            </w:r>
            <w:r>
              <w:rPr>
                <w:rStyle w:val="Normal"/>
              </w:rPr>
              <w:t xml:space="preserve"> (e.g. using PIM for DBAs).</w:t>
            </w:r>
          </w:p>
        </w:tc>
        <w:tc>
          <w:tcPr>
            <w:vAlign w:val="center"/>
          </w:tcPr>
          <w:p>
            <w:r>
              <w:rPr>
                <w:i/>
                <w:iCs/>
                <w:rStyle w:val="Normal"/>
              </w:rPr>
              <w:t xml:space="preserve">Include</w:t>
            </w:r>
            <w:r>
              <w:rPr>
                <w:rStyle w:val="Normal"/>
              </w:rPr>
              <w:t xml:space="preserve"> a reminder that dynamic group rules need governance – ensuring OrgPath attributes are maintained is crucial. Possibly reference best practices for dynamic group rule complexity and update frequency. </w:t>
            </w:r>
            <w:r>
              <w:rPr>
                <w:rStyle w:val="Normal"/>
              </w:rPr>
              <w:t xml:space="preserve"> Consider adding guidance or a reference to managing privileged DB admin accounts (maybe linking with the OrgPath/Org chart for admins).</w:t>
            </w:r>
          </w:p>
        </w:tc>
      </w:tr>
      <w:tr>
        <w:tc>
          <w:tcPr>
            <w:vAlign w:val="center"/>
          </w:tcPr>
          <w:p>
            <w:r>
              <w:rPr>
                <w:b/>
                <w:bCs/>
                <w:rStyle w:val="Normal"/>
              </w:rPr>
              <w:t xml:space="preserve">Upstream Application Changes</w:t>
            </w:r>
            <w:r>
              <w:rPr>
                <w:rStyle w:val="Normal"/>
              </w:rPr>
              <w:t xml:space="preserve"> </w:t>
            </w:r>
            <w:r>
              <w:rPr>
                <w:i/>
                <w:iCs/>
                <w:rStyle w:val="Normal"/>
              </w:rPr>
              <w:t xml:space="preserve">Book 08</w:t>
            </w:r>
          </w:p>
        </w:tc>
        <w:tc>
          <w:tcPr>
            <w:vAlign w:val="center"/>
          </w:tcPr>
          <w:p>
            <w:r>
              <w:rPr>
                <w:rStyle w:val="Normal"/>
              </w:rPr>
              <w:t xml:space="preserve">– Solid classification of app scenarios (App Proxy, SAML, OIDC, AAD DS) covering most cases of how apps authenticate users </w:t>
            </w:r>
            <w:hyperlink w:history="1" r:id="rIdnpujew32xq7j8fnyz6whi">
              <w:r>
                <w:rPr>
                  <w:rStyle w:val="Hyperlink"/>
                </w:rPr>
                <w:t xml:space="preserve">[whalermike.github.io]</w:t>
              </w:r>
            </w:hyperlink>
            <w:r>
              <w:rPr>
                <w:rStyle w:val="Normal"/>
              </w:rPr>
              <w:t xml:space="preserve">. </w:t>
            </w:r>
            <w:r>
              <w:rPr>
                <w:rStyle w:val="Normal"/>
              </w:rPr>
              <w:t xml:space="preserve"> – Recognizes that </w:t>
            </w:r>
            <w:r>
              <w:rPr>
                <w:b/>
                <w:bCs/>
                <w:rStyle w:val="Normal"/>
              </w:rPr>
              <w:t xml:space="preserve">application remediation or proxies</w:t>
            </w:r>
            <w:r>
              <w:rPr>
                <w:rStyle w:val="Normal"/>
              </w:rPr>
              <w:t xml:space="preserve"> may be needed so apps can pass AAD tokens to SQL (or use service principals), preventing an otherwise fully modern DB from being bottlenecked by a legacy app. </w:t>
            </w:r>
            <w:r>
              <w:rPr>
                <w:rStyle w:val="Normal"/>
              </w:rPr>
              <w:t xml:space="preserve"> – Emphasizes that connection string changes (to use new auth) are </w:t>
            </w:r>
            <w:r>
              <w:rPr>
                <w:i/>
                <w:iCs/>
                <w:rStyle w:val="Normal"/>
              </w:rPr>
              <w:t xml:space="preserve">the final step</w:t>
            </w:r>
            <w:r>
              <w:rPr>
                <w:rStyle w:val="Normal"/>
              </w:rPr>
              <w:t xml:space="preserve"> once identity issues are sorted </w:t>
            </w:r>
            <w:hyperlink w:history="1" r:id="rIdezxy6rrhwyyd0sjx9eax_">
              <w:r>
                <w:rPr>
                  <w:rStyle w:val="Hyperlink"/>
                </w:rPr>
                <w:t xml:space="preserve">[whalermike.github.io]</w:t>
              </w:r>
            </w:hyperlink>
            <w:r>
              <w:rPr>
                <w:rStyle w:val="Normal"/>
              </w:rPr>
              <w:t xml:space="preserve">.</w:t>
            </w:r>
          </w:p>
        </w:tc>
        <w:tc>
          <w:tcPr>
            <w:vAlign w:val="center"/>
          </w:tcPr>
          <w:p>
            <w:r>
              <w:rPr>
                <w:rStyle w:val="Normal"/>
              </w:rPr>
              <w:t xml:space="preserve">– Some legacy apps or ODBC-based reporting tools might not support AAD tokens, even with an App Proxy. Those might need AAD DS or </w:t>
            </w:r>
            <w:r>
              <w:rPr>
                <w:i/>
                <w:iCs/>
                <w:rStyle w:val="Normal"/>
              </w:rPr>
              <w:t xml:space="preserve">remain on Windows Auth until replaced</w:t>
            </w:r>
            <w:r>
              <w:rPr>
                <w:rStyle w:val="Normal"/>
              </w:rPr>
              <w:t xml:space="preserve">, but this isn’t explicitly spelled out. </w:t>
            </w:r>
            <w:r>
              <w:rPr>
                <w:rStyle w:val="Normal"/>
              </w:rPr>
              <w:t xml:space="preserve"> – No explicit mention of </w:t>
            </w:r>
            <w:r>
              <w:rPr>
                <w:i/>
                <w:iCs/>
                <w:rStyle w:val="Normal"/>
              </w:rPr>
              <w:t xml:space="preserve">application connection pooling</w:t>
            </w:r>
            <w:r>
              <w:rPr>
                <w:rStyle w:val="Normal"/>
              </w:rPr>
              <w:t xml:space="preserve"> changes: e.g., how will connection pools obtain tokens and potentially refresh them (though Book 05’s parallel test likely addresses this).</w:t>
            </w:r>
          </w:p>
        </w:tc>
        <w:tc>
          <w:tcPr>
            <w:vAlign w:val="center"/>
          </w:tcPr>
          <w:p>
            <w:r>
              <w:rPr>
                <w:i/>
                <w:iCs/>
                <w:rStyle w:val="Normal"/>
              </w:rPr>
              <w:t xml:space="preserve">Highlight</w:t>
            </w:r>
            <w:r>
              <w:rPr>
                <w:rStyle w:val="Normal"/>
              </w:rPr>
              <w:t xml:space="preserve"> that some applications may require </w:t>
            </w:r>
            <w:r>
              <w:rPr>
                <w:b/>
                <w:bCs/>
                <w:rStyle w:val="Normal"/>
              </w:rPr>
              <w:t xml:space="preserve">code or driver updates</w:t>
            </w:r>
            <w:r>
              <w:rPr>
                <w:rStyle w:val="Normal"/>
              </w:rPr>
              <w:t xml:space="preserve"> for AAD support (e.g., updating to MSOLEDBSQL driver 18+ for Azure AD password or integrated auth). </w:t>
            </w:r>
            <w:r>
              <w:rPr>
                <w:rStyle w:val="Normal"/>
              </w:rPr>
              <w:t xml:space="preserve"> If not already in Book 08, mention that truly inadaptable apps might use </w:t>
            </w:r>
            <w:r>
              <w:rPr>
                <w:b/>
                <w:bCs/>
                <w:rStyle w:val="Normal"/>
              </w:rPr>
              <w:t xml:space="preserve">Entra Domain Services</w:t>
            </w:r>
            <w:r>
              <w:rPr>
                <w:rStyle w:val="Normal"/>
              </w:rPr>
              <w:t xml:space="preserve"> as a bridge (reiterating ADR-069’s guidance) or remain in a legacy enclave until decommissioned.</w:t>
            </w:r>
          </w:p>
        </w:tc>
      </w:tr>
    </w:tbl>
    <w:p>
      <w:pPr>
        <w:pStyle w:val="Heading2"/>
      </w:pPr>
      <w:r>
        <w:rPr>
          <w:rStyle w:val="Normal"/>
        </w:rPr>
        <w:t xml:space="preserve">3. </w:t>
      </w:r>
      <w:r>
        <w:rPr>
          <w:b/>
          <w:bCs/>
          <w:rStyle w:val="Normal"/>
        </w:rPr>
        <w:t xml:space="preserve">Cloud &amp; Hybrid Platform Realism</w:t>
      </w:r>
    </w:p>
    <w:p>
      <w:r>
        <w:rPr>
          <w:b/>
          <w:bCs/>
          <w:rStyle w:val="Normal"/>
        </w:rPr>
        <w:t xml:space="preserve">Strengths:</w:t>
      </w:r>
      <w:r>
        <w:rPr>
          <w:rStyle w:val="Normal"/>
        </w:rPr>
        <w:t xml:space="preserve"> The narrative acknowledges that technology changes are partly </w:t>
      </w:r>
      <w:r>
        <w:rPr>
          <w:b/>
          <w:bCs/>
          <w:rStyle w:val="Normal"/>
        </w:rPr>
        <w:t xml:space="preserve">forced by Microsoft’s cloud strategy</w:t>
      </w:r>
      <w:r>
        <w:rPr>
          <w:rStyle w:val="Normal"/>
        </w:rPr>
        <w:t xml:space="preserve">, and it doesn’t shy away from the hard truth: continuing with the status quo is untenable due to factors outside the agency’s control. By doing so, it sets the stage for </w:t>
      </w:r>
      <w:r>
        <w:rPr>
          <w:b/>
          <w:bCs/>
          <w:rStyle w:val="Normal"/>
        </w:rPr>
        <w:t xml:space="preserve">organizational buy-in</w:t>
      </w:r>
      <w:r>
        <w:rPr>
          <w:rStyle w:val="Normal"/>
        </w:rPr>
        <w:t xml:space="preserve"> – a key element in any large-scale IT transformation. Notable strengths in this area include: </w:t>
      </w:r>
      <w:hyperlink w:history="1" r:id="rIdk1yjpl4ipziufiug9t0nu">
        <w:r>
          <w:rPr>
            <w:rStyle w:val="Hyperlink"/>
          </w:rPr>
          <w:t xml:space="preserve">[whalermike.github.io]</w:t>
        </w:r>
      </w:hyperlink>
      <w:r>
        <w:rPr>
          <w:rStyle w:val="Normal"/>
        </w:rPr>
        <w:t xml:space="preserve">, </w:t>
      </w:r>
      <w:hyperlink w:history="1" r:id="rIdaq_o1nr5leg5d7f4y8hir">
        <w:r>
          <w:rPr>
            <w:rStyle w:val="Hyperlink"/>
          </w:rPr>
          <w:t xml:space="preserve">[whalermike.github.io]</w:t>
        </w:r>
      </w:hyperlink>
    </w:p>
    <w:p>
      <w:pPr>
        <w:pStyle w:val="ListParagraph"/>
        <w:pStyle w:val="ListParagraph"/>
        <w:numPr>
          <w:ilvl w:val="0"/>
          <w:numId w:val="1"/>
        </w:numPr>
        <w:numPr>
          <w:ilvl w:val="0"/>
          <w:numId w:val="6"/>
        </w:numPr>
      </w:pPr>
      <w:r>
        <w:rPr>
          <w:b/>
          <w:bCs/>
          <w:rStyle w:val="Normal"/>
        </w:rPr>
        <w:t xml:space="preserve">Identification of External Drivers (“Forcing Functions”):</w:t>
      </w:r>
      <w:r>
        <w:rPr>
          <w:rStyle w:val="Normal"/>
        </w:rPr>
        <w:t xml:space="preserve"> Right up front, the series (and especially the </w:t>
      </w:r>
      <w:r>
        <w:rPr>
          <w:i/>
          <w:iCs/>
          <w:rStyle w:val="Normal"/>
        </w:rPr>
        <w:t xml:space="preserve">Forcing Function</w:t>
      </w:r>
      <w:r>
        <w:rPr>
          <w:rStyle w:val="Normal"/>
        </w:rPr>
        <w:t xml:space="preserve"> leadership brief) identifies three key external drivers:</w:t>
      </w:r>
    </w:p>
    <w:p>
      <w:pPr>
        <w:pStyle w:val="ListParagraph"/>
        <w:numPr>
          <w:ilvl w:val="1"/>
          <w:numId w:val="6"/>
        </w:numPr>
      </w:pPr>
      <w:r>
        <w:rPr>
          <w:b/>
          <w:bCs/>
          <w:rStyle w:val="Normal"/>
        </w:rPr>
        <w:t xml:space="preserve">SQL Server version end-of-support</w:t>
      </w:r>
      <w:r>
        <w:rPr>
          <w:rStyle w:val="Normal"/>
        </w:rPr>
        <w:t xml:space="preserve"> – needing upgrades to stay patched. </w:t>
      </w:r>
      <w:hyperlink w:history="1" r:id="rIdlyrbvqdhkje_49ii_gj_g">
        <w:r>
          <w:rPr>
            <w:rStyle w:val="Hyperlink"/>
          </w:rPr>
          <w:t xml:space="preserve">[whalermike.github.io]</w:t>
        </w:r>
      </w:hyperlink>
    </w:p>
    <w:p>
      <w:pPr>
        <w:pStyle w:val="ListParagraph"/>
        <w:numPr>
          <w:ilvl w:val="1"/>
          <w:numId w:val="6"/>
        </w:numPr>
      </w:pPr>
      <w:r>
        <w:rPr>
          <w:b/>
          <w:bCs/>
          <w:rStyle w:val="Normal"/>
        </w:rPr>
        <w:t xml:space="preserve">Extended Security Updates (ESU) requiring Azure Arc</w:t>
      </w:r>
      <w:r>
        <w:rPr>
          <w:rStyle w:val="Normal"/>
        </w:rPr>
        <w:t xml:space="preserve"> – effectively pushing on-prem servers into Azure’s management plane for post-EoL patches. </w:t>
      </w:r>
      <w:hyperlink w:history="1" r:id="rIdc6cqespfcc0pkajnkm8-h">
        <w:r>
          <w:rPr>
            <w:rStyle w:val="Hyperlink"/>
          </w:rPr>
          <w:t xml:space="preserve">[whalermike.github.io]</w:t>
        </w:r>
      </w:hyperlink>
    </w:p>
    <w:p>
      <w:pPr>
        <w:pStyle w:val="ListParagraph"/>
        <w:numPr>
          <w:ilvl w:val="1"/>
          <w:numId w:val="6"/>
        </w:numPr>
      </w:pPr>
      <w:r>
        <w:rPr>
          <w:b/>
          <w:bCs/>
          <w:rStyle w:val="Normal"/>
        </w:rPr>
        <w:t xml:space="preserve">NTLM Deprecation by Microsoft</w:t>
      </w:r>
      <w:r>
        <w:rPr>
          <w:rStyle w:val="Normal"/>
        </w:rPr>
        <w:t xml:space="preserve"> – forcing elimination of legacy auth protocols irrespective of other choices.
By articulating these, the authors make it clear that the move to Entra ID and Arc is </w:t>
      </w:r>
      <w:r>
        <w:rPr>
          <w:i/>
          <w:iCs/>
          <w:rStyle w:val="Normal"/>
        </w:rPr>
        <w:t xml:space="preserve">not just an internal “nice-to-have,” but a response to Microsoft’s shifting support matrix</w:t>
      </w:r>
      <w:r>
        <w:rPr>
          <w:rStyle w:val="Normal"/>
        </w:rPr>
        <w:t xml:space="preserve">. This is accurate: Microsoft announced in 2023/2024 the deprecation of NTLM and a future </w:t>
      </w:r>
      <w:r>
        <w:rPr>
          <w:b/>
          <w:bCs/>
          <w:rStyle w:val="Normal"/>
        </w:rPr>
        <w:t xml:space="preserve">“Kerberos-only” environment</w:t>
      </w:r>
      <w:r>
        <w:rPr>
          <w:rStyle w:val="Normal"/>
        </w:rPr>
        <w:t xml:space="preserve"> for Windows networks, and offered </w:t>
      </w:r>
      <w:r>
        <w:rPr>
          <w:b/>
          <w:bCs/>
          <w:rStyle w:val="Normal"/>
        </w:rPr>
        <w:t xml:space="preserve">Arc-based ESUs for SQL Server 2012+</w:t>
      </w:r>
      <w:r>
        <w:rPr>
          <w:rStyle w:val="Normal"/>
        </w:rPr>
        <w:t xml:space="preserve"> as a bridge for customers who can’t fully upgrade by EoL. The narrative uses these facts effectively to create a </w:t>
      </w:r>
      <w:r>
        <w:rPr>
          <w:b/>
          <w:bCs/>
          <w:rStyle w:val="Normal"/>
        </w:rPr>
        <w:t xml:space="preserve">sense of urgency</w:t>
      </w:r>
      <w:r>
        <w:rPr>
          <w:rStyle w:val="Normal"/>
        </w:rPr>
        <w:t xml:space="preserve"> and justify the investment. </w:t>
      </w:r>
      <w:hyperlink w:history="1" r:id="rId3ya5vq59e00ex96xbfbmj">
        <w:r>
          <w:rPr>
            <w:rStyle w:val="Hyperlink"/>
          </w:rPr>
          <w:t xml:space="preserve">[whalermike.github.io]</w:t>
        </w:r>
      </w:hyperlink>
      <w:r>
        <w:rPr>
          <w:rStyle w:val="Normal"/>
        </w:rPr>
        <w:t xml:space="preserve"> </w:t>
      </w:r>
      <w:hyperlink w:history="1" r:id="rId87dujsmq_xzcpndkhcsqp">
        <w:r>
          <w:rPr>
            <w:rStyle w:val="Hyperlink"/>
          </w:rPr>
          <w:t xml:space="preserve">[sqlfingers.com]</w:t>
        </w:r>
      </w:hyperlink>
      <w:r>
        <w:rPr>
          <w:rStyle w:val="Normal"/>
        </w:rPr>
        <w:t xml:space="preserve">, </w:t>
      </w:r>
      <w:hyperlink w:history="1" r:id="rId5ueaan3kvvpa2jahe2tgp">
        <w:r>
          <w:rPr>
            <w:rStyle w:val="Hyperlink"/>
          </w:rPr>
          <w:t xml:space="preserve">[sqlfingers.com]</w:t>
        </w:r>
      </w:hyperlink>
    </w:p>
    <w:p>
      <w:pPr>
        <w:pStyle w:val="ListParagraph"/>
        <w:pStyle w:val="ListParagraph"/>
        <w:numPr>
          <w:ilvl w:val="0"/>
          <w:numId w:val="1"/>
        </w:numPr>
        <w:numPr>
          <w:ilvl w:val="0"/>
          <w:numId w:val="6"/>
        </w:numPr>
      </w:pPr>
      <w:r>
        <w:rPr>
          <w:b/>
          <w:bCs/>
          <w:rStyle w:val="Normal"/>
        </w:rPr>
        <w:t xml:space="preserve">Platform Choice and Future-State Options:</w:t>
      </w:r>
      <w:r>
        <w:rPr>
          <w:rStyle w:val="Normal"/>
        </w:rPr>
        <w:t xml:space="preserve"> The inclusion of Book 11 (the “Platform Question”) is a significant strength. It demonstrates </w:t>
      </w:r>
      <w:r>
        <w:rPr>
          <w:b/>
          <w:bCs/>
          <w:rStyle w:val="Normal"/>
        </w:rPr>
        <w:t xml:space="preserve">pragmatism</w:t>
      </w:r>
      <w:r>
        <w:rPr>
          <w:rStyle w:val="Normal"/>
        </w:rPr>
        <w:t xml:space="preserve"> – recognizing that some organizations might use this inflection point to consider </w:t>
      </w:r>
      <w:r>
        <w:rPr>
          <w:i/>
          <w:iCs/>
          <w:rStyle w:val="Normal"/>
        </w:rPr>
        <w:t xml:space="preserve">migrating off SQL Server entirely</w:t>
      </w:r>
      <w:r>
        <w:rPr>
          <w:rStyle w:val="Normal"/>
        </w:rPr>
        <w:t xml:space="preserve">. The provided matrix compares:</w:t>
      </w:r>
    </w:p>
    <w:p>
      <w:pPr>
        <w:pStyle w:val="ListParagraph"/>
        <w:pStyle w:val="ListParagraph"/>
        <w:numPr>
          <w:ilvl w:val="1"/>
          <w:numId w:val="1"/>
        </w:numPr>
        <w:numPr>
          <w:ilvl w:val="1"/>
          <w:numId w:val="6"/>
        </w:numPr>
      </w:pPr>
      <w:r>
        <w:rPr>
          <w:b/>
          <w:bCs/>
          <w:rStyle w:val="Normal"/>
        </w:rPr>
        <w:t xml:space="preserve">Option A: Stay on SQL Server 2022 (Arc-enabled, Entra auth)</w:t>
      </w:r>
      <w:r>
        <w:rPr>
          <w:rStyle w:val="Normal"/>
        </w:rPr>
        <w:t xml:space="preserve"> – i.e., modernize in place.</w:t>
      </w:r>
    </w:p>
    <w:p>
      <w:pPr>
        <w:pStyle w:val="ListParagraph"/>
        <w:pStyle w:val="ListParagraph"/>
        <w:numPr>
          <w:ilvl w:val="1"/>
          <w:numId w:val="1"/>
        </w:numPr>
        <w:numPr>
          <w:ilvl w:val="1"/>
          <w:numId w:val="6"/>
        </w:numPr>
      </w:pPr>
      <w:r>
        <w:rPr>
          <w:b/>
          <w:bCs/>
          <w:rStyle w:val="Normal"/>
        </w:rPr>
        <w:t xml:space="preserve">Option B: Migrate to PostgreSQL (e.g., on a PaaS or self-managed in cloud)</w:t>
      </w:r>
      <w:r>
        <w:rPr>
          <w:rStyle w:val="Normal"/>
        </w:rPr>
        <w:t xml:space="preserve">.</w:t>
      </w:r>
    </w:p>
    <w:p>
      <w:pPr>
        <w:pStyle w:val="ListParagraph"/>
        <w:pStyle w:val="ListParagraph"/>
        <w:numPr>
          <w:ilvl w:val="1"/>
          <w:numId w:val="1"/>
        </w:numPr>
        <w:numPr>
          <w:ilvl w:val="1"/>
          <w:numId w:val="6"/>
        </w:numPr>
      </w:pPr>
      <w:r>
        <w:rPr>
          <w:b/>
          <w:bCs/>
          <w:rStyle w:val="Normal"/>
        </w:rPr>
        <w:t xml:space="preserve">Option C: Migrate to Oracle</w:t>
      </w:r>
      <w:r>
        <w:rPr>
          <w:rStyle w:val="Normal"/>
        </w:rPr>
        <w:t xml:space="preserve"> (especially if the agency already has a significant Oracle footprint).
This table is well-considered, touching on effort level, licensing implications, FedRAMP cloud availability, and how each option advances the “single source of truth (SSOT)” goal. It’s </w:t>
      </w:r>
      <w:r>
        <w:rPr>
          <w:b/>
          <w:bCs/>
          <w:rStyle w:val="Normal"/>
        </w:rPr>
        <w:t xml:space="preserve">refreshingly unbiased</w:t>
      </w:r>
      <w:r>
        <w:rPr>
          <w:rStyle w:val="Normal"/>
        </w:rPr>
        <w:t xml:space="preserve"> – it doesn’t claim that staying with Microsoft is the only answer, explicitly noting </w:t>
      </w:r>
      <w:r>
        <w:rPr>
          <w:b/>
          <w:bCs/>
          <w:rStyle w:val="Normal"/>
        </w:rPr>
        <w:t xml:space="preserve">“no universal winner – it depends on the estate’s profile”</w:t>
      </w:r>
      <w:r>
        <w:rPr>
          <w:rStyle w:val="Normal"/>
        </w:rPr>
        <w:t xml:space="preserve">. This transparency adds credibility. It also guides hybrid-cloud realism by suggesting a blended outcome is likely: some workloads remain on modernized SQL, others move to Postgres, others to Oracle as fits the use-case. This multi-platform end state is indeed what many enterprises end up with, whether by choice or due to different use cases – acknowledging it prepares leadership for a </w:t>
      </w:r>
      <w:r>
        <w:rPr>
          <w:b/>
          <w:bCs/>
          <w:rStyle w:val="Normal"/>
        </w:rPr>
        <w:t xml:space="preserve">heterogeneous future</w:t>
      </w:r>
      <w:r>
        <w:rPr>
          <w:rStyle w:val="Normal"/>
        </w:rPr>
        <w:t xml:space="preserve"> rather than selling a one-size-fits-all solution. </w:t>
      </w:r>
      <w:hyperlink w:history="1" r:id="rIdwrcxqq1gfc6hr9afgeo4y">
        <w:r>
          <w:rPr>
            <w:rStyle w:val="Hyperlink"/>
          </w:rPr>
          <w:t xml:space="preserve">[whalermike.github.io]</w:t>
        </w:r>
      </w:hyperlink>
      <w:r>
        <w:rPr>
          <w:rStyle w:val="Normal"/>
        </w:rPr>
        <w:t xml:space="preserve">, </w:t>
      </w:r>
      <w:hyperlink w:history="1" r:id="rIdy_msuemgtb9zx-0eek4m0">
        <w:r>
          <w:rPr>
            <w:rStyle w:val="Hyperlink"/>
          </w:rPr>
          <w:t xml:space="preserve">[whalermike.github.io]</w:t>
        </w:r>
      </w:hyperlink>
      <w:r>
        <w:rPr>
          <w:rStyle w:val="Normal"/>
        </w:rPr>
        <w:t xml:space="preserve"> </w:t>
      </w:r>
      <w:hyperlink w:history="1" r:id="rIdcjmw2ozok_3zbc4dpj4dm">
        <w:r>
          <w:rPr>
            <w:rStyle w:val="Hyperlink"/>
          </w:rPr>
          <w:t xml:space="preserve">[whalermike.github.io]</w:t>
        </w:r>
      </w:hyperlink>
    </w:p>
    <w:p>
      <w:pPr>
        <w:pStyle w:val="ListParagraph"/>
        <w:pStyle w:val="ListParagraph"/>
        <w:numPr>
          <w:ilvl w:val="0"/>
          <w:numId w:val="1"/>
        </w:numPr>
        <w:numPr>
          <w:ilvl w:val="0"/>
          <w:numId w:val="6"/>
        </w:numPr>
      </w:pPr>
      <w:r>
        <w:rPr>
          <w:b/>
          <w:bCs/>
          <w:rStyle w:val="Normal"/>
        </w:rPr>
        <w:t xml:space="preserve">Governance and Continuous Compliance:</w:t>
      </w:r>
      <w:r>
        <w:rPr>
          <w:rStyle w:val="Normal"/>
        </w:rPr>
        <w:t xml:space="preserve"> The series goes beyond one-time technical changes and addresses how to </w:t>
      </w:r>
      <w:r>
        <w:rPr>
          <w:b/>
          <w:bCs/>
          <w:rStyle w:val="Normal"/>
        </w:rPr>
        <w:t xml:space="preserve">institutionalize the new state</w:t>
      </w:r>
      <w:r>
        <w:rPr>
          <w:rStyle w:val="Normal"/>
        </w:rPr>
        <w:t xml:space="preserve">:</w:t>
      </w:r>
    </w:p>
    <w:p>
      <w:pPr>
        <w:pStyle w:val="ListParagraph"/>
        <w:pStyle w:val="ListParagraph"/>
        <w:numPr>
          <w:ilvl w:val="1"/>
          <w:numId w:val="1"/>
        </w:numPr>
        <w:numPr>
          <w:ilvl w:val="1"/>
          <w:numId w:val="6"/>
        </w:numPr>
      </w:pPr>
      <w:r>
        <w:rPr>
          <w:rStyle w:val="Normal"/>
        </w:rPr>
        <w:t xml:space="preserve">Book 09 defines </w:t>
      </w:r>
      <w:r>
        <w:rPr>
          <w:b/>
          <w:bCs/>
          <w:rStyle w:val="Normal"/>
        </w:rPr>
        <w:t xml:space="preserve">“closure conditions”</w:t>
      </w:r>
      <w:r>
        <w:rPr>
          <w:rStyle w:val="Normal"/>
        </w:rPr>
        <w:t xml:space="preserve"> for each instance – a checklist of settings and outcomes that constitute completion (e.g., Windows Auth only mode = true, no AD logins remain, Arc agent installed, AAD auth working, MFA enforced). This converts the abstract goal into concrete, auditable signals (which can be tracked via scripts or even a dashboard). The narrative explicitly frames “done” as </w:t>
      </w:r>
      <w:r>
        <w:rPr>
          <w:i/>
          <w:iCs/>
          <w:rStyle w:val="Normal"/>
        </w:rPr>
        <w:t xml:space="preserve">data</w:t>
      </w:r>
      <w:r>
        <w:rPr>
          <w:rStyle w:val="Normal"/>
        </w:rPr>
        <w:t xml:space="preserve"> – a set of fields that can be queried, which is brilliant from a compliance perspective. </w:t>
      </w:r>
      <w:hyperlink w:history="1" r:id="rIdupq6axujwaefg5igawlv3">
        <w:r>
          <w:rPr>
            <w:rStyle w:val="Hyperlink"/>
          </w:rPr>
          <w:t xml:space="preserve">[whalermike.github.io]</w:t>
        </w:r>
      </w:hyperlink>
      <w:r>
        <w:rPr>
          <w:rStyle w:val="Normal"/>
        </w:rPr>
        <w:t xml:space="preserve"> </w:t>
      </w:r>
      <w:hyperlink w:history="1" r:id="rIdqiikl4qy1kupeqihfyhxh">
        <w:r>
          <w:rPr>
            <w:rStyle w:val="Hyperlink"/>
          </w:rPr>
          <w:t xml:space="preserve">[whalermike.github.io]</w:t>
        </w:r>
      </w:hyperlink>
      <w:r>
        <w:rPr>
          <w:rStyle w:val="Normal"/>
        </w:rPr>
        <w:t xml:space="preserve">, </w:t>
      </w:r>
      <w:hyperlink w:history="1" r:id="rIdcblfl2l377uozvcy1gwtt">
        <w:r>
          <w:rPr>
            <w:rStyle w:val="Hyperlink"/>
          </w:rPr>
          <w:t xml:space="preserve">[whalermike.github.io]</w:t>
        </w:r>
      </w:hyperlink>
    </w:p>
    <w:p>
      <w:pPr>
        <w:pStyle w:val="ListParagraph"/>
        <w:pStyle w:val="ListParagraph"/>
        <w:numPr>
          <w:ilvl w:val="1"/>
          <w:numId w:val="1"/>
        </w:numPr>
        <w:numPr>
          <w:ilvl w:val="1"/>
          <w:numId w:val="6"/>
        </w:numPr>
      </w:pPr>
      <w:r>
        <w:rPr>
          <w:rStyle w:val="Normal"/>
        </w:rPr>
        <w:t xml:space="preserve">Moreover, it warns that </w:t>
      </w:r>
      <w:r>
        <w:rPr>
          <w:i/>
          <w:iCs/>
          <w:rStyle w:val="Normal"/>
        </w:rPr>
        <w:t xml:space="preserve">“transformations do not end; they achieve a posture”</w:t>
      </w:r>
      <w:r>
        <w:rPr>
          <w:rStyle w:val="Normal"/>
        </w:rPr>
        <w:t xml:space="preserve"> and emphasizes setting up </w:t>
      </w:r>
      <w:r>
        <w:rPr>
          <w:b/>
          <w:bCs/>
          <w:rStyle w:val="Normal"/>
        </w:rPr>
        <w:t xml:space="preserve">continuous monitoring (CCM/BIR – Continuous Compliance Monitoring / Baseline Integrity Reporting)</w:t>
      </w:r>
      <w:r>
        <w:rPr>
          <w:rStyle w:val="Normal"/>
        </w:rPr>
        <w:t xml:space="preserve">. The suggestion that the authentication audit script be run periodically to detect any drift (e.g., a new SQL login created, or an Arc agent disabled) and treat that as a </w:t>
      </w:r>
      <w:r>
        <w:rPr>
          <w:b/>
          <w:bCs/>
          <w:rStyle w:val="Normal"/>
        </w:rPr>
        <w:t xml:space="preserve">compliance violation</w:t>
      </w:r>
      <w:r>
        <w:rPr>
          <w:rStyle w:val="Normal"/>
        </w:rPr>
        <w:t xml:space="preserve"> is a strong governance practice. This aligns with the zero-trust notion that security is not a one-time project but an ongoing discipline. </w:t>
      </w:r>
      <w:hyperlink w:history="1" r:id="rIdidhplr0wp86gadifpdkaq">
        <w:r>
          <w:rPr>
            <w:rStyle w:val="Hyperlink"/>
          </w:rPr>
          <w:t xml:space="preserve">[whalermike.github.io]</w:t>
        </w:r>
      </w:hyperlink>
      <w:r>
        <w:rPr>
          <w:rStyle w:val="Normal"/>
        </w:rPr>
        <w:t xml:space="preserve"> </w:t>
      </w:r>
      <w:hyperlink w:history="1" r:id="rIdmnqcsr_fggr6wyxl_6wd3">
        <w:r>
          <w:rPr>
            <w:rStyle w:val="Hyperlink"/>
          </w:rPr>
          <w:t xml:space="preserve">[whalermike.github.io]</w:t>
        </w:r>
      </w:hyperlink>
      <w:r>
        <w:rPr>
          <w:rStyle w:val="Normal"/>
        </w:rPr>
        <w:t xml:space="preserve">, </w:t>
      </w:r>
      <w:hyperlink w:history="1" r:id="rIddi6pxgxofwxdwpjncrfkf">
        <w:r>
          <w:rPr>
            <w:rStyle w:val="Hyperlink"/>
          </w:rPr>
          <w:t xml:space="preserve">[whalermike.github.io]</w:t>
        </w:r>
      </w:hyperlink>
    </w:p>
    <w:p>
      <w:r>
        <w:rPr>
          <w:b/>
          <w:bCs/>
          <w:rStyle w:val="Normal"/>
        </w:rPr>
        <w:t xml:space="preserve">Gaps &amp; Risks:</w:t>
      </w:r>
    </w:p>
    <w:p>
      <w:pPr>
        <w:pStyle w:val="ListParagraph"/>
        <w:pStyle w:val="ListParagraph"/>
        <w:numPr>
          <w:ilvl w:val="0"/>
          <w:numId w:val="1"/>
        </w:numPr>
        <w:numPr>
          <w:ilvl w:val="0"/>
          <w:numId w:val="7"/>
        </w:numPr>
      </w:pPr>
      <w:r>
        <w:rPr>
          <w:b/>
          <w:bCs/>
          <w:rStyle w:val="Normal"/>
        </w:rPr>
        <w:t xml:space="preserve">Timeline Feasibility and Resources:</w:t>
      </w:r>
      <w:r>
        <w:rPr>
          <w:rStyle w:val="Normal"/>
        </w:rPr>
        <w:t xml:space="preserve"> While the external pressures are real, one implicit </w:t>
      </w:r>
      <w:r>
        <w:rPr>
          <w:b/>
          <w:bCs/>
          <w:rStyle w:val="Normal"/>
        </w:rPr>
        <w:t xml:space="preserve">assumption</w:t>
      </w:r>
      <w:r>
        <w:rPr>
          <w:rStyle w:val="Normal"/>
        </w:rPr>
        <w:t xml:space="preserve"> is that the organization </w:t>
      </w:r>
      <w:r>
        <w:rPr>
          <w:i/>
          <w:iCs/>
          <w:rStyle w:val="Normal"/>
        </w:rPr>
        <w:t xml:space="preserve">can execute this transformation by the 2026–2027 time frame</w:t>
      </w:r>
      <w:r>
        <w:rPr>
          <w:rStyle w:val="Normal"/>
        </w:rPr>
        <w:t xml:space="preserve">. Given the extent of changes (upgrading or migrating potentially dozens/hundreds of SQL instances, modifying applications, implementing Arc, standing up new identity infrastructure, etc.), the timeline is </w:t>
      </w:r>
      <w:r>
        <w:rPr>
          <w:b/>
          <w:bCs/>
          <w:rStyle w:val="Normal"/>
        </w:rPr>
        <w:t xml:space="preserve">aggressive</w:t>
      </w:r>
      <w:r>
        <w:rPr>
          <w:rStyle w:val="Normal"/>
        </w:rPr>
        <w:t xml:space="preserve">. The series is draft v0.1, and ADR-091 is </w:t>
      </w:r>
      <w:r>
        <w:rPr>
          <w:i/>
          <w:iCs/>
          <w:rStyle w:val="Normal"/>
        </w:rPr>
        <w:t xml:space="preserve">proposed</w:t>
      </w:r>
      <w:r>
        <w:rPr>
          <w:rStyle w:val="Normal"/>
        </w:rPr>
        <w:t xml:space="preserve"> not yet accepted – implying that leadership commitment is still pending. If the 2027 NTLM network block is firm, the risk is some systems may not make it. The narrative does account for this by: </w:t>
      </w:r>
      <w:hyperlink w:history="1" r:id="rIdkseqtgrmrh5sjp6f7puti">
        <w:r>
          <w:rPr>
            <w:rStyle w:val="Hyperlink"/>
          </w:rPr>
          <w:t xml:space="preserve">[whalermike.github.io]</w:t>
        </w:r>
      </w:hyperlink>
      <w:r>
        <w:rPr>
          <w:rStyle w:val="Normal"/>
        </w:rPr>
        <w:t xml:space="preserve">, </w:t>
      </w:r>
      <w:hyperlink w:history="1" r:id="rIde6_k9upgfg8wqxtyxji9d">
        <w:r>
          <w:rPr>
            <w:rStyle w:val="Hyperlink"/>
          </w:rPr>
          <w:t xml:space="preserve">[whalermike.github.io]</w:t>
        </w:r>
      </w:hyperlink>
    </w:p>
    <w:p>
      <w:pPr>
        <w:pStyle w:val="ListParagraph"/>
        <w:pStyle w:val="ListParagraph"/>
        <w:numPr>
          <w:ilvl w:val="1"/>
          <w:numId w:val="1"/>
        </w:numPr>
        <w:numPr>
          <w:ilvl w:val="1"/>
          <w:numId w:val="7"/>
        </w:numPr>
      </w:pPr>
      <w:r>
        <w:rPr>
          <w:rStyle w:val="Normal"/>
        </w:rPr>
        <w:t xml:space="preserve">Suggesting that many older instances should be </w:t>
      </w:r>
      <w:r>
        <w:rPr>
          <w:i/>
          <w:iCs/>
          <w:rStyle w:val="Normal"/>
        </w:rPr>
        <w:t xml:space="preserve">retired or consolidated</w:t>
      </w:r>
      <w:r>
        <w:rPr>
          <w:rStyle w:val="Normal"/>
        </w:rPr>
        <w:t xml:space="preserve"> rather than migrated (to reduce scope). </w:t>
      </w:r>
      <w:hyperlink w:history="1" r:id="rIdbicqdckdx6rq1xr4nqc_8">
        <w:r>
          <w:rPr>
            <w:rStyle w:val="Hyperlink"/>
          </w:rPr>
          <w:t xml:space="preserve">[github.com]</w:t>
        </w:r>
      </w:hyperlink>
      <w:r>
        <w:rPr>
          <w:rStyle w:val="Normal"/>
        </w:rPr>
        <w:t xml:space="preserve">, </w:t>
      </w:r>
      <w:hyperlink w:history="1" r:id="rId3blozo3cisclldscab2ac">
        <w:r>
          <w:rPr>
            <w:rStyle w:val="Hyperlink"/>
          </w:rPr>
          <w:t xml:space="preserve">[github.com]</w:t>
        </w:r>
      </w:hyperlink>
    </w:p>
    <w:p>
      <w:pPr>
        <w:pStyle w:val="ListParagraph"/>
        <w:pStyle w:val="ListParagraph"/>
        <w:numPr>
          <w:ilvl w:val="1"/>
          <w:numId w:val="1"/>
        </w:numPr>
        <w:numPr>
          <w:ilvl w:val="1"/>
          <w:numId w:val="7"/>
        </w:numPr>
      </w:pPr>
      <w:r>
        <w:rPr>
          <w:rStyle w:val="Normal"/>
        </w:rPr>
        <w:t xml:space="preserve">Providing an exception path with CBA for stragglers.</w:t>
      </w:r>
    </w:p>
    <w:p>
      <w:pPr>
        <w:pStyle w:val="ListParagraph"/>
        <w:pStyle w:val="ListParagraph"/>
        <w:numPr>
          <w:ilvl w:val="1"/>
          <w:numId w:val="1"/>
        </w:numPr>
        <w:numPr>
          <w:ilvl w:val="1"/>
          <w:numId w:val="7"/>
        </w:numPr>
      </w:pPr>
      <w:r>
        <w:rPr>
          <w:rStyle w:val="Normal"/>
        </w:rPr>
        <w:t xml:space="preserve">Encouraging starting with an </w:t>
      </w:r>
      <w:r>
        <w:rPr>
          <w:b/>
          <w:bCs/>
          <w:rStyle w:val="Normal"/>
        </w:rPr>
        <w:t xml:space="preserve">audit and inventory now</w:t>
      </w:r>
      <w:r>
        <w:rPr>
          <w:rStyle w:val="Normal"/>
        </w:rPr>
        <w:t xml:space="preserve"> to discover the scope.
These are sensible mitigations. However, the reality is that enterprise IT projects often face delays (due to testing, unforeseen complications, resistance, etc.). </w:t>
      </w:r>
      <w:r>
        <w:rPr>
          <w:b/>
          <w:bCs/>
          <w:rStyle w:val="Normal"/>
        </w:rPr>
        <w:t xml:space="preserve">Recommendation:</w:t>
      </w:r>
      <w:r>
        <w:rPr>
          <w:rStyle w:val="Normal"/>
        </w:rPr>
        <w:t xml:space="preserve"> The series could be further strengthened by including a </w:t>
      </w:r>
      <w:r>
        <w:rPr>
          <w:b/>
          <w:bCs/>
          <w:rStyle w:val="Normal"/>
        </w:rPr>
        <w:t xml:space="preserve">program management perspective</w:t>
      </w:r>
      <w:r>
        <w:rPr>
          <w:rStyle w:val="Normal"/>
        </w:rPr>
        <w:t xml:space="preserve"> somewhere (perhaps in Book 09 or the introduction) that advises building a detailed timeline, allocating resources (e.g., identifying teams for inventory, for application remediation, for DBA training, etc.), and possibly prioritizing critical systems. It might also mention the importance of a </w:t>
      </w:r>
      <w:r>
        <w:rPr>
          <w:b/>
          <w:bCs/>
          <w:rStyle w:val="Normal"/>
        </w:rPr>
        <w:t xml:space="preserve">pilot phase</w:t>
      </w:r>
      <w:r>
        <w:rPr>
          <w:rStyle w:val="Normal"/>
        </w:rPr>
        <w:t xml:space="preserve"> – for example, migrating a small set of non-critical instances first to iron out issues, which is implied but not explicit. Emphasizing executive support (since many groups – DBA, AD team, app owners, network/security – must collaborate) could be added to the </w:t>
      </w:r>
      <w:r>
        <w:rPr>
          <w:i/>
          <w:iCs/>
          <w:rStyle w:val="Normal"/>
        </w:rPr>
        <w:t xml:space="preserve">Audience</w:t>
      </w:r>
      <w:r>
        <w:rPr>
          <w:rStyle w:val="Normal"/>
        </w:rPr>
        <w:t xml:space="preserve"> or </w:t>
      </w:r>
      <w:r>
        <w:rPr>
          <w:i/>
          <w:iCs/>
          <w:rStyle w:val="Normal"/>
        </w:rPr>
        <w:t xml:space="preserve">Division of Labor</w:t>
      </w:r>
      <w:r>
        <w:rPr>
          <w:rStyle w:val="Normal"/>
        </w:rPr>
        <w:t xml:space="preserve"> section. </w:t>
      </w:r>
      <w:hyperlink w:history="1" r:id="rIdxcmq7b2pwuo0dh-2tx_uv">
        <w:r>
          <w:rPr>
            <w:rStyle w:val="Hyperlink"/>
          </w:rPr>
          <w:t xml:space="preserve">[whalermike.github.io]</w:t>
        </w:r>
      </w:hyperlink>
      <w:r>
        <w:rPr>
          <w:rStyle w:val="Normal"/>
        </w:rPr>
        <w:t xml:space="preserve"> </w:t>
      </w:r>
      <w:hyperlink w:history="1" r:id="rIddbwczhdpgfxawsovuuxv9">
        <w:r>
          <w:rPr>
            <w:rStyle w:val="Hyperlink"/>
          </w:rPr>
          <w:t xml:space="preserve">[whalermike.github.io]</w:t>
        </w:r>
      </w:hyperlink>
      <w:r>
        <w:rPr>
          <w:rStyle w:val="Normal"/>
        </w:rPr>
        <w:t xml:space="preserve">, </w:t>
      </w:r>
      <w:hyperlink w:history="1" r:id="rId9negfvud_q8v8goszo7dw">
        <w:r>
          <w:rPr>
            <w:rStyle w:val="Hyperlink"/>
          </w:rPr>
          <w:t xml:space="preserve">[whalermike.github.io]</w:t>
        </w:r>
      </w:hyperlink>
    </w:p>
    <w:p>
      <w:pPr>
        <w:pStyle w:val="ListParagraph"/>
        <w:pStyle w:val="ListParagraph"/>
        <w:numPr>
          <w:ilvl w:val="0"/>
          <w:numId w:val="1"/>
        </w:numPr>
        <w:numPr>
          <w:ilvl w:val="0"/>
          <w:numId w:val="7"/>
        </w:numPr>
      </w:pPr>
      <w:r>
        <w:rPr>
          <w:b/>
          <w:bCs/>
          <w:rStyle w:val="Normal"/>
        </w:rPr>
        <w:t xml:space="preserve">Azure Arc and Cloud Dependence Risks:</w:t>
      </w:r>
      <w:r>
        <w:rPr>
          <w:rStyle w:val="Normal"/>
        </w:rPr>
        <w:t xml:space="preserve"> The strategy banks on Azure Arc for multiple reasons (ESU, AAD auth, inventory via Azure, etc.). This is logical, but it means the agency’s on-prem SQL servers are tightly coupled with Azure. If Azure were to experience an outage or if the Arc service has an issue, it could impact </w:t>
      </w:r>
      <w:r>
        <w:rPr>
          <w:b/>
          <w:bCs/>
          <w:rStyle w:val="Normal"/>
        </w:rPr>
        <w:t xml:space="preserve">authentication and monitoring</w:t>
      </w:r>
      <w:r>
        <w:rPr>
          <w:rStyle w:val="Normal"/>
        </w:rPr>
        <w:t xml:space="preserve">. Microsoft’s design of Arc is that the SQL server’s ability to authenticate with Entra ID might be affected by Arc connectivity (though the tokens themselves are obtained via normal AAD channels, not strictly through Arc, once the system is set up).</w:t>
      </w:r>
    </w:p>
    <w:p>
      <w:pPr>
        <w:pStyle w:val="ListParagraph"/>
        <w:pStyle w:val="ListParagraph"/>
        <w:numPr>
          <w:ilvl w:val="1"/>
          <w:numId w:val="1"/>
        </w:numPr>
        <w:numPr>
          <w:ilvl w:val="1"/>
          <w:numId w:val="7"/>
        </w:numPr>
      </w:pPr>
      <w:r>
        <w:rPr>
          <w:rStyle w:val="Normal"/>
        </w:rPr>
        <w:t xml:space="preserve">For risk mitigation, the narrative has already considered fallback for authentication (CBA) and likely trusts that Arc’s </w:t>
      </w:r>
      <w:r>
        <w:rPr>
          <w:b/>
          <w:bCs/>
          <w:rStyle w:val="Normal"/>
        </w:rPr>
        <w:t xml:space="preserve">99.9% SLA</w:t>
      </w:r>
      <w:r>
        <w:rPr>
          <w:rStyle w:val="Normal"/>
        </w:rPr>
        <w:t xml:space="preserve"> and offline buffering will suffice. </w:t>
      </w:r>
      <w:r>
        <w:rPr>
          <w:b/>
          <w:bCs/>
          <w:rStyle w:val="Normal"/>
        </w:rPr>
        <w:t xml:space="preserve">Recommendation:</w:t>
      </w:r>
      <w:r>
        <w:rPr>
          <w:rStyle w:val="Normal"/>
        </w:rPr>
        <w:t xml:space="preserve"> It may be worth mentioning the Arc agent’s offline behavior – e.g., Arc-enabled servers can operate if temporarily disconnected, but certain functions (like AAD login) might require live token issuance. If not in the narrative, clarify that the design assumes consistent connectivity to Azure AD; if a server must operate truly offline, it cannot rely on an online token authority and would need an alternate solution (this loops back to the CBA approach or maintaining a read-only domain controller for local auth as a last resort, which is generally discouraged).</w:t>
      </w:r>
    </w:p>
    <w:p>
      <w:pPr>
        <w:pStyle w:val="ListParagraph"/>
        <w:pStyle w:val="ListParagraph"/>
        <w:numPr>
          <w:ilvl w:val="0"/>
          <w:numId w:val="1"/>
        </w:numPr>
        <w:numPr>
          <w:ilvl w:val="0"/>
          <w:numId w:val="7"/>
        </w:numPr>
      </w:pPr>
      <w:r>
        <w:rPr>
          <w:b/>
          <w:bCs/>
          <w:rStyle w:val="Normal"/>
        </w:rPr>
        <w:t xml:space="preserve">Licensing and Cost Considerations:</w:t>
      </w:r>
      <w:r>
        <w:rPr>
          <w:rStyle w:val="Normal"/>
        </w:rPr>
        <w:t xml:space="preserve"> One practical aspect not deeply discussed is licensing/cost:</w:t>
      </w:r>
    </w:p>
    <w:p>
      <w:pPr>
        <w:pStyle w:val="ListParagraph"/>
        <w:pStyle w:val="ListParagraph"/>
        <w:numPr>
          <w:ilvl w:val="1"/>
          <w:numId w:val="1"/>
        </w:numPr>
        <w:numPr>
          <w:ilvl w:val="1"/>
          <w:numId w:val="7"/>
        </w:numPr>
      </w:pPr>
      <w:r>
        <w:rPr>
          <w:rStyle w:val="Normal"/>
        </w:rPr>
        <w:t xml:space="preserve">Entra ID itself is likely </w:t>
      </w:r>
      <w:r>
        <w:rPr>
          <w:b/>
          <w:bCs/>
          <w:rStyle w:val="Normal"/>
        </w:rPr>
        <w:t xml:space="preserve">requiring at least Azure AD P1/P2</w:t>
      </w:r>
      <w:r>
        <w:rPr>
          <w:rStyle w:val="Normal"/>
        </w:rPr>
        <w:t xml:space="preserve"> for features like Conditional Access and dynamic groups. Since this is a government context, they might already have those licenses, but it’s an assumption.</w:t>
      </w:r>
    </w:p>
    <w:p>
      <w:pPr>
        <w:pStyle w:val="ListParagraph"/>
        <w:pStyle w:val="ListParagraph"/>
        <w:numPr>
          <w:ilvl w:val="1"/>
          <w:numId w:val="1"/>
        </w:numPr>
        <w:numPr>
          <w:ilvl w:val="1"/>
          <w:numId w:val="7"/>
        </w:numPr>
      </w:pPr>
      <w:r>
        <w:rPr>
          <w:rStyle w:val="Normal"/>
        </w:rPr>
        <w:t xml:space="preserve">Azure Arc for servers is free for resource management, but </w:t>
      </w:r>
      <w:r>
        <w:rPr>
          <w:b/>
          <w:bCs/>
          <w:rStyle w:val="Normal"/>
        </w:rPr>
        <w:t xml:space="preserve">the Azure SQL Arc extension and Defender for SQL might incur costs</w:t>
      </w:r>
      <w:r>
        <w:rPr>
          <w:rStyle w:val="Normal"/>
        </w:rPr>
        <w:t xml:space="preserve"> (Defender for SQL on Arc-enabled servers has a cost per instance). Also, </w:t>
      </w:r>
      <w:r>
        <w:rPr>
          <w:b/>
          <w:bCs/>
          <w:rStyle w:val="Normal"/>
        </w:rPr>
        <w:t xml:space="preserve">ESUs via Arc</w:t>
      </w:r>
      <w:r>
        <w:rPr>
          <w:rStyle w:val="Normal"/>
        </w:rPr>
        <w:t xml:space="preserve">, while free in terms of patch availability, require an Azure subscription and in some cases enabling the Arc Data Controller (for those wanting hybrid data services).</w:t>
      </w:r>
    </w:p>
    <w:p>
      <w:pPr>
        <w:pStyle w:val="ListParagraph"/>
        <w:pStyle w:val="ListParagraph"/>
        <w:numPr>
          <w:ilvl w:val="1"/>
          <w:numId w:val="1"/>
        </w:numPr>
        <w:numPr>
          <w:ilvl w:val="1"/>
          <w:numId w:val="7"/>
        </w:numPr>
      </w:pPr>
      <w:r>
        <w:rPr>
          <w:rStyle w:val="Normal"/>
        </w:rPr>
        <w:t xml:space="preserve">The series does not delve into cost, which might be intentional (focus on technical strategy), but some readers might wonder about the financial aspect of, say, “Arc every server + possible cloud consumption.”</w:t>
      </w:r>
    </w:p>
    <w:p>
      <w:pPr>
        <w:pStyle w:val="ListParagraph"/>
        <w:pStyle w:val="ListParagraph"/>
        <w:numPr>
          <w:ilvl w:val="1"/>
          <w:numId w:val="1"/>
        </w:numPr>
        <w:numPr>
          <w:ilvl w:val="1"/>
          <w:numId w:val="7"/>
        </w:numPr>
      </w:pPr>
      <w:r>
        <w:rPr>
          <w:b/>
          <w:bCs/>
          <w:rStyle w:val="Normal"/>
        </w:rPr>
        <w:t xml:space="preserve">Recommendation:</w:t>
      </w:r>
      <w:r>
        <w:rPr>
          <w:rStyle w:val="Normal"/>
        </w:rPr>
        <w:t xml:space="preserve"> It might be outside the narrative’s scope to discuss cost, but a minor note like </w:t>
      </w:r>
      <w:r>
        <w:rPr>
          <w:i/>
          <w:iCs/>
          <w:rStyle w:val="Normal"/>
        </w:rPr>
        <w:t xml:space="preserve">“Arc-enabled servers incur minimal direct cost (metadata management is free, though enabling optional Azure services like Defender for SQL or Log Analytics would have associated costs)”</w:t>
      </w:r>
      <w:r>
        <w:rPr>
          <w:rStyle w:val="Normal"/>
        </w:rPr>
        <w:t xml:space="preserve"> – could help set expectations. This ensures that the modernization strategy doesn’t omit the fact that going cloud-centric does change the cost model (CAPEX to OPEX, potentially increasing costs if many servers stay on-prem and require Arc + Azure AD premium licensing). Since this is more of a technical narrative, the omission is understandable, but identity architects often must consider licensing impacts as part of strategy.</w:t>
      </w:r>
    </w:p>
    <w:p>
      <w:pPr>
        <w:pStyle w:val="Heading4"/>
      </w:pPr>
      <w:r>
        <w:rPr>
          <w:b/>
          <w:bCs/>
          <w:rStyle w:val="Normal"/>
        </w:rPr>
        <w:t xml:space="preserve">Table 2: Platform &amp; Program Considerations</w:t>
      </w:r>
      <w:r>
        <w:rPr>
          <w:rStyle w:val="Normal"/>
        </w:rPr>
        <w:t xml:space="preserve"> (Strengths, Weaknesses, Recommendations)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w:tc>
          <w:tcPr>
            <w:vAlign w:val="center"/>
          </w:tcPr>
          <w:p>
            <w:r>
              <w:rPr>
                <w:b/>
                <w:bCs/>
                <w:rStyle w:val="Normal"/>
              </w:rPr>
              <w:t xml:space="preserve">Program &amp; Platform Aspect</w:t>
            </w:r>
          </w:p>
        </w:tc>
        <w:tc>
          <w:tcPr>
            <w:vAlign w:val="center"/>
          </w:tcPr>
          <w:p>
            <w:r>
              <w:rPr>
                <w:b/>
                <w:bCs/>
                <w:rStyle w:val="Normal"/>
              </w:rPr>
              <w:t xml:space="preserve">Strengths</w:t>
            </w:r>
          </w:p>
        </w:tc>
        <w:tc>
          <w:tcPr>
            <w:vAlign w:val="center"/>
          </w:tcPr>
          <w:p>
            <w:r>
              <w:rPr>
                <w:b/>
                <w:bCs/>
                <w:rStyle w:val="Normal"/>
              </w:rPr>
              <w:t xml:space="preserve">Weaknesses / Risks</w:t>
            </w:r>
          </w:p>
        </w:tc>
        <w:tc>
          <w:tcPr>
            <w:vAlign w:val="center"/>
          </w:tcPr>
          <w:p>
            <w:r>
              <w:rPr>
                <w:b/>
                <w:bCs/>
                <w:rStyle w:val="Normal"/>
              </w:rPr>
              <w:t xml:space="preserve">Recommendations</w:t>
            </w:r>
          </w:p>
        </w:tc>
      </w:tr>
      <w:tr>
        <w:tc>
          <w:tcPr>
            <w:vAlign w:val="center"/>
          </w:tcPr>
          <w:p>
            <w:r>
              <w:rPr>
                <w:b/>
                <w:bCs/>
                <w:rStyle w:val="Normal"/>
              </w:rPr>
              <w:t xml:space="preserve">External Drivers &amp; Timeline</w:t>
            </w:r>
            <w:r>
              <w:rPr>
                <w:rStyle w:val="Normal"/>
              </w:rPr>
              <w:t xml:space="preserve"> </w:t>
            </w:r>
            <w:r>
              <w:rPr>
                <w:i/>
                <w:iCs/>
                <w:rStyle w:val="Normal"/>
              </w:rPr>
              <w:t xml:space="preserve">Context</w:t>
            </w:r>
          </w:p>
        </w:tc>
        <w:tc>
          <w:tcPr>
            <w:vAlign w:val="center"/>
          </w:tcPr>
          <w:p>
            <w:r>
              <w:rPr>
                <w:rStyle w:val="Normal"/>
              </w:rPr>
              <w:t xml:space="preserve">– Identifies &amp; quantifies key external drivers: Microsoft’s end-of-support dates, Arc-based ESU program, and NTLM phase-out </w:t>
            </w:r>
            <w:hyperlink w:history="1" r:id="rIdtfuzztdatyk42rrotvn8i">
              <w:r>
                <w:rPr>
                  <w:rStyle w:val="Hyperlink"/>
                </w:rPr>
                <w:t xml:space="preserve">[whalermike.github.io]</w:t>
              </w:r>
            </w:hyperlink>
            <w:r>
              <w:rPr>
                <w:rStyle w:val="Normal"/>
              </w:rPr>
              <w:t xml:space="preserve">. </w:t>
            </w:r>
            <w:r>
              <w:rPr>
                <w:rStyle w:val="Normal"/>
              </w:rPr>
              <w:t xml:space="preserve"> – Uses these to create urgency and justification at the executive level </w:t>
            </w:r>
            <w:hyperlink w:history="1" r:id="rId-yrsj3kah6jr8hu1ufysm">
              <w:r>
                <w:rPr>
                  <w:rStyle w:val="Hyperlink"/>
                </w:rPr>
                <w:t xml:space="preserve">[whalermike.github.io]</w:t>
              </w:r>
            </w:hyperlink>
            <w:r>
              <w:rPr>
                <w:rStyle w:val="Normal"/>
              </w:rPr>
              <w:t xml:space="preserve">. </w:t>
            </w:r>
            <w:r>
              <w:rPr>
                <w:rStyle w:val="Normal"/>
              </w:rPr>
              <w:t xml:space="preserve"> – Sets a target timeline (2027) in line with Microsoft’s likely NTLM disablement timeline </w:t>
            </w:r>
            <w:hyperlink w:history="1" r:id="rIdfcnqvva660m2mqgr8xjww">
              <w:r>
                <w:rPr>
                  <w:rStyle w:val="Hyperlink"/>
                </w:rPr>
                <w:t xml:space="preserve">[sqlfingers.com]</w:t>
              </w:r>
            </w:hyperlink>
            <w:r>
              <w:rPr>
                <w:rStyle w:val="Normal"/>
              </w:rPr>
              <w:t xml:space="preserve">.</w:t>
            </w:r>
          </w:p>
        </w:tc>
        <w:tc>
          <w:tcPr>
            <w:vAlign w:val="center"/>
          </w:tcPr>
          <w:p>
            <w:r>
              <w:rPr>
                <w:rStyle w:val="Normal"/>
              </w:rPr>
              <w:t xml:space="preserve">– Achieving full transformation by Apr 2027 may be challenging for large estates; tight timeline with many moving parts. </w:t>
            </w:r>
            <w:r>
              <w:rPr>
                <w:rStyle w:val="Normal"/>
              </w:rPr>
              <w:t xml:space="preserve"> – Some reliance on Microsoft timelines that could shift (draft warns to verify MS announcements </w:t>
            </w:r>
            <w:hyperlink w:history="1" r:id="rIdoddz6zmq9czxrqwcpcnec">
              <w:r>
                <w:rPr>
                  <w:rStyle w:val="Hyperlink"/>
                </w:rPr>
                <w:t xml:space="preserve">[whalermike.github.io]</w:t>
              </w:r>
            </w:hyperlink>
            <w:r>
              <w:rPr>
                <w:rStyle w:val="Normal"/>
              </w:rPr>
              <w:t xml:space="preserve">).</w:t>
            </w:r>
          </w:p>
        </w:tc>
        <w:tc>
          <w:tcPr>
            <w:vAlign w:val="center"/>
          </w:tcPr>
          <w:p>
            <w:r>
              <w:rPr>
                <w:rStyle w:val="Normal"/>
              </w:rPr>
              <w:t xml:space="preserve">Emphasize </w:t>
            </w:r>
            <w:r>
              <w:rPr>
                <w:b/>
                <w:bCs/>
                <w:rStyle w:val="Normal"/>
              </w:rPr>
              <w:t xml:space="preserve">early planning and phased execution</w:t>
            </w:r>
            <w:r>
              <w:rPr>
                <w:rStyle w:val="Normal"/>
              </w:rPr>
              <w:t xml:space="preserve">: suggest piloting on a few instances in 2024–25 to uncover issues early. </w:t>
            </w:r>
            <w:r>
              <w:rPr>
                <w:rStyle w:val="Normal"/>
              </w:rPr>
              <w:t xml:space="preserve"> Reiterate that Microsoft’s timelines (especially for NTLM disabling) should be closely monitored for changes </w:t>
            </w:r>
            <w:hyperlink w:history="1" r:id="rIdl-rkgng1d9eomwjqgyr2i">
              <w:r>
                <w:rPr>
                  <w:rStyle w:val="Hyperlink"/>
                </w:rPr>
                <w:t xml:space="preserve">[whalermike.github.io]</w:t>
              </w:r>
            </w:hyperlink>
            <w:r>
              <w:rPr>
                <w:rStyle w:val="Normal"/>
              </w:rPr>
              <w:t xml:space="preserve">. Possibly build a buffer in plans for unexpected delays.</w:t>
            </w:r>
          </w:p>
        </w:tc>
      </w:tr>
      <w:tr>
        <w:tc>
          <w:tcPr>
            <w:vAlign w:val="center"/>
          </w:tcPr>
          <w:p>
            <w:r>
              <w:rPr>
                <w:b/>
                <w:bCs/>
                <w:rStyle w:val="Normal"/>
              </w:rPr>
              <w:t xml:space="preserve">Multi-Platform Strategy</w:t>
            </w:r>
            <w:r>
              <w:rPr>
                <w:rStyle w:val="Normal"/>
              </w:rPr>
              <w:t xml:space="preserve"> </w:t>
            </w:r>
            <w:r>
              <w:rPr>
                <w:i/>
                <w:iCs/>
                <w:rStyle w:val="Normal"/>
              </w:rPr>
              <w:t xml:space="preserve">Book 11</w:t>
            </w:r>
          </w:p>
        </w:tc>
        <w:tc>
          <w:tcPr>
            <w:vAlign w:val="center"/>
          </w:tcPr>
          <w:p>
            <w:r>
              <w:rPr>
                <w:rStyle w:val="Normal"/>
              </w:rPr>
              <w:t xml:space="preserve">– Acknowledges that staying on SQL Server is not the only path; provides an impartial comparison of alternatives (Postgres, Oracle) </w:t>
            </w:r>
            <w:hyperlink w:history="1" r:id="rIdlm6ozhcsgqoy4z24lyv6a">
              <w:r>
                <w:rPr>
                  <w:rStyle w:val="Hyperlink"/>
                </w:rPr>
                <w:t xml:space="preserve">[whalermike.github.io]</w:t>
              </w:r>
            </w:hyperlink>
            <w:r>
              <w:rPr>
                <w:rStyle w:val="Normal"/>
              </w:rPr>
              <w:t xml:space="preserve">, </w:t>
            </w:r>
            <w:hyperlink w:history="1" r:id="rIdk9thlwrjqmhjj8ouhx6cd">
              <w:r>
                <w:rPr>
                  <w:rStyle w:val="Hyperlink"/>
                </w:rPr>
                <w:t xml:space="preserve">[whalermike.github.io]</w:t>
              </w:r>
            </w:hyperlink>
            <w:r>
              <w:rPr>
                <w:rStyle w:val="Normal"/>
              </w:rPr>
              <w:t xml:space="preserve">. </w:t>
            </w:r>
            <w:r>
              <w:rPr>
                <w:rStyle w:val="Normal"/>
              </w:rPr>
              <w:t xml:space="preserve"> – Encourages a </w:t>
            </w:r>
            <w:r>
              <w:rPr>
                <w:b/>
                <w:bCs/>
                <w:rStyle w:val="Normal"/>
              </w:rPr>
              <w:t xml:space="preserve">mix-and-match approach</w:t>
            </w:r>
            <w:r>
              <w:rPr>
                <w:rStyle w:val="Normal"/>
              </w:rPr>
              <w:t xml:space="preserve"> based on fit, which is realistic for enterprises </w:t>
            </w:r>
            <w:hyperlink w:history="1" r:id="rIdim58p0v4no77ufemlmytd">
              <w:r>
                <w:rPr>
                  <w:rStyle w:val="Hyperlink"/>
                </w:rPr>
                <w:t xml:space="preserve">[whalermike.github.io]</w:t>
              </w:r>
            </w:hyperlink>
            <w:r>
              <w:rPr>
                <w:rStyle w:val="Normal"/>
              </w:rPr>
              <w:t xml:space="preserve">. </w:t>
            </w:r>
            <w:r>
              <w:rPr>
                <w:rStyle w:val="Normal"/>
              </w:rPr>
              <w:t xml:space="preserve"> – Notes that regardless of platform, the identity work (Books 03–06) is still needed, so it should be done first </w:t>
            </w:r>
            <w:hyperlink w:history="1" r:id="rIdqapbmeduxguznixawd4eq">
              <w:r>
                <w:rPr>
                  <w:rStyle w:val="Hyperlink"/>
                </w:rPr>
                <w:t xml:space="preserve">[whalermike.github.io]</w:t>
              </w:r>
            </w:hyperlink>
            <w:r>
              <w:rPr>
                <w:rStyle w:val="Normal"/>
              </w:rPr>
              <w:t xml:space="preserve">.</w:t>
            </w:r>
          </w:p>
        </w:tc>
        <w:tc>
          <w:tcPr>
            <w:vAlign w:val="center"/>
          </w:tcPr>
          <w:p>
            <w:r>
              <w:rPr>
                <w:rStyle w:val="Normal"/>
              </w:rPr>
              <w:t xml:space="preserve">– Analysis for alternatives B &amp; C (Postgres/Oracle) is high-level; detailed considerations (e.g. feature parity, staff skill requirements) are likely beyond scope but would matter to decisions. </w:t>
            </w:r>
            <w:r>
              <w:rPr>
                <w:rStyle w:val="Normal"/>
              </w:rPr>
              <w:t xml:space="preserve"> – Implicitly assumes cloud adoption (even for Oracle, suggests OCI GovCloud), which might not be feasible for all (some could consider Oracle on-prem).</w:t>
            </w:r>
          </w:p>
        </w:tc>
        <w:tc>
          <w:tcPr>
            <w:vAlign w:val="center"/>
          </w:tcPr>
          <w:p>
            <w:r>
              <w:rPr>
                <w:rStyle w:val="Normal"/>
              </w:rPr>
              <w:t xml:space="preserve">Possibly reference where readers can find more info on migrating to Postgres/Oracle (outside the identity domain). </w:t>
            </w:r>
            <w:r>
              <w:rPr>
                <w:rStyle w:val="Normal"/>
              </w:rPr>
              <w:t xml:space="preserve"> Maybe explicitly state that </w:t>
            </w:r>
            <w:r>
              <w:rPr>
                <w:i/>
                <w:iCs/>
                <w:rStyle w:val="Normal"/>
              </w:rPr>
              <w:t xml:space="preserve">Azure SQL Managed Instance</w:t>
            </w:r>
            <w:r>
              <w:rPr>
                <w:rStyle w:val="Normal"/>
              </w:rPr>
              <w:t xml:space="preserve"> is considered a variant of “staying on SQL” (Entra ID applies similarly) – since MI could be an attractive alternative for those wanting cloud-managed SQL without replatforming code.</w:t>
            </w:r>
          </w:p>
        </w:tc>
      </w:tr>
      <w:tr>
        <w:tc>
          <w:tcPr>
            <w:vAlign w:val="center"/>
          </w:tcPr>
          <w:p>
            <w:r>
              <w:rPr>
                <w:b/>
                <w:bCs/>
                <w:rStyle w:val="Normal"/>
              </w:rPr>
              <w:t xml:space="preserve">Azure Arc Dependence</w:t>
            </w:r>
            <w:r>
              <w:rPr>
                <w:rStyle w:val="Normal"/>
              </w:rPr>
              <w:t xml:space="preserve"> </w:t>
            </w:r>
            <w:r>
              <w:rPr>
                <w:i/>
                <w:iCs/>
                <w:rStyle w:val="Normal"/>
              </w:rPr>
              <w:t xml:space="preserve">Hybrid Cloud</w:t>
            </w:r>
          </w:p>
        </w:tc>
        <w:tc>
          <w:tcPr>
            <w:vAlign w:val="center"/>
          </w:tcPr>
          <w:p>
            <w:r>
              <w:rPr>
                <w:rStyle w:val="Normal"/>
              </w:rPr>
              <w:t xml:space="preserve">– Leverages Arc for multiple purposes: identity, inventory, extended support. </w:t>
            </w:r>
            <w:r>
              <w:rPr>
                <w:rStyle w:val="Normal"/>
              </w:rPr>
              <w:t xml:space="preserve"> – Arc is </w:t>
            </w:r>
            <w:r>
              <w:rPr>
                <w:b/>
                <w:bCs/>
                <w:rStyle w:val="Normal"/>
              </w:rPr>
              <w:t xml:space="preserve">FedRAMP Moderate</w:t>
            </w:r>
            <w:r>
              <w:rPr>
                <w:rStyle w:val="Normal"/>
              </w:rPr>
              <w:t xml:space="preserve"> authorized, making it viable for many government systems (fits the assumed context). </w:t>
            </w:r>
            <w:r>
              <w:rPr>
                <w:rStyle w:val="Normal"/>
              </w:rPr>
              <w:t xml:space="preserve"> – Arc also brings side benefits (central resource visibility, tagging, etc. for servers).</w:t>
            </w:r>
          </w:p>
        </w:tc>
        <w:tc>
          <w:tcPr>
            <w:vAlign w:val="center"/>
          </w:tcPr>
          <w:p>
            <w:r>
              <w:rPr>
                <w:rStyle w:val="Normal"/>
              </w:rPr>
              <w:t xml:space="preserve">– Requires outbound internet connectivity (port 443) from each server; some highly secure networks might require proxy setups or exceptions. </w:t>
            </w:r>
            <w:r>
              <w:rPr>
                <w:rStyle w:val="Normal"/>
              </w:rPr>
              <w:t xml:space="preserve"> – Confidence in Arc is predicated on it functioning reliably; any Arc outage or Azure outage could impact management (though likely not local SQL uptime).</w:t>
            </w:r>
          </w:p>
        </w:tc>
        <w:tc>
          <w:tcPr>
            <w:vAlign w:val="center"/>
          </w:tcPr>
          <w:p>
            <w:r>
              <w:rPr>
                <w:rStyle w:val="Normal"/>
              </w:rPr>
              <w:t xml:space="preserve">Ensure pre-requisites like outbound connectivity and Azure subscription setup are clearly stated (likely in companion or earlier books). </w:t>
            </w:r>
            <w:r>
              <w:rPr>
                <w:rStyle w:val="Normal"/>
              </w:rPr>
              <w:t xml:space="preserve"> Possibly mention network configuration (e.g., proxy or firewall rules for Arc agent) to avoid deployment delays. </w:t>
            </w:r>
            <w:r>
              <w:rPr>
                <w:rStyle w:val="Normal"/>
              </w:rPr>
              <w:t xml:space="preserve"> Highlight that </w:t>
            </w:r>
            <w:r>
              <w:rPr>
                <w:i/>
                <w:iCs/>
                <w:rStyle w:val="Normal"/>
              </w:rPr>
              <w:t xml:space="preserve">Arc’s presence</w:t>
            </w:r>
            <w:r>
              <w:rPr>
                <w:rStyle w:val="Normal"/>
              </w:rPr>
              <w:t xml:space="preserve"> also aids in inventory (Azure Resource Graph) and monitoring – turning a cloud dependency into a broader benefit.</w:t>
            </w:r>
          </w:p>
        </w:tc>
      </w:tr>
    </w:tbl>
    <w:p>
      <w:pPr>
        <w:pStyle w:val="Heading2"/>
      </w:pPr>
      <w:r>
        <w:rPr>
          <w:rStyle w:val="Normal"/>
        </w:rPr>
        <w:t xml:space="preserve">4. </w:t>
      </w:r>
      <w:r>
        <w:rPr>
          <w:b/>
          <w:bCs/>
          <w:rStyle w:val="Normal"/>
        </w:rPr>
        <w:t xml:space="preserve">Narrative Clarity &amp; Pedagogical Effectiveness</w:t>
      </w:r>
    </w:p>
    <w:p>
      <w:r>
        <w:rPr>
          <w:b/>
          <w:bCs/>
          <w:rStyle w:val="Normal"/>
        </w:rPr>
        <w:t xml:space="preserve">Strengths:</w:t>
      </w:r>
      <w:r>
        <w:rPr>
          <w:rStyle w:val="Normal"/>
        </w:rPr>
        <w:t xml:space="preserve"> The narrative style is a unique approach for a technical transformation guide:</w:t>
      </w:r>
    </w:p>
    <w:p>
      <w:pPr>
        <w:pStyle w:val="ListParagraph"/>
        <w:pStyle w:val="ListParagraph"/>
        <w:numPr>
          <w:ilvl w:val="0"/>
          <w:numId w:val="1"/>
        </w:numPr>
        <w:numPr>
          <w:ilvl w:val="0"/>
          <w:numId w:val="8"/>
        </w:numPr>
      </w:pPr>
      <w:r>
        <w:rPr>
          <w:b/>
          <w:bCs/>
          <w:rStyle w:val="Normal"/>
        </w:rPr>
        <w:t xml:space="preserve">Continuous Narrative Voice:</w:t>
      </w:r>
      <w:r>
        <w:rPr>
          <w:rStyle w:val="Normal"/>
        </w:rPr>
        <w:t xml:space="preserve"> The authors deliberately chose a </w:t>
      </w:r>
      <w:r>
        <w:rPr>
          <w:b/>
          <w:bCs/>
          <w:rStyle w:val="Normal"/>
        </w:rPr>
        <w:t xml:space="preserve">story-like, explanatory voice</w:t>
      </w:r>
      <w:r>
        <w:rPr>
          <w:rStyle w:val="Normal"/>
        </w:rPr>
        <w:t xml:space="preserve"> rather than a checklist or dry runbook format. This makes the series </w:t>
      </w:r>
      <w:r>
        <w:rPr>
          <w:i/>
          <w:iCs/>
          <w:rStyle w:val="Normal"/>
        </w:rPr>
        <w:t xml:space="preserve">much more engaging and persuasive</w:t>
      </w:r>
      <w:r>
        <w:rPr>
          <w:rStyle w:val="Normal"/>
        </w:rPr>
        <w:t xml:space="preserve"> to read for architects and decision-makers. Complex concepts (like why a certain legacy practice made sense in the past, or why a particular sequence is mandated) are explained with full reasoning, often in elegant prose. For example, Book 01’s closing line succinctly captures the theme: </w:t>
      </w:r>
      <w:r>
        <w:rPr>
          <w:i/>
          <w:iCs/>
          <w:rStyle w:val="Normal"/>
        </w:rPr>
        <w:t xml:space="preserve">“It was correct engineering for a fully domain-joined world that no longer exists.”</w:t>
      </w:r>
      <w:r>
        <w:rPr>
          <w:rStyle w:val="Normal"/>
        </w:rPr>
        <w:t xml:space="preserve"> Such narrative flourishes make the material memorable and help justify the changes in a story-like manner. This is excellent for </w:t>
      </w:r>
      <w:r>
        <w:rPr>
          <w:b/>
          <w:bCs/>
          <w:rStyle w:val="Normal"/>
        </w:rPr>
        <w:t xml:space="preserve">pedagogy</w:t>
      </w:r>
      <w:r>
        <w:rPr>
          <w:rStyle w:val="Normal"/>
        </w:rPr>
        <w:t xml:space="preserve">, as it addresses the </w:t>
      </w:r>
      <w:r>
        <w:rPr>
          <w:b/>
          <w:bCs/>
          <w:rStyle w:val="Normal"/>
        </w:rPr>
        <w:t xml:space="preserve">“Why?”</w:t>
      </w:r>
      <w:r>
        <w:rPr>
          <w:rStyle w:val="Normal"/>
        </w:rPr>
        <w:t xml:space="preserve"> behind each step, not just the “How.” </w:t>
      </w:r>
      <w:hyperlink w:history="1" r:id="rIdb7ri3r7lz6oiuevvmexj1">
        <w:r>
          <w:rPr>
            <w:rStyle w:val="Hyperlink"/>
          </w:rPr>
          <w:t xml:space="preserve">[whalermike.github.io]</w:t>
        </w:r>
      </w:hyperlink>
      <w:r>
        <w:rPr>
          <w:rStyle w:val="Normal"/>
        </w:rPr>
        <w:t xml:space="preserve"> </w:t>
      </w:r>
      <w:hyperlink w:history="1" r:id="rIdj3rgxpvkwphxvisfo6z9c">
        <w:r>
          <w:rPr>
            <w:rStyle w:val="Hyperlink"/>
          </w:rPr>
          <w:t xml:space="preserve">[whalermike.github.io]</w:t>
        </w:r>
      </w:hyperlink>
    </w:p>
    <w:p>
      <w:pPr>
        <w:pStyle w:val="ListParagraph"/>
        <w:pStyle w:val="ListParagraph"/>
        <w:numPr>
          <w:ilvl w:val="0"/>
          <w:numId w:val="1"/>
        </w:numPr>
        <w:numPr>
          <w:ilvl w:val="0"/>
          <w:numId w:val="8"/>
        </w:numPr>
      </w:pPr>
      <w:r>
        <w:rPr>
          <w:b/>
          <w:bCs/>
          <w:rStyle w:val="Normal"/>
        </w:rPr>
        <w:t xml:space="preserve">Logical Structure &amp; Modularity:</w:t>
      </w:r>
      <w:r>
        <w:rPr>
          <w:rStyle w:val="Normal"/>
        </w:rPr>
        <w:t xml:space="preserve"> Each “Book” in the series has a clear focus, and within chapters there are helpful summaries. The end-of-chapter </w:t>
      </w:r>
      <w:r>
        <w:rPr>
          <w:b/>
          <w:bCs/>
          <w:rStyle w:val="Normal"/>
        </w:rPr>
        <w:t xml:space="preserve">“What this chapter establishes”</w:t>
      </w:r>
      <w:r>
        <w:rPr>
          <w:rStyle w:val="Normal"/>
        </w:rPr>
        <w:t xml:space="preserve"> summaries (we see them in Book 01 and Book 10 for instance) concisely recap key points. This technique reinforces learning and ensures that a reader doesn’t miss the main takeaways amid the rich narrative. The books build on one another logically: </w:t>
      </w:r>
      <w:hyperlink w:history="1" r:id="rId5i_netiqyvvys6tvehv68">
        <w:r>
          <w:rPr>
            <w:rStyle w:val="Hyperlink"/>
          </w:rPr>
          <w:t xml:space="preserve">[whalermike.github.io]</w:t>
        </w:r>
      </w:hyperlink>
      <w:r>
        <w:rPr>
          <w:rStyle w:val="Normal"/>
        </w:rPr>
        <w:t xml:space="preserve">, </w:t>
      </w:r>
      <w:hyperlink w:history="1" r:id="rIdhf0nunpkthsi35jwcysh6">
        <w:r>
          <w:rPr>
            <w:rStyle w:val="Hyperlink"/>
          </w:rPr>
          <w:t xml:space="preserve">[whalermike.github.io]</w:t>
        </w:r>
      </w:hyperlink>
    </w:p>
    <w:p>
      <w:pPr>
        <w:pStyle w:val="ListParagraph"/>
        <w:pStyle w:val="ListParagraph"/>
        <w:numPr>
          <w:ilvl w:val="1"/>
          <w:numId w:val="1"/>
        </w:numPr>
        <w:numPr>
          <w:ilvl w:val="1"/>
          <w:numId w:val="8"/>
        </w:numPr>
      </w:pPr>
      <w:r>
        <w:rPr>
          <w:rStyle w:val="Normal"/>
        </w:rPr>
        <w:t xml:space="preserve">Books 01–02 set context and pre-work (rationale and inventory).</w:t>
      </w:r>
    </w:p>
    <w:p>
      <w:pPr>
        <w:pStyle w:val="ListParagraph"/>
        <w:pStyle w:val="ListParagraph"/>
        <w:numPr>
          <w:ilvl w:val="1"/>
          <w:numId w:val="1"/>
        </w:numPr>
        <w:numPr>
          <w:ilvl w:val="1"/>
          <w:numId w:val="8"/>
        </w:numPr>
      </w:pPr>
      <w:r>
        <w:rPr>
          <w:rStyle w:val="Normal"/>
        </w:rPr>
        <w:t xml:space="preserve">Books 03–06 tackle the core engine changes.</w:t>
      </w:r>
    </w:p>
    <w:p>
      <w:pPr>
        <w:pStyle w:val="ListParagraph"/>
        <w:pStyle w:val="ListParagraph"/>
        <w:numPr>
          <w:ilvl w:val="1"/>
          <w:numId w:val="1"/>
        </w:numPr>
        <w:numPr>
          <w:ilvl w:val="1"/>
          <w:numId w:val="8"/>
        </w:numPr>
      </w:pPr>
      <w:r>
        <w:rPr>
          <w:rStyle w:val="Normal"/>
        </w:rPr>
        <w:t xml:space="preserve">Books 07–08 handle adjacent changes (permissions model and applications).</w:t>
      </w:r>
    </w:p>
    <w:p>
      <w:pPr>
        <w:pStyle w:val="ListParagraph"/>
        <w:pStyle w:val="ListParagraph"/>
        <w:numPr>
          <w:ilvl w:val="1"/>
          <w:numId w:val="1"/>
        </w:numPr>
        <w:numPr>
          <w:ilvl w:val="1"/>
          <w:numId w:val="8"/>
        </w:numPr>
      </w:pPr>
      <w:r>
        <w:rPr>
          <w:rStyle w:val="Normal"/>
        </w:rPr>
        <w:t xml:space="preserve">Book 09+10 discuss final state and dependencies.
This progression is pedagogically sound, as it mirrors the typical lifecycle of a project and avoids presenting solutions out of context. The </w:t>
      </w:r>
      <w:r>
        <w:rPr>
          <w:b/>
          <w:bCs/>
          <w:rStyle w:val="Normal"/>
        </w:rPr>
        <w:t xml:space="preserve">Table of Contents and cross-references</w:t>
      </w:r>
      <w:r>
        <w:rPr>
          <w:rStyle w:val="Normal"/>
        </w:rPr>
        <w:t xml:space="preserve"> (e.g., references to ADRs, and to the OrgPath series) indicate an integrated body of knowledge – helpful for readers who might want to dive deeper into specific subtopics (though see below about potential information overload for some audiences).</w:t>
      </w:r>
    </w:p>
    <w:p>
      <w:pPr>
        <w:pStyle w:val="ListParagraph"/>
        <w:pStyle w:val="ListParagraph"/>
        <w:numPr>
          <w:ilvl w:val="0"/>
          <w:numId w:val="1"/>
        </w:numPr>
        <w:numPr>
          <w:ilvl w:val="0"/>
          <w:numId w:val="8"/>
        </w:numPr>
      </w:pPr>
      <w:r>
        <w:rPr>
          <w:b/>
          <w:bCs/>
          <w:rStyle w:val="Normal"/>
        </w:rPr>
        <w:t xml:space="preserve">Use of Visual Aids:</w:t>
      </w:r>
      <w:r>
        <w:rPr>
          <w:rStyle w:val="Normal"/>
        </w:rPr>
        <w:t xml:space="preserve"> The main series page references multiple </w:t>
      </w:r>
      <w:r>
        <w:rPr>
          <w:b/>
          <w:bCs/>
          <w:rStyle w:val="Normal"/>
        </w:rPr>
        <w:t xml:space="preserve">figures and diagrams (Figures 2–9) illustrating the “old vs new” worlds and protocol flows</w:t>
      </w:r>
      <w:r>
        <w:rPr>
          <w:rStyle w:val="Normal"/>
        </w:rPr>
        <w:t xml:space="preserve">. Visualizing the network path changes (e.g., showing how the domain controller is removed from the authentication path in the new model) is extremely helpful in teaching. If the web version doesn’t show them inline, the Word bundle or a slide deck could; either way, including those diagrams is a big plus for clarity. Consider adding them more prominently if possible, as they summarize complex transitions in an accessible way. </w:t>
      </w:r>
      <w:hyperlink w:history="1" r:id="rIdbxefkq0-twfij_bjpo8rf">
        <w:r>
          <w:rPr>
            <w:rStyle w:val="Hyperlink"/>
          </w:rPr>
          <w:t xml:space="preserve">[whalermike.github.io]</w:t>
        </w:r>
      </w:hyperlink>
      <w:r>
        <w:rPr>
          <w:rStyle w:val="Normal"/>
        </w:rPr>
        <w:t xml:space="preserve">, </w:t>
      </w:r>
      <w:hyperlink w:history="1" r:id="rId3xev98wponkjcw8qk5nno">
        <w:r>
          <w:rPr>
            <w:rStyle w:val="Hyperlink"/>
          </w:rPr>
          <w:t xml:space="preserve">[whalermike.github.io]</w:t>
        </w:r>
      </w:hyperlink>
    </w:p>
    <w:p>
      <w:pPr>
        <w:pStyle w:val="ListParagraph"/>
        <w:pStyle w:val="ListParagraph"/>
        <w:numPr>
          <w:ilvl w:val="0"/>
          <w:numId w:val="1"/>
        </w:numPr>
        <w:numPr>
          <w:ilvl w:val="0"/>
          <w:numId w:val="8"/>
        </w:numPr>
      </w:pPr>
      <w:r>
        <w:rPr>
          <w:b/>
          <w:bCs/>
          <w:rStyle w:val="Normal"/>
        </w:rPr>
        <w:t xml:space="preserve">Balanced Tone and Credit:</w:t>
      </w:r>
      <w:r>
        <w:rPr>
          <w:rStyle w:val="Normal"/>
        </w:rPr>
        <w:t xml:space="preserve"> The narrative does a good job at not vilifying the legacy design (which could alienate readers who built or operate that legacy). By calling Windows Auth “genuinely good security architecture for the world it was designed for”, the authors respect the past and then logically lead the reader to see why change is needed given new requirements. This respectful tone makes the guide feel </w:t>
      </w:r>
      <w:r>
        <w:rPr>
          <w:b/>
          <w:bCs/>
          <w:rStyle w:val="Normal"/>
        </w:rPr>
        <w:t xml:space="preserve">collegial</w:t>
      </w:r>
      <w:r>
        <w:rPr>
          <w:rStyle w:val="Normal"/>
        </w:rPr>
        <w:t xml:space="preserve"> rather than finger-pointing, which is pedagogically effective for gaining buy-in. </w:t>
      </w:r>
      <w:hyperlink w:history="1" r:id="rIddkecg-k4xft81gbfjnbf-">
        <w:r>
          <w:rPr>
            <w:rStyle w:val="Hyperlink"/>
          </w:rPr>
          <w:t xml:space="preserve">[whalermike.github.io]</w:t>
        </w:r>
      </w:hyperlink>
      <w:r>
        <w:rPr>
          <w:rStyle w:val="Normal"/>
        </w:rPr>
        <w:t xml:space="preserve">, </w:t>
      </w:r>
      <w:hyperlink w:history="1" r:id="rIdxrbr0qgztigh5uq_cusfs">
        <w:r>
          <w:rPr>
            <w:rStyle w:val="Hyperlink"/>
          </w:rPr>
          <w:t xml:space="preserve">[whalermike.github.io]</w:t>
        </w:r>
      </w:hyperlink>
    </w:p>
    <w:p>
      <w:r>
        <w:rPr>
          <w:b/>
          <w:bCs/>
          <w:rStyle w:val="Normal"/>
        </w:rPr>
        <w:t xml:space="preserve">Gaps &amp; Suggestions for Clarity:</w:t>
      </w:r>
    </w:p>
    <w:p>
      <w:pPr>
        <w:pStyle w:val="ListParagraph"/>
        <w:pStyle w:val="ListParagraph"/>
        <w:numPr>
          <w:ilvl w:val="0"/>
          <w:numId w:val="1"/>
        </w:numPr>
        <w:numPr>
          <w:ilvl w:val="0"/>
          <w:numId w:val="9"/>
        </w:numPr>
      </w:pPr>
      <w:r>
        <w:rPr>
          <w:b/>
          <w:bCs/>
          <w:rStyle w:val="Normal"/>
        </w:rPr>
        <w:t xml:space="preserve">Target Audience Calibration:</w:t>
      </w:r>
      <w:r>
        <w:rPr>
          <w:rStyle w:val="Normal"/>
        </w:rPr>
        <w:t xml:space="preserve"> The series is aimed at a rather broad set of stakeholders (DB engineers, infrastructure architects, security engineers, and program leadership). Some parts are deeply technical (e.g., auditing script details, SPN intricacies), while others are high-level (like the leadership brief). There is a risk that </w:t>
      </w:r>
      <w:r>
        <w:rPr>
          <w:i/>
          <w:iCs/>
          <w:rStyle w:val="Normal"/>
        </w:rPr>
        <w:t xml:space="preserve">certain sections might be too detailed for executives</w:t>
      </w:r>
      <w:r>
        <w:rPr>
          <w:rStyle w:val="Normal"/>
        </w:rPr>
        <w:t xml:space="preserve"> and vice versa, too high-level for engineers. The solution of having separate resources (the narrative vs. the implementation companion vs. the leadership one-pager) is correct. To further improve: </w:t>
      </w:r>
      <w:hyperlink w:history="1" r:id="rIdclkfzmeivbw8gjlzkr9cf">
        <w:r>
          <w:rPr>
            <w:rStyle w:val="Hyperlink"/>
          </w:rPr>
          <w:t xml:space="preserve">[whalermike.github.io]</w:t>
        </w:r>
      </w:hyperlink>
    </w:p>
    <w:p>
      <w:pPr>
        <w:pStyle w:val="ListParagraph"/>
        <w:pStyle w:val="ListParagraph"/>
        <w:numPr>
          <w:ilvl w:val="1"/>
          <w:numId w:val="1"/>
        </w:numPr>
        <w:numPr>
          <w:ilvl w:val="1"/>
          <w:numId w:val="9"/>
        </w:numPr>
      </w:pPr>
      <w:r>
        <w:rPr>
          <w:b/>
          <w:bCs/>
          <w:rStyle w:val="Normal"/>
        </w:rPr>
        <w:t xml:space="preserve">Recommendation:</w:t>
      </w:r>
      <w:r>
        <w:rPr>
          <w:rStyle w:val="Normal"/>
        </w:rPr>
        <w:t xml:space="preserve"> Provide a short </w:t>
      </w:r>
      <w:r>
        <w:rPr>
          <w:b/>
          <w:bCs/>
          <w:rStyle w:val="Normal"/>
        </w:rPr>
        <w:t xml:space="preserve">executive summary</w:t>
      </w:r>
      <w:r>
        <w:rPr>
          <w:rStyle w:val="Normal"/>
        </w:rPr>
        <w:t xml:space="preserve"> at the very beginning of the series or each book – possibly a bullet list of the problem, solution, and outcomes – for those who might not read the full text. While the “Forcing Function” page serves this for the whole series, individual books could start with a brief “Here’s what you will learn and why it matters.” Some chapters already have an “In this chapter” note (e.g., Book 01 Chapter 1) which is great – ensure every chapter has a similar upfront preview of key points. </w:t>
      </w:r>
      <w:hyperlink w:history="1" r:id="rId4cdhzpifpzilibx_wvdwu">
        <w:r>
          <w:rPr>
            <w:rStyle w:val="Hyperlink"/>
          </w:rPr>
          <w:t xml:space="preserve">[whalermike.github.io]</w:t>
        </w:r>
      </w:hyperlink>
    </w:p>
    <w:p>
      <w:pPr>
        <w:pStyle w:val="ListParagraph"/>
        <w:pStyle w:val="ListParagraph"/>
        <w:numPr>
          <w:ilvl w:val="1"/>
          <w:numId w:val="1"/>
        </w:numPr>
        <w:numPr>
          <w:ilvl w:val="1"/>
          <w:numId w:val="9"/>
        </w:numPr>
      </w:pPr>
      <w:r>
        <w:rPr>
          <w:rStyle w:val="Normal"/>
        </w:rPr>
        <w:t xml:space="preserve">Additionally, consider an </w:t>
      </w:r>
      <w:r>
        <w:rPr>
          <w:b/>
          <w:bCs/>
          <w:rStyle w:val="Normal"/>
        </w:rPr>
        <w:t xml:space="preserve">FAQ or Q&amp;A section</w:t>
      </w:r>
      <w:r>
        <w:rPr>
          <w:rStyle w:val="Normal"/>
        </w:rPr>
        <w:t xml:space="preserve"> (perhaps in an appendix or as a separate “Read next”) addressing common concerns in plainer language. For example: </w:t>
      </w:r>
      <w:r>
        <w:rPr>
          <w:i/>
          <w:iCs/>
          <w:rStyle w:val="Normal"/>
        </w:rPr>
        <w:t xml:space="preserve">“What happens if our internet connection to Azure goes down?”</w:t>
      </w:r>
      <w:r>
        <w:rPr>
          <w:rStyle w:val="Normal"/>
        </w:rPr>
        <w:t xml:space="preserve"> or </w:t>
      </w:r>
      <w:r>
        <w:rPr>
          <w:i/>
          <w:iCs/>
          <w:rStyle w:val="Normal"/>
        </w:rPr>
        <w:t xml:space="preserve">“Can we phase this gradually by business unit?”</w:t>
      </w:r>
      <w:r>
        <w:rPr>
          <w:rStyle w:val="Normal"/>
        </w:rPr>
        <w:t xml:space="preserve"> – and provide short answers referencing the books/ADRs. This can reinforce understanding for non-technical stakeholders who might skim.</w:t>
      </w:r>
    </w:p>
    <w:p>
      <w:pPr>
        <w:pStyle w:val="ListParagraph"/>
        <w:pStyle w:val="ListParagraph"/>
        <w:numPr>
          <w:ilvl w:val="0"/>
          <w:numId w:val="1"/>
        </w:numPr>
        <w:numPr>
          <w:ilvl w:val="0"/>
          <w:numId w:val="9"/>
        </w:numPr>
      </w:pPr>
      <w:r>
        <w:rPr>
          <w:b/>
          <w:bCs/>
          <w:rStyle w:val="Normal"/>
        </w:rPr>
        <w:t xml:space="preserve">Length and Density:</w:t>
      </w:r>
      <w:r>
        <w:rPr>
          <w:rStyle w:val="Normal"/>
        </w:rPr>
        <w:t xml:space="preserve"> Depth is a double-edged sword. The narrative is </w:t>
      </w:r>
      <w:r>
        <w:rPr>
          <w:b/>
          <w:bCs/>
          <w:rStyle w:val="Normal"/>
        </w:rPr>
        <w:t xml:space="preserve">rich with detail</w:t>
      </w:r>
      <w:r>
        <w:rPr>
          <w:rStyle w:val="Normal"/>
        </w:rPr>
        <w:t xml:space="preserve">, which is ideal for the intended audience, but it may be overwhelming. For example, Book 02 spans at least four chapters and covers inventory, utilization, dependencies, rationalization logic, etc. While comprehensive, readers might get lost.</w:t>
      </w:r>
    </w:p>
    <w:p>
      <w:pPr>
        <w:pStyle w:val="ListParagraph"/>
        <w:pStyle w:val="ListParagraph"/>
        <w:numPr>
          <w:ilvl w:val="1"/>
          <w:numId w:val="1"/>
        </w:numPr>
        <w:numPr>
          <w:ilvl w:val="1"/>
          <w:numId w:val="9"/>
        </w:numPr>
      </w:pPr>
      <w:r>
        <w:rPr>
          <w:rStyle w:val="Normal"/>
        </w:rPr>
        <w:t xml:space="preserve">The series might benefit from </w:t>
      </w:r>
      <w:r>
        <w:rPr>
          <w:b/>
          <w:bCs/>
          <w:rStyle w:val="Normal"/>
        </w:rPr>
        <w:t xml:space="preserve">more visual summaries inside each book</w:t>
      </w:r>
      <w:r>
        <w:rPr>
          <w:rStyle w:val="Normal"/>
        </w:rPr>
        <w:t xml:space="preserve"> – perhaps a table or figure summarizing the chapter’s key findings (similar to how Book 02 Chapter 4 uses a decision flow diagram for retain/consolidate/retire, or Book 11’s concise matrix). In a complex narrative, such signposts help anchor the reader. </w:t>
      </w:r>
      <w:hyperlink w:history="1" r:id="rIdrdv-ualjwod_qhfvuvs-k">
        <w:r>
          <w:rPr>
            <w:rStyle w:val="Hyperlink"/>
          </w:rPr>
          <w:t xml:space="preserve">[github.com]</w:t>
        </w:r>
      </w:hyperlink>
      <w:r>
        <w:rPr>
          <w:rStyle w:val="Normal"/>
        </w:rPr>
        <w:t xml:space="preserve"> </w:t>
      </w:r>
      <w:hyperlink w:history="1" r:id="rId05bypod904s7aw0xlfb26">
        <w:r>
          <w:rPr>
            <w:rStyle w:val="Hyperlink"/>
          </w:rPr>
          <w:t xml:space="preserve">[whalermike.github.io]</w:t>
        </w:r>
      </w:hyperlink>
    </w:p>
    <w:p>
      <w:pPr>
        <w:pStyle w:val="ListParagraph"/>
        <w:pStyle w:val="ListParagraph"/>
        <w:numPr>
          <w:ilvl w:val="1"/>
          <w:numId w:val="1"/>
        </w:numPr>
        <w:numPr>
          <w:ilvl w:val="1"/>
          <w:numId w:val="9"/>
        </w:numPr>
      </w:pPr>
      <w:r>
        <w:rPr>
          <w:rStyle w:val="Normal"/>
        </w:rPr>
        <w:t xml:space="preserve">The authors could also highlight “key decisions made in this book” in a bullet list at the end of each book, which helps readers who want to skip details and just grasp the decisions (some of this is done in Book 05 Chapter 2’s five decisions list – perhaps replicate that style in other books where applicable). </w:t>
      </w:r>
      <w:hyperlink w:history="1" r:id="rIdosrsbw5ohpgneoqz7cjzi">
        <w:r>
          <w:rPr>
            <w:rStyle w:val="Hyperlink"/>
          </w:rPr>
          <w:t xml:space="preserve">[whalermike.github.io]</w:t>
        </w:r>
      </w:hyperlink>
      <w:r>
        <w:rPr>
          <w:rStyle w:val="Normal"/>
        </w:rPr>
        <w:t xml:space="preserve">, </w:t>
      </w:r>
      <w:hyperlink w:history="1" r:id="rIdrnywocjl7xzzmevewoyvb">
        <w:r>
          <w:rPr>
            <w:rStyle w:val="Hyperlink"/>
          </w:rPr>
          <w:t xml:space="preserve">[whalermike.github.io]</w:t>
        </w:r>
      </w:hyperlink>
    </w:p>
    <w:p>
      <w:pPr>
        <w:pStyle w:val="ListParagraph"/>
        <w:pStyle w:val="ListParagraph"/>
        <w:numPr>
          <w:ilvl w:val="1"/>
          <w:numId w:val="1"/>
        </w:numPr>
        <w:numPr>
          <w:ilvl w:val="1"/>
          <w:numId w:val="9"/>
        </w:numPr>
      </w:pPr>
      <w:r>
        <w:rPr>
          <w:rStyle w:val="Normal"/>
        </w:rPr>
        <w:t xml:space="preserve">Breaking up long paragraphs or using callout </w:t>
      </w:r>
      <w:r>
        <w:rPr>
          <w:b/>
          <w:bCs/>
          <w:rStyle w:val="Normal"/>
        </w:rPr>
        <w:t xml:space="preserve">sidebars for important warnings</w:t>
      </w:r>
      <w:r>
        <w:rPr>
          <w:rStyle w:val="Normal"/>
        </w:rPr>
        <w:t xml:space="preserve"> can also improve readability. For instance, calling out the limitations (like FCI support or dynamic group caveats) in a highlighted </w:t>
      </w:r>
      <w:r>
        <w:rPr>
          <w:b/>
          <w:bCs/>
          <w:rStyle w:val="Normal"/>
        </w:rPr>
        <w:t xml:space="preserve">“Important” note</w:t>
      </w:r>
      <w:r>
        <w:rPr>
          <w:rStyle w:val="Normal"/>
        </w:rPr>
        <w:t xml:space="preserve"> would ensure they catch the reader’s eye.</w:t>
      </w:r>
    </w:p>
    <w:p>
      <w:pPr>
        <w:pStyle w:val="ListParagraph"/>
        <w:pStyle w:val="ListParagraph"/>
        <w:numPr>
          <w:ilvl w:val="0"/>
          <w:numId w:val="1"/>
        </w:numPr>
        <w:numPr>
          <w:ilvl w:val="0"/>
          <w:numId w:val="9"/>
        </w:numPr>
      </w:pPr>
      <w:r>
        <w:rPr>
          <w:b/>
          <w:bCs/>
          <w:rStyle w:val="Normal"/>
        </w:rPr>
        <w:t xml:space="preserve">Interdependence of Parallel Efforts:</w:t>
      </w:r>
      <w:r>
        <w:rPr>
          <w:rStyle w:val="Normal"/>
        </w:rPr>
        <w:t xml:space="preserve"> The narrative references other transformation tracks (like OrgPath) and ADRs. While it’s good to connect them, it can be difficult for a reader to manage all the cross-references. The series is almost </w:t>
      </w:r>
      <w:r>
        <w:rPr>
          <w:i/>
          <w:iCs/>
          <w:rStyle w:val="Normal"/>
        </w:rPr>
        <w:t xml:space="preserve">too rich</w:t>
      </w:r>
      <w:r>
        <w:rPr>
          <w:rStyle w:val="Normal"/>
        </w:rPr>
        <w:t xml:space="preserve"> in cross-referenced content (ADR-091, 068, 002, 069, 067, 037, 036… plus UIAO_135, etc. appear throughout). For an internal audience with access to those documents, this is fine; but if the goal is to also educate generally, these references might overwhelm. </w:t>
      </w:r>
      <w:hyperlink w:history="1" r:id="rIdmb2l_0givdbvkccschi9t">
        <w:r>
          <w:rPr>
            <w:rStyle w:val="Hyperlink"/>
          </w:rPr>
          <w:t xml:space="preserve">[whalermike.github.io]</w:t>
        </w:r>
      </w:hyperlink>
      <w:r>
        <w:rPr>
          <w:rStyle w:val="Normal"/>
        </w:rPr>
        <w:t xml:space="preserve">, </w:t>
      </w:r>
      <w:hyperlink w:history="1" r:id="rIdbsopuierctf_jmu80exqg">
        <w:r>
          <w:rPr>
            <w:rStyle w:val="Hyperlink"/>
          </w:rPr>
          <w:t xml:space="preserve">[whalermike.github.io]</w:t>
        </w:r>
      </w:hyperlink>
    </w:p>
    <w:p>
      <w:pPr>
        <w:pStyle w:val="ListParagraph"/>
        <w:pStyle w:val="ListParagraph"/>
        <w:numPr>
          <w:ilvl w:val="1"/>
          <w:numId w:val="1"/>
        </w:numPr>
        <w:numPr>
          <w:ilvl w:val="1"/>
          <w:numId w:val="9"/>
        </w:numPr>
      </w:pPr>
      <w:r>
        <w:rPr>
          <w:b/>
          <w:bCs/>
          <w:rStyle w:val="Normal"/>
        </w:rPr>
        <w:t xml:space="preserve">Recommendation:</w:t>
      </w:r>
      <w:r>
        <w:rPr>
          <w:rStyle w:val="Normal"/>
        </w:rPr>
        <w:t xml:space="preserve"> Perhaps provide a </w:t>
      </w:r>
      <w:r>
        <w:rPr>
          <w:b/>
          <w:bCs/>
          <w:rStyle w:val="Normal"/>
        </w:rPr>
        <w:t xml:space="preserve">glossary or appendix</w:t>
      </w:r>
      <w:r>
        <w:rPr>
          <w:rStyle w:val="Normal"/>
        </w:rPr>
        <w:t xml:space="preserve"> (if not already present) that briefly explains each ADR and spec reference. This helps readers not intimately familiar with the internal numbering scheme. In fact, the series might already have a “Glossary and References” appendix (the user’s link list included something like </w:t>
      </w:r>
      <w:r>
        <w:rPr>
          <w:i/>
          <w:iCs/>
          <w:rStyle w:val="Normal"/>
        </w:rPr>
        <w:t xml:space="preserve">“Highlighted References”</w:t>
      </w:r>
      <w:r>
        <w:rPr>
          <w:rStyle w:val="Normal"/>
        </w:rPr>
        <w:t xml:space="preserve"> and </w:t>
      </w:r>
      <w:r>
        <w:rPr>
          <w:i/>
          <w:iCs/>
          <w:rStyle w:val="Normal"/>
        </w:rPr>
        <w:t xml:space="preserve">“Neutralized”</w:t>
      </w:r>
      <w:r>
        <w:rPr>
          <w:rStyle w:val="Normal"/>
        </w:rPr>
        <w:t xml:space="preserve"> versions). If so, ensuring those reference appendices are easily accessible and well-organized will aid comprehension. For external audiences, a standalone version of the narrative (as indicated by “standalone (no internal references)” pages) is provided – which is great. Make sure that version has all necessary context from the ADRs distilled into it. </w:t>
      </w:r>
      <w:hyperlink w:history="1" r:id="rIdludm8spszpjnxolr7gwmo">
        <w:r>
          <w:rPr>
            <w:rStyle w:val="Hyperlink"/>
          </w:rPr>
          <w:t xml:space="preserve">[whalermike.github.io]</w:t>
        </w:r>
      </w:hyperlink>
    </w:p>
    <w:p>
      <w:pPr>
        <w:pStyle w:val="ListParagraph"/>
        <w:pStyle w:val="ListParagraph"/>
        <w:numPr>
          <w:ilvl w:val="0"/>
          <w:numId w:val="1"/>
        </w:numPr>
        <w:numPr>
          <w:ilvl w:val="0"/>
          <w:numId w:val="9"/>
        </w:numPr>
      </w:pPr>
      <w:r>
        <w:rPr>
          <w:b/>
          <w:bCs/>
          <w:rStyle w:val="Normal"/>
        </w:rPr>
        <w:t xml:space="preserve">Pedagogical Balance (Conceptual vs. Practical):</w:t>
      </w:r>
      <w:r>
        <w:rPr>
          <w:rStyle w:val="Normal"/>
        </w:rPr>
        <w:t xml:space="preserve"> The narrative sometimes leans heavily into conceptual exposition (for instance, explaining “why” at length). In contrast, DBAs often look for quick answers to “what do I do on Monday?” – which is where the Implementation Companion comes in. The risk is if someone reads the narrative without the companion or vice versa, they might miss critical pieces. The series intro does encourage reading both side by side, but in practice audiences often gravitate to one or the other. </w:t>
      </w:r>
      <w:hyperlink w:history="1" r:id="rId4qjwhsoauwrh5aixxggmz">
        <w:r>
          <w:rPr>
            <w:rStyle w:val="Hyperlink"/>
          </w:rPr>
          <w:t xml:space="preserve">[whalermike.github.io]</w:t>
        </w:r>
      </w:hyperlink>
    </w:p>
    <w:p>
      <w:pPr>
        <w:pStyle w:val="ListParagraph"/>
        <w:pStyle w:val="ListParagraph"/>
        <w:numPr>
          <w:ilvl w:val="1"/>
          <w:numId w:val="1"/>
        </w:numPr>
        <w:numPr>
          <w:ilvl w:val="1"/>
          <w:numId w:val="9"/>
        </w:numPr>
      </w:pPr>
      <w:r>
        <w:rPr>
          <w:rStyle w:val="Normal"/>
        </w:rPr>
        <w:t xml:space="preserve">One suggestion is to insert occasional </w:t>
      </w:r>
      <w:r>
        <w:rPr>
          <w:b/>
          <w:bCs/>
          <w:rStyle w:val="Normal"/>
        </w:rPr>
        <w:t xml:space="preserve">“callout boxes” or anecdotes</w:t>
      </w:r>
      <w:r>
        <w:rPr>
          <w:rStyle w:val="Normal"/>
        </w:rPr>
        <w:t xml:space="preserve"> in the narrative that illustrate practical outcomes, to keep hands-on readers engaged. For example, after describing the Arc identity bridge concept, a short real-world anecdote like </w:t>
      </w:r>
      <w:r>
        <w:rPr>
          <w:i/>
          <w:iCs/>
          <w:rStyle w:val="Normal"/>
        </w:rPr>
        <w:t xml:space="preserve">“In our test environment, enabling Azure Arc on a SQL 2019 instance and attempting </w:t>
      </w:r>
      <w:r>
        <w:rPr>
          <w:rStyle w:val="Quote"/>
        </w:rPr>
        <w:t xml:space="preserve">CREATE LOGIN [user] FROM EXTERNAL PROVIDER</w:t>
      </w:r>
      <w:r>
        <w:rPr>
          <w:i/>
          <w:iCs/>
          <w:rStyle w:val="Normal"/>
        </w:rPr>
        <w:t xml:space="preserve"> failed – upgrading to SQL 2022 was necessary.”</w:t>
      </w:r>
      <w:r>
        <w:rPr>
          <w:rStyle w:val="Normal"/>
        </w:rPr>
        <w:t xml:space="preserve"> This would reinforce why such prerequisites exist. </w:t>
      </w:r>
      <w:hyperlink w:history="1" r:id="rId5iqgd2yl51v2tr7cpompy">
        <w:r>
          <w:rPr>
            <w:rStyle w:val="Hyperlink"/>
          </w:rPr>
          <w:t xml:space="preserve">[whalermike.github.io]</w:t>
        </w:r>
      </w:hyperlink>
    </w:p>
    <w:p>
      <w:pPr>
        <w:pStyle w:val="ListParagraph"/>
        <w:pStyle w:val="ListParagraph"/>
        <w:numPr>
          <w:ilvl w:val="1"/>
          <w:numId w:val="1"/>
        </w:numPr>
        <w:numPr>
          <w:ilvl w:val="1"/>
          <w:numId w:val="9"/>
        </w:numPr>
      </w:pPr>
      <w:r>
        <w:rPr>
          <w:rStyle w:val="Normal"/>
        </w:rPr>
        <w:t xml:space="preserve">Another idea: an </w:t>
      </w:r>
      <w:r>
        <w:rPr>
          <w:b/>
          <w:bCs/>
          <w:rStyle w:val="Normal"/>
        </w:rPr>
        <w:t xml:space="preserve">early diagram or flowchart of the overall migration process</w:t>
      </w:r>
      <w:r>
        <w:rPr>
          <w:rStyle w:val="Normal"/>
        </w:rPr>
        <w:t xml:space="preserve"> (maybe in Book 02 or 03) mapping each Book to a phase, could help readers orient where they are in the journey. The “transformation in three diagrams” on the main page is great for showing the architecture before/during/after; complement that with a high-level project timeline (e.g., Phase 0: Inventory, Phase 1: Audit and Arc onboarding, Phase 2: Entra parallel auth, etc.) to tie the narrative to a mental model of a project plan. </w:t>
      </w:r>
      <w:hyperlink w:history="1" r:id="rIdqfre8mjts_i5j-kyudp3c">
        <w:r>
          <w:rPr>
            <w:rStyle w:val="Hyperlink"/>
          </w:rPr>
          <w:t xml:space="preserve">[whalermike.github.io]</w:t>
        </w:r>
      </w:hyperlink>
      <w:r>
        <w:rPr>
          <w:rStyle w:val="Normal"/>
        </w:rPr>
        <w:t xml:space="preserve">, </w:t>
      </w:r>
      <w:hyperlink w:history="1" r:id="rIdv9nfpgp0ysbf27eyhzhlb">
        <w:r>
          <w:rPr>
            <w:rStyle w:val="Hyperlink"/>
          </w:rPr>
          <w:t xml:space="preserve">[whalermike.github.io]</w:t>
        </w:r>
      </w:hyperlink>
    </w:p>
    <w:p>
      <w:pPr>
        <w:pStyle w:val="Heading4"/>
      </w:pPr>
      <w:r>
        <w:rPr>
          <w:b/>
          <w:bCs/>
          <w:rStyle w:val="Normal"/>
        </w:rPr>
        <w:t xml:space="preserve">Table 3: Narrative Design &amp; Effectiveness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w:tc>
          <w:tcPr>
            <w:vAlign w:val="center"/>
          </w:tcPr>
          <w:p>
            <w:r>
              <w:rPr>
                <w:b/>
                <w:bCs/>
                <w:rStyle w:val="Normal"/>
              </w:rPr>
              <w:t xml:space="preserve">Narrative &amp; Documentation</w:t>
            </w:r>
          </w:p>
        </w:tc>
        <w:tc>
          <w:tcPr>
            <w:vAlign w:val="center"/>
          </w:tcPr>
          <w:p>
            <w:r>
              <w:rPr>
                <w:b/>
                <w:bCs/>
                <w:rStyle w:val="Normal"/>
              </w:rPr>
              <w:t xml:space="preserve">Strengths</w:t>
            </w:r>
          </w:p>
        </w:tc>
        <w:tc>
          <w:tcPr>
            <w:vAlign w:val="center"/>
          </w:tcPr>
          <w:p>
            <w:r>
              <w:rPr>
                <w:b/>
                <w:bCs/>
                <w:rStyle w:val="Normal"/>
              </w:rPr>
              <w:t xml:space="preserve">Areas for Improvement</w:t>
            </w:r>
          </w:p>
        </w:tc>
        <w:tc>
          <w:tcPr>
            <w:vAlign w:val="center"/>
          </w:tcPr>
          <w:p>
            <w:r>
              <w:rPr>
                <w:b/>
                <w:bCs/>
                <w:rStyle w:val="Normal"/>
              </w:rPr>
              <w:t xml:space="preserve">Recommendations</w:t>
            </w:r>
          </w:p>
        </w:tc>
      </w:tr>
      <w:tr>
        <w:tc>
          <w:tcPr>
            <w:vAlign w:val="center"/>
          </w:tcPr>
          <w:p>
            <w:r>
              <w:rPr>
                <w:b/>
                <w:bCs/>
                <w:rStyle w:val="Normal"/>
              </w:rPr>
              <w:t xml:space="preserve">Writing Style &amp; Tone</w:t>
            </w:r>
          </w:p>
        </w:tc>
        <w:tc>
          <w:tcPr>
            <w:vAlign w:val="center"/>
          </w:tcPr>
          <w:p>
            <w:r>
              <w:rPr>
                <w:rStyle w:val="Normal"/>
              </w:rPr>
              <w:t xml:space="preserve">– Engaging, story-like narrative that explains “why” behind technical steps </w:t>
            </w:r>
            <w:hyperlink w:history="1" r:id="rIdmdcorhm84t5gaw1-fpjhm">
              <w:r>
                <w:rPr>
                  <w:rStyle w:val="Hyperlink"/>
                </w:rPr>
                <w:t xml:space="preserve">[whalermike.github.io]</w:t>
              </w:r>
            </w:hyperlink>
            <w:r>
              <w:rPr>
                <w:rStyle w:val="Normal"/>
              </w:rPr>
              <w:t xml:space="preserve">. </w:t>
            </w:r>
            <w:r>
              <w:rPr>
                <w:rStyle w:val="Normal"/>
              </w:rPr>
              <w:t xml:space="preserve"> – Respectful to legacy design (frames it as historically valid) </w:t>
            </w:r>
            <w:hyperlink w:history="1" r:id="rIdbg3sbrjamcogv81fabnrf">
              <w:r>
                <w:rPr>
                  <w:rStyle w:val="Hyperlink"/>
                </w:rPr>
                <w:t xml:space="preserve">[whalermike.github.io]</w:t>
              </w:r>
            </w:hyperlink>
            <w:r>
              <w:rPr>
                <w:rStyle w:val="Normal"/>
              </w:rPr>
              <w:t xml:space="preserve">, which keeps stakeholders receptive rather than defensive. </w:t>
            </w:r>
            <w:r>
              <w:rPr>
                <w:rStyle w:val="Normal"/>
              </w:rPr>
              <w:t xml:space="preserve"> – Clearly a lot of effort in writing; it’s polished and authoritative in voice.</w:t>
            </w:r>
          </w:p>
        </w:tc>
        <w:tc>
          <w:tcPr>
            <w:vAlign w:val="center"/>
          </w:tcPr>
          <w:p>
            <w:r>
              <w:rPr>
                <w:rStyle w:val="Normal"/>
              </w:rPr>
              <w:t xml:space="preserve">– Some sections might be too verbose or dense for readers seeking quick answers. </w:t>
            </w:r>
            <w:r>
              <w:rPr>
                <w:rStyle w:val="Normal"/>
              </w:rPr>
              <w:t xml:space="preserve"> – Mixing audiences (engineers vs. execs) could dilute clarity for each.</w:t>
            </w:r>
          </w:p>
        </w:tc>
        <w:tc>
          <w:tcPr>
            <w:vAlign w:val="center"/>
          </w:tcPr>
          <w:p>
            <w:r>
              <w:rPr>
                <w:rStyle w:val="Normal"/>
              </w:rPr>
              <w:t xml:space="preserve">Provide </w:t>
            </w:r>
            <w:r>
              <w:rPr>
                <w:b/>
                <w:bCs/>
                <w:rStyle w:val="Normal"/>
              </w:rPr>
              <w:t xml:space="preserve">summary highlights</w:t>
            </w:r>
            <w:r>
              <w:rPr>
                <w:rStyle w:val="Normal"/>
              </w:rPr>
              <w:t xml:space="preserve"> at the start or end of each chapter for skimmers. </w:t>
            </w:r>
            <w:r>
              <w:rPr>
                <w:rStyle w:val="Normal"/>
              </w:rPr>
              <w:t xml:space="preserve"> Possibly create distinct “summary for executives” vs “deep dive for engineers” sections, or separate documents (the decision brief is one, maybe a similar short summary for each book’s key tech outcomes would help).</w:t>
            </w:r>
          </w:p>
        </w:tc>
      </w:tr>
      <w:tr>
        <w:tc>
          <w:tcPr>
            <w:vAlign w:val="center"/>
          </w:tcPr>
          <w:p>
            <w:r>
              <w:rPr>
                <w:b/>
                <w:bCs/>
                <w:rStyle w:val="Normal"/>
              </w:rPr>
              <w:t xml:space="preserve">Series Structure &amp; Sequence</w:t>
            </w:r>
          </w:p>
        </w:tc>
        <w:tc>
          <w:tcPr>
            <w:vAlign w:val="center"/>
          </w:tcPr>
          <w:p>
            <w:r>
              <w:rPr>
                <w:rStyle w:val="Normal"/>
              </w:rPr>
              <w:t xml:space="preserve">– Logical progression from foundation to outcome. </w:t>
            </w:r>
            <w:r>
              <w:rPr>
                <w:rStyle w:val="Normal"/>
              </w:rPr>
              <w:t xml:space="preserve"> – Each Book focuses on a manageable chunk, and cross-references ensure readers know prerequisites (e.g., Book 02 gating Book 03, etc.) </w:t>
            </w:r>
            <w:hyperlink w:history="1" r:id="rIdlzhsq8_t4eprv4lsw86q9">
              <w:r>
                <w:rPr>
                  <w:rStyle w:val="Hyperlink"/>
                </w:rPr>
                <w:t xml:space="preserve">[github.com]</w:t>
              </w:r>
            </w:hyperlink>
            <w:r>
              <w:rPr>
                <w:rStyle w:val="Normal"/>
              </w:rPr>
              <w:t xml:space="preserve">, </w:t>
            </w:r>
            <w:hyperlink w:history="1" r:id="rId0jvjke3oqcqz1kqkd6bxg">
              <w:r>
                <w:rPr>
                  <w:rStyle w:val="Hyperlink"/>
                </w:rPr>
                <w:t xml:space="preserve">[whalermike.github.io]</w:t>
              </w:r>
            </w:hyperlink>
            <w:r>
              <w:rPr>
                <w:rStyle w:val="Normal"/>
              </w:rPr>
              <w:t xml:space="preserve">. </w:t>
            </w:r>
            <w:r>
              <w:rPr>
                <w:rStyle w:val="Normal"/>
              </w:rPr>
              <w:t xml:space="preserve"> – Use of companion guide means narrative isn’t cluttered with code – keeps focus on concepts </w:t>
            </w:r>
            <w:hyperlink w:history="1" r:id="rIdkkvpla8okqfmahlye0o0a">
              <w:r>
                <w:rPr>
                  <w:rStyle w:val="Hyperlink"/>
                </w:rPr>
                <w:t xml:space="preserve">[whalermike.github.io]</w:t>
              </w:r>
            </w:hyperlink>
            <w:r>
              <w:rPr>
                <w:rStyle w:val="Normal"/>
              </w:rPr>
              <w:t xml:space="preserve">.</w:t>
            </w:r>
          </w:p>
        </w:tc>
        <w:tc>
          <w:tcPr>
            <w:vAlign w:val="center"/>
          </w:tcPr>
          <w:p>
            <w:r>
              <w:rPr>
                <w:rStyle w:val="Normal"/>
              </w:rPr>
              <w:t xml:space="preserve">– For new readers, the requirement to follow multiple documents (narrative, companion, ADRs, OrgPath series) may be daunting. </w:t>
            </w:r>
            <w:r>
              <w:rPr>
                <w:rStyle w:val="Normal"/>
              </w:rPr>
              <w:t xml:space="preserve"> – Some cross-references (to OrgPath, other ADRs) might confuse those not involved in the whole program.</w:t>
            </w:r>
          </w:p>
        </w:tc>
        <w:tc>
          <w:tcPr>
            <w:vAlign w:val="center"/>
          </w:tcPr>
          <w:p>
            <w:r>
              <w:rPr>
                <w:rStyle w:val="Normal"/>
              </w:rPr>
              <w:t xml:space="preserve">Ensure the </w:t>
            </w:r>
            <w:r>
              <w:rPr>
                <w:b/>
                <w:bCs/>
                <w:rStyle w:val="Normal"/>
              </w:rPr>
              <w:t xml:space="preserve">Standalone/Neutralized version</w:t>
            </w:r>
            <w:r>
              <w:rPr>
                <w:rStyle w:val="Normal"/>
              </w:rPr>
              <w:t xml:space="preserve"> of the series compiles necessary background so that an external reader can follow without reading other docs. </w:t>
            </w:r>
            <w:r>
              <w:rPr>
                <w:rStyle w:val="Normal"/>
              </w:rPr>
              <w:t xml:space="preserve"> In the public version, possibly trim or footnote the internal references. </w:t>
            </w:r>
            <w:r>
              <w:rPr>
                <w:rStyle w:val="Normal"/>
              </w:rPr>
              <w:t xml:space="preserve"> Consider an infographic showing all related components (OrgPath, ADR-091, etc.) and how they interrelate.</w:t>
            </w:r>
          </w:p>
        </w:tc>
      </w:tr>
      <w:tr>
        <w:tc>
          <w:tcPr>
            <w:vAlign w:val="center"/>
          </w:tcPr>
          <w:p>
            <w:r>
              <w:rPr>
                <w:b/>
                <w:bCs/>
                <w:rStyle w:val="Normal"/>
              </w:rPr>
              <w:t xml:space="preserve">Use of Visuals and Summaries</w:t>
            </w:r>
          </w:p>
        </w:tc>
        <w:tc>
          <w:tcPr>
            <w:vAlign w:val="center"/>
          </w:tcPr>
          <w:p>
            <w:r>
              <w:rPr>
                <w:rStyle w:val="Normal"/>
              </w:rPr>
              <w:t xml:space="preserve">– Provides diagrams for network flows and high-level concepts </w:t>
            </w:r>
            <w:hyperlink w:history="1" r:id="rIdrvk3kswpr09bpj1ji5uew">
              <w:r>
                <w:rPr>
                  <w:rStyle w:val="Hyperlink"/>
                </w:rPr>
                <w:t xml:space="preserve">[whalermike.github.io]</w:t>
              </w:r>
            </w:hyperlink>
            <w:r>
              <w:rPr>
                <w:rStyle w:val="Normal"/>
              </w:rPr>
              <w:t xml:space="preserve">, </w:t>
            </w:r>
            <w:hyperlink w:history="1" r:id="rIdkriesijozef8hnnb1bwir">
              <w:r>
                <w:rPr>
                  <w:rStyle w:val="Hyperlink"/>
                </w:rPr>
                <w:t xml:space="preserve">[whalermike.github.io]</w:t>
              </w:r>
            </w:hyperlink>
            <w:r>
              <w:rPr>
                <w:rStyle w:val="Normal"/>
              </w:rPr>
              <w:t xml:space="preserve">. </w:t>
            </w:r>
            <w:r>
              <w:rPr>
                <w:rStyle w:val="Normal"/>
              </w:rPr>
              <w:t xml:space="preserve"> – Chapters include “In this chapter” previews </w:t>
            </w:r>
            <w:hyperlink w:history="1" r:id="rIdn6yeh2lyfsvvpgv_zaqfb">
              <w:r>
                <w:rPr>
                  <w:rStyle w:val="Hyperlink"/>
                </w:rPr>
                <w:t xml:space="preserve">[whalermike.github.io]</w:t>
              </w:r>
            </w:hyperlink>
            <w:r>
              <w:rPr>
                <w:rStyle w:val="Normal"/>
              </w:rPr>
              <w:t xml:space="preserve"> and “What this chapter establishes” recaps </w:t>
            </w:r>
            <w:hyperlink w:history="1" r:id="rIdlpazpmowxmwn4fytqyjc4">
              <w:r>
                <w:rPr>
                  <w:rStyle w:val="Hyperlink"/>
                </w:rPr>
                <w:t xml:space="preserve">[whalermike.github.io]</w:t>
              </w:r>
            </w:hyperlink>
            <w:r>
              <w:rPr>
                <w:rStyle w:val="Normal"/>
              </w:rPr>
              <w:t xml:space="preserve">, reinforcing key points. </w:t>
            </w:r>
            <w:r>
              <w:rPr>
                <w:rStyle w:val="Normal"/>
              </w:rPr>
              <w:t xml:space="preserve"> – Leadership decision matrix (Book 11) and tables nicely condense recommendations </w:t>
            </w:r>
            <w:hyperlink w:history="1" r:id="rIdqievomrhdxj57eu3cbgu0">
              <w:r>
                <w:rPr>
                  <w:rStyle w:val="Hyperlink"/>
                </w:rPr>
                <w:t xml:space="preserve">[whalermike.github.io]</w:t>
              </w:r>
            </w:hyperlink>
            <w:r>
              <w:rPr>
                <w:rStyle w:val="Normal"/>
              </w:rPr>
              <w:t xml:space="preserve">.</w:t>
            </w:r>
          </w:p>
        </w:tc>
        <w:tc>
          <w:tcPr>
            <w:vAlign w:val="center"/>
          </w:tcPr>
          <w:p>
            <w:r>
              <w:rPr>
                <w:rStyle w:val="Normal"/>
              </w:rPr>
              <w:t xml:space="preserve">– Some diagrams are referenced but not shown inline in the web text (ensuring they are visible in the Word/PDF bundle is important). </w:t>
            </w:r>
            <w:r>
              <w:rPr>
                <w:rStyle w:val="Normal"/>
              </w:rPr>
              <w:t xml:space="preserve"> – Could use more tables/figures inside technical chapters to break up text (e.g., a table of “Old vs New authentication features” in Book 01, or a simple flowchart of the migration process in Book 03).</w:t>
            </w:r>
          </w:p>
        </w:tc>
        <w:tc>
          <w:tcPr>
            <w:vAlign w:val="center"/>
          </w:tcPr>
          <w:p>
            <w:r>
              <w:rPr>
                <w:rStyle w:val="Normal"/>
              </w:rPr>
              <w:t xml:space="preserve">Integrate the existing figures more visibly in the web document for quick readers (perhaps via embedded images). </w:t>
            </w:r>
            <w:r>
              <w:rPr>
                <w:rStyle w:val="Normal"/>
              </w:rPr>
              <w:t xml:space="preserve"> Add a few </w:t>
            </w:r>
            <w:r>
              <w:rPr>
                <w:b/>
                <w:bCs/>
                <w:rStyle w:val="Normal"/>
              </w:rPr>
              <w:t xml:space="preserve">tables</w:t>
            </w:r>
            <w:r>
              <w:rPr>
                <w:rStyle w:val="Normal"/>
              </w:rPr>
              <w:t xml:space="preserve"> to summarize complex info: e.g., a small table listing Windows Auth vs Entra Auth differences (Kerberos/NTLM vs OAuth tokens, etc.), or a checklist of “SQL 2022 prerequisites for Entra ID” for easy scanning. </w:t>
            </w:r>
            <w:r>
              <w:rPr>
                <w:rStyle w:val="Normal"/>
              </w:rPr>
              <w:t xml:space="preserve"> Possibly use icons or callout banners for </w:t>
            </w:r>
            <w:r>
              <w:rPr>
                <w:b/>
                <w:bCs/>
                <w:rStyle w:val="Normal"/>
              </w:rPr>
              <w:t xml:space="preserve">warnings</w:t>
            </w:r>
            <w:r>
              <w:rPr>
                <w:rStyle w:val="Normal"/>
              </w:rPr>
              <w:t xml:space="preserve"> (like unsupported scenarios, needed policies) to draw attention.</w:t>
            </w:r>
          </w:p>
        </w:tc>
      </w:tr>
    </w:tbl>
    <w:p>
      <w:pPr>
        <w:pStyle w:val="Heading2"/>
      </w:pPr>
      <w:r>
        <w:rPr>
          <w:rStyle w:val="Normal"/>
        </w:rPr>
        <w:t xml:space="preserve">5. </w:t>
      </w:r>
      <w:r>
        <w:rPr>
          <w:b/>
          <w:bCs/>
          <w:rStyle w:val="Normal"/>
        </w:rPr>
        <w:t xml:space="preserve">Conclusion and Overall Assessment</w:t>
      </w:r>
    </w:p>
    <w:p>
      <w:r>
        <w:rPr>
          <w:rStyle w:val="Normal"/>
        </w:rPr>
        <w:t xml:space="preserve">The </w:t>
      </w:r>
      <w:r>
        <w:rPr>
          <w:i/>
          <w:iCs/>
          <w:rStyle w:val="Normal"/>
        </w:rPr>
        <w:t xml:space="preserve">SQL Server Identity Transformation</w:t>
      </w:r>
      <w:r>
        <w:rPr>
          <w:rStyle w:val="Normal"/>
        </w:rPr>
        <w:t xml:space="preserve"> narrative series is a remarkably comprehensive blueprint for modernizing SQL Server authentication in a large enterprise environment. It excels in technical accuracy, covering everything from </w:t>
      </w:r>
      <w:r>
        <w:rPr>
          <w:b/>
          <w:bCs/>
          <w:rStyle w:val="Normal"/>
        </w:rPr>
        <w:t xml:space="preserve">why the change is needed</w:t>
      </w:r>
      <w:r>
        <w:rPr>
          <w:rStyle w:val="Normal"/>
        </w:rPr>
        <w:t xml:space="preserve"> to </w:t>
      </w:r>
      <w:r>
        <w:rPr>
          <w:b/>
          <w:bCs/>
          <w:rStyle w:val="Normal"/>
        </w:rPr>
        <w:t xml:space="preserve">how to execute it step-by-step</w:t>
      </w:r>
      <w:r>
        <w:rPr>
          <w:rStyle w:val="Normal"/>
        </w:rPr>
        <w:t xml:space="preserve">, all while keeping an eye on </w:t>
      </w:r>
      <w:r>
        <w:rPr>
          <w:b/>
          <w:bCs/>
          <w:rStyle w:val="Normal"/>
        </w:rPr>
        <w:t xml:space="preserve">security, compliance, and long-term sustainability</w:t>
      </w:r>
      <w:r>
        <w:rPr>
          <w:rStyle w:val="Normal"/>
        </w:rPr>
        <w:t xml:space="preserve">. The authors have demonstrated a clear alignment with Microsoft’s strategic direction (Azure Arc, Entra ID, NTLM deprecation) and have skillfully woven in the relevant official guidelines and tools.</w:t>
      </w:r>
    </w:p>
    <w:p>
      <w:r>
        <w:rPr>
          <w:b/>
          <w:bCs/>
          <w:rStyle w:val="Normal"/>
        </w:rPr>
        <w:t xml:space="preserve">Key strengths</w:t>
      </w:r>
      <w:r>
        <w:rPr>
          <w:rStyle w:val="Normal"/>
        </w:rPr>
        <w:t xml:space="preserve"> of the series include its completeness (spanning from forest-level analysis to post-migration governance), its alignment with zero-trust security models, and its honest treatment of potential hurdles (legacy system exceptions, certificate authority issues). The narrative approach and the separation of conceptual vs. implementation details make it potentially accessible to a range of stakeholders, which is important in an enterprise transformation that requires cross-functional collaboration.</w:t>
      </w:r>
    </w:p>
    <w:p>
      <w:r>
        <w:rPr>
          <w:b/>
          <w:bCs/>
          <w:rStyle w:val="Normal"/>
        </w:rPr>
        <w:t xml:space="preserve">Notable areas for improvement</w:t>
      </w:r>
      <w:r>
        <w:rPr>
          <w:rStyle w:val="Normal"/>
        </w:rPr>
        <w:t xml:space="preserve"> revolve around </w:t>
      </w:r>
      <w:r>
        <w:rPr>
          <w:i/>
          <w:iCs/>
          <w:rStyle w:val="Normal"/>
        </w:rPr>
        <w:t xml:space="preserve">making the content even more actionable and ensuring no important scenario is left unaddressed</w:t>
      </w:r>
      <w:r>
        <w:rPr>
          <w:rStyle w:val="Normal"/>
        </w:rPr>
        <w:t xml:space="preserve">. The addition of explicit notes on known limitations (like the current lack of FCI support for Entra ID logins) and on handling </w:t>
      </w:r>
      <w:r>
        <w:rPr>
          <w:b/>
          <w:bCs/>
          <w:rStyle w:val="Normal"/>
        </w:rPr>
        <w:t xml:space="preserve">client-side changes</w:t>
      </w:r>
      <w:r>
        <w:rPr>
          <w:rStyle w:val="Normal"/>
        </w:rPr>
        <w:t xml:space="preserve"> (e.g., AAD join for user workstations, updating application drivers) would prevent readers from overlooking these critical tasks. Simplifying the presentation for non-technical stakeholders (through summaries or visuals) can also help in communicating the vision.</w:t>
      </w:r>
    </w:p>
    <w:p>
      <w:r>
        <w:rPr>
          <w:rStyle w:val="Normal"/>
        </w:rPr>
        <w:t xml:space="preserve">In terms of </w:t>
      </w:r>
      <w:r>
        <w:rPr>
          <w:b/>
          <w:bCs/>
          <w:rStyle w:val="Normal"/>
        </w:rPr>
        <w:t xml:space="preserve">architectural soundness</w:t>
      </w:r>
      <w:r>
        <w:rPr>
          <w:rStyle w:val="Normal"/>
        </w:rPr>
        <w:t xml:space="preserve">, the proposed strategy is solid and even pioneering – it effectively uses cloud capabilities to solve on-prem identity weaknesses, which is exactly what Microsoft’s hybrid strategy encourages. The </w:t>
      </w:r>
      <w:r>
        <w:rPr>
          <w:b/>
          <w:bCs/>
          <w:rStyle w:val="Normal"/>
        </w:rPr>
        <w:t xml:space="preserve">trade-offs</w:t>
      </w:r>
      <w:r>
        <w:rPr>
          <w:rStyle w:val="Normal"/>
        </w:rPr>
        <w:t xml:space="preserve"> (such as increased reliance on Azure and the needed SQL version upgrades) are clearly justified by security and compliance gains. The </w:t>
      </w:r>
      <w:r>
        <w:rPr>
          <w:b/>
          <w:bCs/>
          <w:rStyle w:val="Normal"/>
        </w:rPr>
        <w:t xml:space="preserve">assumptions</w:t>
      </w:r>
      <w:r>
        <w:rPr>
          <w:rStyle w:val="Normal"/>
        </w:rPr>
        <w:t xml:space="preserve"> made (such as the presence of Azure connectivity and the availability of Azure AD Premium features, or the readiness of OrgPath data) are generally valid in the context of a forward-looking organization, but they should be called out as prerequisites to avoid any ambiguity.</w:t>
      </w:r>
    </w:p>
    <w:p>
      <w:r>
        <w:rPr>
          <w:b/>
          <w:bCs/>
          <w:rStyle w:val="Normal"/>
        </w:rPr>
        <w:t xml:space="preserve">Concrete recommendations</w:t>
      </w:r>
      <w:r>
        <w:rPr>
          <w:rStyle w:val="Normal"/>
        </w:rPr>
        <w:t xml:space="preserve">:</w:t>
      </w:r>
    </w:p>
    <w:p>
      <w:pPr>
        <w:pStyle w:val="ListParagraph"/>
        <w:pStyle w:val="ListParagraph"/>
        <w:numPr>
          <w:ilvl w:val="0"/>
          <w:numId w:val="1"/>
        </w:numPr>
        <w:numPr>
          <w:ilvl w:val="0"/>
          <w:numId w:val="10"/>
        </w:numPr>
      </w:pPr>
      <w:r>
        <w:rPr>
          <w:b/>
          <w:bCs/>
          <w:rStyle w:val="Normal"/>
        </w:rPr>
        <w:t xml:space="preserve">Expand guidance on special cases</w:t>
      </w:r>
      <w:r>
        <w:rPr>
          <w:rStyle w:val="Normal"/>
        </w:rPr>
        <w:t xml:space="preserve"> like FCI, replication, and truly offline scenarios – even if just to say “if you have X, you will need to handle it this way or delay this aspect.”</w:t>
      </w:r>
    </w:p>
    <w:p>
      <w:pPr>
        <w:pStyle w:val="ListParagraph"/>
        <w:pStyle w:val="ListParagraph"/>
        <w:numPr>
          <w:ilvl w:val="0"/>
          <w:numId w:val="1"/>
        </w:numPr>
        <w:numPr>
          <w:ilvl w:val="0"/>
          <w:numId w:val="10"/>
        </w:numPr>
      </w:pPr>
      <w:r>
        <w:rPr>
          <w:b/>
          <w:bCs/>
          <w:rStyle w:val="Normal"/>
        </w:rPr>
        <w:t xml:space="preserve">Highlight the necessity of Azure AD join/hybrid join for clients</w:t>
      </w:r>
      <w:r>
        <w:rPr>
          <w:rStyle w:val="Normal"/>
        </w:rPr>
        <w:t xml:space="preserve"> to benefit from seamless authentication in the new model.</w:t>
      </w:r>
    </w:p>
    <w:p>
      <w:pPr>
        <w:pStyle w:val="ListParagraph"/>
        <w:pStyle w:val="ListParagraph"/>
        <w:numPr>
          <w:ilvl w:val="0"/>
          <w:numId w:val="1"/>
        </w:numPr>
        <w:numPr>
          <w:ilvl w:val="0"/>
          <w:numId w:val="10"/>
        </w:numPr>
      </w:pPr>
      <w:r>
        <w:rPr>
          <w:b/>
          <w:bCs/>
          <w:rStyle w:val="Normal"/>
        </w:rPr>
        <w:t xml:space="preserve">Provide more visuals and summaries</w:t>
      </w:r>
      <w:r>
        <w:rPr>
          <w:rStyle w:val="Normal"/>
        </w:rPr>
        <w:t xml:space="preserve"> to cater to different learning styles. The content is available; a matter of presentation can make it even more digestible.</w:t>
      </w:r>
    </w:p>
    <w:p>
      <w:pPr>
        <w:pStyle w:val="ListParagraph"/>
        <w:pStyle w:val="ListParagraph"/>
        <w:numPr>
          <w:ilvl w:val="0"/>
          <w:numId w:val="1"/>
        </w:numPr>
        <w:numPr>
          <w:ilvl w:val="0"/>
          <w:numId w:val="10"/>
        </w:numPr>
      </w:pPr>
      <w:r>
        <w:rPr>
          <w:b/>
          <w:bCs/>
          <w:rStyle w:val="Normal"/>
        </w:rPr>
        <w:t xml:space="preserve">Keep mapping to Microsoft’s roadmap</w:t>
      </w:r>
      <w:r>
        <w:rPr>
          <w:rStyle w:val="Normal"/>
        </w:rPr>
        <w:t xml:space="preserve">: as the series is in draft, keep an eye on evolving Microsoft documentation (for example, if support for FCIs or new certificate management solutions appear in late 2026, update the narrative accordingly).</w:t>
      </w:r>
    </w:p>
    <w:p>
      <w:pPr>
        <w:pStyle w:val="ListParagraph"/>
        <w:pStyle w:val="ListParagraph"/>
        <w:numPr>
          <w:ilvl w:val="0"/>
          <w:numId w:val="1"/>
        </w:numPr>
        <w:numPr>
          <w:ilvl w:val="0"/>
          <w:numId w:val="10"/>
        </w:numPr>
      </w:pPr>
      <w:r>
        <w:rPr>
          <w:b/>
          <w:bCs/>
          <w:rStyle w:val="Normal"/>
        </w:rPr>
        <w:t xml:space="preserve">Stress testing and tooling:</w:t>
      </w:r>
      <w:r>
        <w:rPr>
          <w:rStyle w:val="Normal"/>
        </w:rPr>
        <w:t xml:space="preserve"> Suggest that teams invest in testing the new auth method under load and ensure monitoring tools (for example, any impact on connection latency or token refresh behavior) are tuned. Microsoft’s own references or early adopters’ experiences (if any public case studies come out) could be cited in future revisions.</w:t>
      </w:r>
    </w:p>
    <w:p>
      <w:r>
        <w:rPr>
          <w:b/>
          <w:bCs/>
          <w:rStyle w:val="Normal"/>
        </w:rPr>
        <w:t xml:space="preserve">Final evaluation:</w:t>
      </w:r>
      <w:r>
        <w:rPr>
          <w:rStyle w:val="Normal"/>
        </w:rPr>
        <w:t xml:space="preserve"> The narrative series is a </w:t>
      </w:r>
      <w:r>
        <w:rPr>
          <w:b/>
          <w:bCs/>
          <w:rStyle w:val="Normal"/>
        </w:rPr>
        <w:t xml:space="preserve">well-crafted, cutting-edge guide</w:t>
      </w:r>
      <w:r>
        <w:rPr>
          <w:rStyle w:val="Normal"/>
        </w:rPr>
        <w:t xml:space="preserve"> that holds up strongly under technical scrutiny. It addresses the project with a rare breadth and depth – combining the nitty-gritty of SQL Server configuration with high-level architectural decisions and change management. The few critiques mostly involve making implicit points explicit and preparing for edge cases, rather than correcting any errors. In summary, </w:t>
      </w:r>
      <w:r>
        <w:rPr>
          <w:i/>
          <w:iCs/>
          <w:rStyle w:val="Normal"/>
        </w:rPr>
        <w:t xml:space="preserve">SQL Server Identity Transformation</w:t>
      </w:r>
      <w:r>
        <w:rPr>
          <w:rStyle w:val="Normal"/>
        </w:rPr>
        <w:t xml:space="preserve"> provides a robust foundation for agencies and enterprises to follow, ensuring their SQL Server environments remain secure, compliant, and aligned with the future of Microsoft’s identity and cloud ecosystem. With minor enhancements as suggested, it can serve as an authoritative playbook for one of the most challenging – but necessary – modernizations in the Windows/SQL world today.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lowerLetter"/>
      <w:suff w:val="tab"/>
      <w:lvlText w:val="%2."/>
      <w:lvlJc w:val="left"/>
      <w:pPr>
        <w:ind w:left="1440" w:hanging="360"/>
      </w:p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p_7rmp4im7vtaynfpbxk" Type="http://schemas.openxmlformats.org/officeDocument/2006/relationships/hyperlink" Target="https://whalermike.github.io/uiao/customer-documents/sql-server-narrative/" TargetMode="External"/><Relationship Id="rId3rbk_qbquwevbs8npfk8b" Type="http://schemas.openxmlformats.org/officeDocument/2006/relationships/hyperlink" Target="https://whalermike.github.io/uiao/customer-documents/sql-server-narrative/index.docx" TargetMode="External"/><Relationship Id="rId326sotfnursj-a3auiemt" Type="http://schemas.openxmlformats.org/officeDocument/2006/relationships/hyperlink" Target="https://whalermike.github.io/uiao/customer-documents/sql-server-narrative/Book_01_CPT_01.html" TargetMode="External"/><Relationship Id="rId2dmvprsykxs1w6nv0qq9n" Type="http://schemas.openxmlformats.org/officeDocument/2006/relationships/hyperlink" Target="https://github.com/WhalerMike/uiao/blob/main/docs/customer-documents/sql-server-narrative/Book_02_CPT_04.qmd" TargetMode="External"/><Relationship Id="rIdx6qjk6h3ql4d4_uadudtc" Type="http://schemas.openxmlformats.org/officeDocument/2006/relationships/hyperlink" Target="https://whalermike.github.io/uiao/customer-documents/sql-server-narrative/" TargetMode="External"/><Relationship Id="rIdonrdpekge0km0tcmm2of4" Type="http://schemas.openxmlformats.org/officeDocument/2006/relationships/hyperlink" Target="https://whalermike.github.io/uiao/customer-documents/sql-server-narrative-standalone/Book_10_CPT_01.docx" TargetMode="External"/><Relationship Id="rIdmvt48dm490cpi4fcdtf5k" Type="http://schemas.openxmlformats.org/officeDocument/2006/relationships/hyperlink" Target="https://whalermike.github.io/uiao/customer-documents/sql-server-narrative/decision-brief.html" TargetMode="External"/><Relationship Id="rIdloavyyh-ty_ajs-qb92zt" Type="http://schemas.openxmlformats.org/officeDocument/2006/relationships/hyperlink" Target="https://whalermike.github.io/uiao/customer-documents/sql-server-narrative/decision-brief.html" TargetMode="External"/><Relationship Id="rIdbanqneg6lxz8zy8k3wcfs" Type="http://schemas.openxmlformats.org/officeDocument/2006/relationships/hyperlink" Target="https://whalermike.github.io/uiao/customer-documents/sql-server-implementation/" TargetMode="External"/><Relationship Id="rIdgeghtfmixucvyamsg06pd" Type="http://schemas.openxmlformats.org/officeDocument/2006/relationships/hyperlink" Target="https://whalermike.github.io/uiao/customer-documents/sql-server-implementation/" TargetMode="External"/><Relationship Id="rIdstp7ksvusqulvlfp4evv4" Type="http://schemas.openxmlformats.org/officeDocument/2006/relationships/hyperlink" Target="https://learn.microsoft.com/en-us/sql/relational-databases/security/authentication-access/azure-ad-authentication-sql-server-overview?view=sql-server-ver17" TargetMode="External"/><Relationship Id="rIdtviplco0gc8mnunf9hzjw" Type="http://schemas.openxmlformats.org/officeDocument/2006/relationships/hyperlink" Target="https://learn.microsoft.com/en-us/sql/relational-databases/security/authentication-access/azure-ad-authentication-sql-server-overview?view=sql-server-ver17" TargetMode="External"/><Relationship Id="rIdg9warmol4bdrv2ye3j0hc" Type="http://schemas.openxmlformats.org/officeDocument/2006/relationships/hyperlink" Target="https://whalermike.github.io/uiao/customer-documents/sql-server-narrative/Book_01_CPT_01.html" TargetMode="External"/><Relationship Id="rIdal_bjwwr5wwrtqt54baks" Type="http://schemas.openxmlformats.org/officeDocument/2006/relationships/hyperlink" Target="https://whalermike.github.io/uiao/customer-documents/sql-server-narrative/Book_01_CPT_01.html" TargetMode="External"/><Relationship Id="rIdpbewkaynbzxauym5kwkha" Type="http://schemas.openxmlformats.org/officeDocument/2006/relationships/hyperlink" Target="https://whalermike.github.io/uiao/customer-documents/sql-server-narrative/Book_01_CPT_01.html" TargetMode="External"/><Relationship Id="rIdajmrj_o_hupskhjopmgu1" Type="http://schemas.openxmlformats.org/officeDocument/2006/relationships/hyperlink" Target="https://whalermike.github.io/uiao/customer-documents/sql-server-narrative/Book_01_CPT_01.html" TargetMode="External"/><Relationship Id="rIdb9z2iu6ybdjvuua_jbmxg" Type="http://schemas.openxmlformats.org/officeDocument/2006/relationships/hyperlink" Target="https://www.sqlfingers.com/2026/02/microsoft-is-killing-ntlm-heres-what.html" TargetMode="External"/><Relationship Id="rIdbmufc0kuzwfwocfuag7yq" Type="http://schemas.openxmlformats.org/officeDocument/2006/relationships/hyperlink" Target="https://www.sqlfingers.com/2026/02/microsoft-is-killing-ntlm-heres-what.html" TargetMode="External"/><Relationship Id="rIdqtbqbdxij9dstc3gpyca1" Type="http://schemas.openxmlformats.org/officeDocument/2006/relationships/hyperlink" Target="https://whalermike.github.io/uiao/customer-documents/sql-server-narrative-standalone/Book_05_CPT_02.html" TargetMode="External"/><Relationship Id="rIdintrkc2zjfe8rs7per1e9" Type="http://schemas.openxmlformats.org/officeDocument/2006/relationships/hyperlink" Target="https://learn.microsoft.com/en-us/sql/relational-databases/security/authentication-access/azure-ad-authentication-sql-server-overview?view=sql-server-ver17" TargetMode="External"/><Relationship Id="rIdg4i4w7azljqrjlpp1moql" Type="http://schemas.openxmlformats.org/officeDocument/2006/relationships/hyperlink" Target="https://whalermike.github.io/uiao/customer-documents/sql-server-narrative-standalone/Book_05_CPT_02.html" TargetMode="External"/><Relationship Id="rIdd_6e_gcdac3h4rrvesrpt" Type="http://schemas.openxmlformats.org/officeDocument/2006/relationships/hyperlink" Target="https://whalermike.github.io/uiao/customer-documents/sql-server-narrative-standalone/Book_05_CPT_02.html" TargetMode="External"/><Relationship Id="rIdntz0g_tn_89nvh9e8giol" Type="http://schemas.openxmlformats.org/officeDocument/2006/relationships/hyperlink" Target="https://whalermike.github.io/uiao/customer-documents/sql-server-narrative-standalone/Book_05_CPT_02.html" TargetMode="External"/><Relationship Id="rId6uvsfnsm8zwattwol0l4m" Type="http://schemas.openxmlformats.org/officeDocument/2006/relationships/hyperlink" Target="https://whalermike.github.io/uiao/customer-documents/sql-server-narrative/decision-brief.html" TargetMode="External"/><Relationship Id="rIdioxyqj7upjqcayw4jcd50" Type="http://schemas.openxmlformats.org/officeDocument/2006/relationships/hyperlink" Target="https://whalermike.github.io/uiao/customer-documents/sql-server-narrative-standalone/Book_05_CPT_02.html" TargetMode="External"/><Relationship Id="rIdlc0l8zoui7ppf--k7f36f" Type="http://schemas.openxmlformats.org/officeDocument/2006/relationships/hyperlink" Target="https://whalermike.github.io/uiao/customer-documents/sql-server-narrative/Book_01_CPT_01.html" TargetMode="External"/><Relationship Id="rIdlhl1wdvhkfmrqp-ziuabv" Type="http://schemas.openxmlformats.org/officeDocument/2006/relationships/hyperlink" Target="https://whalermike.github.io/uiao/customer-documents/sql-server-narrative-standalone/Book_05_CPT_02.html" TargetMode="External"/><Relationship Id="rIdbgya93t3jrteww9wwcjj-" Type="http://schemas.openxmlformats.org/officeDocument/2006/relationships/hyperlink" Target="https://whalermike.github.io/uiao/customer-documents/sql-server-narrative-standalone/Book_05_CPT_02.html" TargetMode="External"/><Relationship Id="rIdrjzhqtk5fg0cu0kokyuys" Type="http://schemas.openxmlformats.org/officeDocument/2006/relationships/hyperlink" Target="https://whalermike.github.io/uiao/customer-documents/sql-server-narrative-standalone/Book_10_CPT_01.docx" TargetMode="External"/><Relationship Id="rIdfmiz3ryltnextp0v6lhhr" Type="http://schemas.openxmlformats.org/officeDocument/2006/relationships/hyperlink" Target="https://learn.microsoft.com/en-us/sql/relational-databases/security/authentication-access/azure-ad-authentication-sql-server-overview?view=sql-server-ver17" TargetMode="External"/><Relationship Id="rIdk8a31ehaic07zcnytfk-9" Type="http://schemas.openxmlformats.org/officeDocument/2006/relationships/hyperlink" Target="https://learn.microsoft.com/en-us/sql/relational-databases/security/authentication-access/azure-ad-authentication-sql-server-overview?view=sql-server-ver17" TargetMode="External"/><Relationship Id="rIdfquttbbtt0mvphbqoq0eu" Type="http://schemas.openxmlformats.org/officeDocument/2006/relationships/hyperlink" Target="https://whalermike.github.io/uiao/customer-documents/sql-server-narrative/Book_01_CPT_01.html" TargetMode="External"/><Relationship Id="rIdgzs1ig0skytlpfnb33mqv" Type="http://schemas.openxmlformats.org/officeDocument/2006/relationships/hyperlink" Target="https://whalermike.github.io/uiao/customer-documents/sql-server-narrative/Book_04.docx" TargetMode="External"/><Relationship Id="rIdacvvenqn4xyz-ht9k39ho" Type="http://schemas.openxmlformats.org/officeDocument/2006/relationships/hyperlink" Target="https://whalermike.github.io/uiao/customer-documents/sql-server-narrative/Book_04.docx" TargetMode="External"/><Relationship Id="rIdwglkdmozqjlqq3phguwt_" Type="http://schemas.openxmlformats.org/officeDocument/2006/relationships/hyperlink" Target="https://learn.microsoft.com/en-us/sql/relational-databases/security/authentication-access/azure-ad-authentication-sql-server-overview?view=sql-server-ver17" TargetMode="External"/><Relationship Id="rIducvc6rsig_rp-e3hafqms" Type="http://schemas.openxmlformats.org/officeDocument/2006/relationships/hyperlink" Target="https://www.sqlfingers.com/2026/02/microsoft-is-killing-ntlm-heres-what.html" TargetMode="External"/><Relationship Id="rIduptmafppnbzhr_qt4oqdo" Type="http://schemas.openxmlformats.org/officeDocument/2006/relationships/hyperlink" Target="https://www.sqlfingers.com/2026/02/microsoft-is-killing-ntlm-heres-what.html" TargetMode="External"/><Relationship Id="rId5osnvx2ifzoaxqtdyryol" Type="http://schemas.openxmlformats.org/officeDocument/2006/relationships/hyperlink" Target="https://whalermike.github.io/uiao/customer-documents/sql-server-narrative/index.docx" TargetMode="External"/><Relationship Id="rIdmlhg5jxvdn0fcwuqa84od" Type="http://schemas.openxmlformats.org/officeDocument/2006/relationships/hyperlink" Target="https://whalermike.github.io/uiao/customer-documents/sql-server-narrative/index.docx" TargetMode="External"/><Relationship Id="rIdix8by9sz2crtp_yzzdrsg" Type="http://schemas.openxmlformats.org/officeDocument/2006/relationships/hyperlink" Target="https://learn.microsoft.com/en-us/sql/relational-databases/security/authentication-access/azure-ad-authentication-sql-server-overview?view=sql-server-ver17" TargetMode="External"/><Relationship Id="rId6h2pnjxgs6swbgelgr7n3" Type="http://schemas.openxmlformats.org/officeDocument/2006/relationships/hyperlink" Target="https://learn.microsoft.com/en-us/sql/relational-databases/security/authentication-access/azure-ad-authentication-sql-server-overview?view=sql-server-ver17" TargetMode="External"/><Relationship Id="rIdfqzax5jrmcbouonyeidmy" Type="http://schemas.openxmlformats.org/officeDocument/2006/relationships/hyperlink" Target="https://learn.microsoft.com/en-us/sql/relational-databases/security/authentication-access/azure-ad-authentication-sql-server-overview?view=sql-server-ver17" TargetMode="External"/><Relationship Id="rIdxfjbvwgmrrtymo-ntvmyv" Type="http://schemas.openxmlformats.org/officeDocument/2006/relationships/hyperlink" Target="https://whalermike.github.io/uiao/customer-documents/sql-server-narrative-standalone/Book_05_CPT_02.html" TargetMode="External"/><Relationship Id="rIdjlfggezctq81yaqf79jhj" Type="http://schemas.openxmlformats.org/officeDocument/2006/relationships/hyperlink" Target="https://whalermike.github.io/uiao/customer-documents/sql-server-narrative/index.docx" TargetMode="External"/><Relationship Id="rIdwb3ao4w_-hcmhznunpxra" Type="http://schemas.openxmlformats.org/officeDocument/2006/relationships/hyperlink" Target="https://whalermike.github.io/uiao/customer-documents/sql-server-narrative/" TargetMode="External"/><Relationship Id="rIdyzi9vkooc9rzdf1zljc-1" Type="http://schemas.openxmlformats.org/officeDocument/2006/relationships/hyperlink" Target="https://whalermike.github.io/uiao/customer-documents/sql-server-narrative/Book_01_CPT_01.html" TargetMode="External"/><Relationship Id="rIdyo8avumgmlu0mvgyeqj4d" Type="http://schemas.openxmlformats.org/officeDocument/2006/relationships/hyperlink" Target="https://whalermike.github.io/uiao/customer-documents/sql-server-narrative/Book_01_CPT_01.html" TargetMode="External"/><Relationship Id="rIdvyv-dx3jlrbube_g8pf3e" Type="http://schemas.openxmlformats.org/officeDocument/2006/relationships/hyperlink" Target="https://whalermike.github.io/uiao/customer-documents/sql-server-narrative/Book_01_CPT_01.html" TargetMode="External"/><Relationship Id="rIdcf0dmyeyhsupks_-so6wj" Type="http://schemas.openxmlformats.org/officeDocument/2006/relationships/hyperlink" Target="https://whalermike.github.io/uiao/customer-documents/sql-server-narrative-standalone/Book_10_CPT_01.docx" TargetMode="External"/><Relationship Id="rIdrcg3nfjip7ztodwjqcifa" Type="http://schemas.openxmlformats.org/officeDocument/2006/relationships/hyperlink" Target="https://whalermike.github.io/uiao/customer-documents/sql-server-narrative-standalone/Book_05_CPT_02.html" TargetMode="External"/><Relationship Id="rIdyodtkywjithre1o4uehf-" Type="http://schemas.openxmlformats.org/officeDocument/2006/relationships/hyperlink" Target="https://whalermike.github.io/uiao/customer-documents/sql-server-narrative-standalone/Book_10_CPT_01.docx" TargetMode="External"/><Relationship Id="rIda9qkmjeb_3wxvfogtn9jb" Type="http://schemas.openxmlformats.org/officeDocument/2006/relationships/hyperlink" Target="https://www.sqlfingers.com/2026/02/microsoft-is-killing-ntlm-heres-what.html" TargetMode="External"/><Relationship Id="rIdoqfdsgu1wzha5t_n1q9xn" Type="http://schemas.openxmlformats.org/officeDocument/2006/relationships/hyperlink" Target="https://whalermike.github.io/uiao/customer-documents/sql-server-narrative-standalone/Book_09.html" TargetMode="External"/><Relationship Id="rIdhpyglgcdd9p75mgadv5lq" Type="http://schemas.openxmlformats.org/officeDocument/2006/relationships/hyperlink" Target="https://whalermike.github.io/uiao/customer-documents/sql-server-narrative-standalone/Book_09.html" TargetMode="External"/><Relationship Id="rIdir33c7qfnewqxwsvy2cy-" Type="http://schemas.openxmlformats.org/officeDocument/2006/relationships/hyperlink" Target="https://www.sqlfingers.com/2026/02/microsoft-is-killing-ntlm-heres-what.html" TargetMode="External"/><Relationship Id="rIdsiku0fej1hqcd-aalihpb" Type="http://schemas.openxmlformats.org/officeDocument/2006/relationships/hyperlink" Target="https://www.sqlfingers.com/2026/02/microsoft-is-killing-ntlm-heres-what.html" TargetMode="External"/><Relationship Id="rIdzbzexhrvcjfsu5snoxd6t" Type="http://schemas.openxmlformats.org/officeDocument/2006/relationships/hyperlink" Target="https://learn.microsoft.com/en-us/sql/relational-databases/security/authentication-access/azure-ad-authentication-sql-server-overview?view=sql-server-ver17" TargetMode="External"/><Relationship Id="rIdxvxrsvmveiil4ewudopmg" Type="http://schemas.openxmlformats.org/officeDocument/2006/relationships/hyperlink" Target="https://whalermike.github.io/uiao/customer-documents/sql-server-narrative/Book_04.docx" TargetMode="External"/><Relationship Id="rIddf0aqalz9dkf9lx365ule" Type="http://schemas.openxmlformats.org/officeDocument/2006/relationships/hyperlink" Target="https://whalermike.github.io/uiao/customer-documents/sql-server-narrative/Book_04.docx" TargetMode="External"/><Relationship Id="rIdwr9g-bosmrt64lofo0p17" Type="http://schemas.openxmlformats.org/officeDocument/2006/relationships/hyperlink" Target="https://whalermike.github.io/uiao/customer-documents/sql-server-narrative/Book_04.docx" TargetMode="External"/><Relationship Id="rId29feq4qiykkb5gviw3xtx" Type="http://schemas.openxmlformats.org/officeDocument/2006/relationships/hyperlink" Target="https://whalermike.github.io/uiao/customer-documents/sql-server-narrative/" TargetMode="External"/><Relationship Id="rIdlmjwwlpggdd54sn1yz_p6" Type="http://schemas.openxmlformats.org/officeDocument/2006/relationships/hyperlink" Target="https://whalermike.github.io/uiao/customer-documents/sql-server-narrative/decision-brief.html" TargetMode="External"/><Relationship Id="rIdcou3tzpwunvggmh0rbc-3" Type="http://schemas.openxmlformats.org/officeDocument/2006/relationships/hyperlink" Target="https://whalermike.github.io/uiao/customer-documents/sql-server-narrative/decision-brief.html" TargetMode="External"/><Relationship Id="rIdaqrc-c8nclgucbvaxlkuc" Type="http://schemas.openxmlformats.org/officeDocument/2006/relationships/hyperlink" Target="https://whalermike.github.io/uiao/customer-documents/sql-server-narrative/index.docx" TargetMode="External"/><Relationship Id="rIdxvaqgwe95lcs33cpvjnl9" Type="http://schemas.openxmlformats.org/officeDocument/2006/relationships/hyperlink" Target="https://whalermike.github.io/uiao/customer-documents/sql-server-narrative/" TargetMode="External"/><Relationship Id="rIdtdbr6d2nvubmyuvoneedy" Type="http://schemas.openxmlformats.org/officeDocument/2006/relationships/hyperlink" Target="https://whalermike.github.io/uiao/customer-documents/sql-server-narrative/" TargetMode="External"/><Relationship Id="rIdt5_oqnhgt75vrxgjhsyq3" Type="http://schemas.openxmlformats.org/officeDocument/2006/relationships/hyperlink" Target="https://whalermike.github.io/uiao/customer-documents/sql-server-narrative/" TargetMode="External"/><Relationship Id="rIdzxqqhup8rlqib2asn2mu5" Type="http://schemas.openxmlformats.org/officeDocument/2006/relationships/hyperlink" Target="https://whalermike.github.io/uiao/customer-documents/sql-server-narrative/index.docx" TargetMode="External"/><Relationship Id="rId0dlkx8nm49gmtxybta5xp" Type="http://schemas.openxmlformats.org/officeDocument/2006/relationships/hyperlink" Target="https://whalermike.github.io/uiao/customer-documents/sql-server-narrative-standalone/Book_05_CPT_02.html" TargetMode="External"/><Relationship Id="rIdayc9khjrmroahvrrquh-w" Type="http://schemas.openxmlformats.org/officeDocument/2006/relationships/hyperlink" Target="https://whalermike.github.io/uiao/customer-documents/sql-server-narrative-standalone/Book_10_CPT_01.docx" TargetMode="External"/><Relationship Id="rIdrzvmnuavlngeskko0-fn0" Type="http://schemas.openxmlformats.org/officeDocument/2006/relationships/hyperlink" Target="https://whalermike.github.io/uiao/customer-documents/sql-server-narrative-standalone/Book_10_CPT_01.docx" TargetMode="External"/><Relationship Id="rIdcbo3vianoyphschvxelhv" Type="http://schemas.openxmlformats.org/officeDocument/2006/relationships/hyperlink" Target="https://whalermike.github.io/uiao/customer-documents/sql-server-narrative-standalone/Book_10_CPT_01.docx" TargetMode="External"/><Relationship Id="rIdgh_ubfwaqrv8x1drxyr1y" Type="http://schemas.openxmlformats.org/officeDocument/2006/relationships/hyperlink" Target="https://learn.microsoft.com/en-us/sql/relational-databases/security/authentication-access/azure-ad-authentication-sql-server-overview?view=sql-server-ver17" TargetMode="External"/><Relationship Id="rIdhz2b7tilkkpkrxlu3c-f9" Type="http://schemas.openxmlformats.org/officeDocument/2006/relationships/hyperlink" Target="https://learn.microsoft.com/en-us/sql/relational-databases/security/authentication-access/azure-ad-authentication-sql-server-overview?view=sql-server-ver17" TargetMode="External"/><Relationship Id="rIdov4lr1qhcd5ug8dl8_qmr" Type="http://schemas.openxmlformats.org/officeDocument/2006/relationships/hyperlink" Target="https://whalermike.github.io/uiao/customer-documents/sql-server-narrative/Book_04.docx" TargetMode="External"/><Relationship Id="rIdjslx2u-2k3ga5wjgs8dqd" Type="http://schemas.openxmlformats.org/officeDocument/2006/relationships/hyperlink" Target="https://learn.microsoft.com/en-us/sql/relational-databases/security/authentication-access/azure-ad-authentication-sql-server-overview?view=sql-server-ver17" TargetMode="External"/><Relationship Id="rIdj5tskqvcw0vp5i59ixeeb" Type="http://schemas.openxmlformats.org/officeDocument/2006/relationships/hyperlink" Target="https://whalermike.github.io/uiao/customer-documents/sql-server-narrative/index.docx" TargetMode="External"/><Relationship Id="rId58-43_vctvtl3i2llnbva" Type="http://schemas.openxmlformats.org/officeDocument/2006/relationships/hyperlink" Target="https://whalermike.github.io/uiao/customer-documents/sql-server-narrative-standalone/Book_10_CPT_01.docx" TargetMode="External"/><Relationship Id="rIdqtbo_oi0g9qcwxp5bjqzl" Type="http://schemas.openxmlformats.org/officeDocument/2006/relationships/hyperlink" Target="https://whalermike.github.io/uiao/customer-documents/sql-server-narrative-standalone/Book_10_CPT_01.docx" TargetMode="External"/><Relationship Id="rIdmx_xo2s7w8hw99fwuiakc" Type="http://schemas.openxmlformats.org/officeDocument/2006/relationships/hyperlink" Target="https://whalermike.github.io/uiao/customer-documents/sql-server-narrative-standalone/Book_10_CPT_01.docx" TargetMode="External"/><Relationship Id="rId0jgg-d2emwryoraxtaj-v" Type="http://schemas.openxmlformats.org/officeDocument/2006/relationships/hyperlink" Target="https://whalermike.github.io/uiao/customer-documents/sql-server-narrative-standalone/Book_10_CPT_01.docx" TargetMode="External"/><Relationship Id="rIdjw9zmv8cofs9vme-gvulc" Type="http://schemas.openxmlformats.org/officeDocument/2006/relationships/hyperlink" Target="https://whalermike.github.io/uiao/customer-documents/sql-server-narrative/Book_01_CPT_01.html" TargetMode="External"/><Relationship Id="rIdu-ftv6kj3it9v1uxruy_b" Type="http://schemas.openxmlformats.org/officeDocument/2006/relationships/hyperlink" Target="https://whalermike.github.io/uiao/customer-documents/sql-server-narrative/Book_01_CPT_01.html" TargetMode="External"/><Relationship Id="rIdludspcaacwbzqd3yyh0-d" Type="http://schemas.openxmlformats.org/officeDocument/2006/relationships/hyperlink" Target="https://whalermike.github.io/uiao/customer-documents/sql-server-narrative/Book_01_CPT_01.html" TargetMode="External"/><Relationship Id="rIdnzlgjzkf0o4odvs9yltq0" Type="http://schemas.openxmlformats.org/officeDocument/2006/relationships/hyperlink" Target="https://whalermike.github.io/uiao/customer-documents/sql-server-narrative/Book_01_CPT_01.html" TargetMode="External"/><Relationship Id="rIdzkbuq3aikkmzwis0xjfig" Type="http://schemas.openxmlformats.org/officeDocument/2006/relationships/hyperlink" Target="https://www.sqlfingers.com/2026/02/microsoft-is-killing-ntlm-heres-what.html" TargetMode="External"/><Relationship Id="rIddw_qeuc2h4g2deppw9ngo" Type="http://schemas.openxmlformats.org/officeDocument/2006/relationships/hyperlink" Target="https://www.sqlfingers.com/2026/02/microsoft-is-killing-ntlm-heres-what.html" TargetMode="External"/><Relationship Id="rIdkazp_vgfkcpbuaxgfc1xe" Type="http://schemas.openxmlformats.org/officeDocument/2006/relationships/hyperlink" Target="https://whalermike.github.io/uiao/customer-documents/sql-server-narrative-standalone/Book_05_CPT_02.html" TargetMode="External"/><Relationship Id="rIdftkdltxcgzutd2dfck_at" Type="http://schemas.openxmlformats.org/officeDocument/2006/relationships/hyperlink" Target="https://whalermike.github.io/uiao/customer-documents/sql-server-narrative-standalone/Book_05_CPT_02.html" TargetMode="External"/><Relationship Id="rIduyy4ylajtcyyv0uxtrrdn" Type="http://schemas.openxmlformats.org/officeDocument/2006/relationships/hyperlink" Target="https://whalermike.github.io/uiao/customer-documents/sql-server-narrative-standalone/Book_05_CPT_02.html" TargetMode="External"/><Relationship Id="rIdbgnygnq5fyv1bmj8hgst4" Type="http://schemas.openxmlformats.org/officeDocument/2006/relationships/hyperlink" Target="https://whalermike.github.io/uiao/customer-documents/sql-server-narrative-standalone/Book_05_CPT_02.html" TargetMode="External"/><Relationship Id="rIdxrvxp1w6snhk5qmqbj7ja" Type="http://schemas.openxmlformats.org/officeDocument/2006/relationships/hyperlink" Target="https://whalermike.github.io/uiao/customer-documents/sql-server-narrative/Book_04.docx" TargetMode="External"/><Relationship Id="rId9pfwkd8mjzky0f7ctd5va" Type="http://schemas.openxmlformats.org/officeDocument/2006/relationships/hyperlink" Target="https://whalermike.github.io/uiao/customer-documents/sql-server-narrative/Book_01_CPT_01.html" TargetMode="External"/><Relationship Id="rIdnrwiezv9fsqqfkjzpnuls" Type="http://schemas.openxmlformats.org/officeDocument/2006/relationships/hyperlink" Target="https://whalermike.github.io/uiao/customer-documents/sql-server-narrative/Book_04.docx" TargetMode="External"/><Relationship Id="rId0i-0mvpycp3ncxfndwtxx" Type="http://schemas.openxmlformats.org/officeDocument/2006/relationships/hyperlink" Target="https://learn.microsoft.com/en-us/sql/relational-databases/security/authentication-access/azure-ad-authentication-sql-server-overview?view=sql-server-ver17" TargetMode="External"/><Relationship Id="rIdzvodnbffscujlvz0bfsds" Type="http://schemas.openxmlformats.org/officeDocument/2006/relationships/hyperlink" Target="https://learn.microsoft.com/en-us/sql/relational-databases/security/authentication-access/azure-ad-authentication-sql-server-overview?view=sql-server-ver17" TargetMode="External"/><Relationship Id="rIdiskwbwzv7hnkernrulti1" Type="http://schemas.openxmlformats.org/officeDocument/2006/relationships/hyperlink" Target="https://whalermike.github.io/uiao/customer-documents/sql-server-narrative/index.docx" TargetMode="External"/><Relationship Id="rId_k1i5xecwaqq0dqnl1zfc" Type="http://schemas.openxmlformats.org/officeDocument/2006/relationships/hyperlink" Target="https://whalermike.github.io/uiao/customer-documents/sql-server-narrative/" TargetMode="External"/><Relationship Id="rIdhg0zpegrzuvfithmnzp4i" Type="http://schemas.openxmlformats.org/officeDocument/2006/relationships/hyperlink" Target="https://whalermike.github.io/uiao/customer-documents/sql-server-narrative/index.docx" TargetMode="External"/><Relationship Id="rIdujzcqmgodcvfzh3r62qzt" Type="http://schemas.openxmlformats.org/officeDocument/2006/relationships/hyperlink" Target="https://whalermike.github.io/uiao/customer-documents/sql-server-narrative/" TargetMode="External"/><Relationship Id="rIdnpujew32xq7j8fnyz6whi" Type="http://schemas.openxmlformats.org/officeDocument/2006/relationships/hyperlink" Target="https://whalermike.github.io/uiao/customer-documents/sql-server-narrative/" TargetMode="External"/><Relationship Id="rIdezxy6rrhwyyd0sjx9eax_" Type="http://schemas.openxmlformats.org/officeDocument/2006/relationships/hyperlink" Target="https://whalermike.github.io/uiao/customer-documents/sql-server-narrative/" TargetMode="External"/><Relationship Id="rIdk1yjpl4ipziufiug9t0nu" Type="http://schemas.openxmlformats.org/officeDocument/2006/relationships/hyperlink" Target="https://whalermike.github.io/uiao/customer-documents/sql-server-narrative/decision-brief.html" TargetMode="External"/><Relationship Id="rIdaq_o1nr5leg5d7f4y8hir" Type="http://schemas.openxmlformats.org/officeDocument/2006/relationships/hyperlink" Target="https://whalermike.github.io/uiao/customer-documents/sql-server-narrative/decision-brief.html" TargetMode="External"/><Relationship Id="rIdlyrbvqdhkje_49ii_gj_g" Type="http://schemas.openxmlformats.org/officeDocument/2006/relationships/hyperlink" Target="https://whalermike.github.io/uiao/customer-documents/sql-server-narrative/decision-brief.html" TargetMode="External"/><Relationship Id="rIdc6cqespfcc0pkajnkm8-h" Type="http://schemas.openxmlformats.org/officeDocument/2006/relationships/hyperlink" Target="https://whalermike.github.io/uiao/customer-documents/sql-server-narrative/decision-brief.html" TargetMode="External"/><Relationship Id="rId3ya5vq59e00ex96xbfbmj" Type="http://schemas.openxmlformats.org/officeDocument/2006/relationships/hyperlink" Target="https://whalermike.github.io/uiao/customer-documents/sql-server-narrative/decision-brief.html" TargetMode="External"/><Relationship Id="rId87dujsmq_xzcpndkhcsqp" Type="http://schemas.openxmlformats.org/officeDocument/2006/relationships/hyperlink" Target="https://www.sqlfingers.com/2026/02/microsoft-is-killing-ntlm-heres-what.html" TargetMode="External"/><Relationship Id="rId5ueaan3kvvpa2jahe2tgp" Type="http://schemas.openxmlformats.org/officeDocument/2006/relationships/hyperlink" Target="https://www.sqlfingers.com/2026/02/microsoft-is-killing-ntlm-heres-what.html" TargetMode="External"/><Relationship Id="rIdwrcxqq1gfc6hr9afgeo4y" Type="http://schemas.openxmlformats.org/officeDocument/2006/relationships/hyperlink" Target="https://whalermike.github.io/uiao/customer-documents/sql-server-narrative/decision-brief.html" TargetMode="External"/><Relationship Id="rIdy_msuemgtb9zx-0eek4m0" Type="http://schemas.openxmlformats.org/officeDocument/2006/relationships/hyperlink" Target="https://whalermike.github.io/uiao/customer-documents/sql-server-narrative/decision-brief.html" TargetMode="External"/><Relationship Id="rIdcjmw2ozok_3zbc4dpj4dm" Type="http://schemas.openxmlformats.org/officeDocument/2006/relationships/hyperlink" Target="https://whalermike.github.io/uiao/customer-documents/sql-server-narrative/decision-brief.html" TargetMode="External"/><Relationship Id="rIdupq6axujwaefg5igawlv3" Type="http://schemas.openxmlformats.org/officeDocument/2006/relationships/hyperlink" Target="https://whalermike.github.io/uiao/customer-documents/sql-server-narrative-standalone/Book_05_CPT_02.html" TargetMode="External"/><Relationship Id="rIdqiikl4qy1kupeqihfyhxh" Type="http://schemas.openxmlformats.org/officeDocument/2006/relationships/hyperlink" Target="https://whalermike.github.io/uiao/customer-documents/sql-server-narrative-standalone/Book_05_CPT_02.html" TargetMode="External"/><Relationship Id="rIdcblfl2l377uozvcy1gwtt" Type="http://schemas.openxmlformats.org/officeDocument/2006/relationships/hyperlink" Target="https://whalermike.github.io/uiao/customer-documents/sql-server-narrative-standalone/Book_05_CPT_02.html" TargetMode="External"/><Relationship Id="rIdidhplr0wp86gadifpdkaq" Type="http://schemas.openxmlformats.org/officeDocument/2006/relationships/hyperlink" Target="https://whalermike.github.io/uiao/customer-documents/sql-server-narrative-standalone/Book_09.html" TargetMode="External"/><Relationship Id="rIdmnqcsr_fggr6wyxl_6wd3" Type="http://schemas.openxmlformats.org/officeDocument/2006/relationships/hyperlink" Target="https://whalermike.github.io/uiao/customer-documents/sql-server-narrative-standalone/Book_05_CPT_02.html" TargetMode="External"/><Relationship Id="rIddi6pxgxofwxdwpjncrfkf" Type="http://schemas.openxmlformats.org/officeDocument/2006/relationships/hyperlink" Target="https://whalermike.github.io/uiao/customer-documents/sql-server-narrative-standalone/Book_05_CPT_02.html" TargetMode="External"/><Relationship Id="rIdkseqtgrmrh5sjp6f7puti" Type="http://schemas.openxmlformats.org/officeDocument/2006/relationships/hyperlink" Target="https://whalermike.github.io/uiao/customer-documents/sql-server-narrative/" TargetMode="External"/><Relationship Id="rIde6_k9upgfg8wqxtyxji9d" Type="http://schemas.openxmlformats.org/officeDocument/2006/relationships/hyperlink" Target="https://whalermike.github.io/uiao/customer-documents/sql-server-narrative/index.docx" TargetMode="External"/><Relationship Id="rIdbicqdckdx6rq1xr4nqc_8" Type="http://schemas.openxmlformats.org/officeDocument/2006/relationships/hyperlink" Target="https://github.com/WhalerMike/uiao/blob/main/docs/customer-documents/sql-server-narrative/Book_02_CPT_04.qmd" TargetMode="External"/><Relationship Id="rId3blozo3cisclldscab2ac" Type="http://schemas.openxmlformats.org/officeDocument/2006/relationships/hyperlink" Target="https://github.com/WhalerMike/uiao/blob/main/docs/customer-documents/sql-server-narrative/Book_02_CPT_04.qmd" TargetMode="External"/><Relationship Id="rIdxcmq7b2pwuo0dh-2tx_uv" Type="http://schemas.openxmlformats.org/officeDocument/2006/relationships/hyperlink" Target="https://whalermike.github.io/uiao/customer-documents/sql-server-narrative/decision-brief.html" TargetMode="External"/><Relationship Id="rIddbwczhdpgfxawsovuuxv9" Type="http://schemas.openxmlformats.org/officeDocument/2006/relationships/hyperlink" Target="https://whalermike.github.io/uiao/customer-documents/sql-server-narrative/index.docx" TargetMode="External"/><Relationship Id="rId9negfvud_q8v8goszo7dw" Type="http://schemas.openxmlformats.org/officeDocument/2006/relationships/hyperlink" Target="https://whalermike.github.io/uiao/customer-documents/sql-server-narrative/index.docx" TargetMode="External"/><Relationship Id="rIdtfuzztdatyk42rrotvn8i" Type="http://schemas.openxmlformats.org/officeDocument/2006/relationships/hyperlink" Target="https://whalermike.github.io/uiao/customer-documents/sql-server-narrative/decision-brief.html" TargetMode="External"/><Relationship Id="rId-yrsj3kah6jr8hu1ufysm" Type="http://schemas.openxmlformats.org/officeDocument/2006/relationships/hyperlink" Target="https://whalermike.github.io/uiao/customer-documents/sql-server-narrative/decision-brief.html" TargetMode="External"/><Relationship Id="rIdfcnqvva660m2mqgr8xjww" Type="http://schemas.openxmlformats.org/officeDocument/2006/relationships/hyperlink" Target="https://www.sqlfingers.com/2026/02/microsoft-is-killing-ntlm-heres-what.html" TargetMode="External"/><Relationship Id="rIdoddz6zmq9czxrqwcpcnec" Type="http://schemas.openxmlformats.org/officeDocument/2006/relationships/hyperlink" Target="https://whalermike.github.io/uiao/customer-documents/sql-server-narrative/decision-brief.html" TargetMode="External"/><Relationship Id="rIdl-rkgng1d9eomwjqgyr2i" Type="http://schemas.openxmlformats.org/officeDocument/2006/relationships/hyperlink" Target="https://whalermike.github.io/uiao/customer-documents/sql-server-narrative/decision-brief.html" TargetMode="External"/><Relationship Id="rIdlm6ozhcsgqoy4z24lyv6a" Type="http://schemas.openxmlformats.org/officeDocument/2006/relationships/hyperlink" Target="https://whalermike.github.io/uiao/customer-documents/sql-server-narrative/decision-brief.html" TargetMode="External"/><Relationship Id="rIdk9thlwrjqmhjj8ouhx6cd" Type="http://schemas.openxmlformats.org/officeDocument/2006/relationships/hyperlink" Target="https://whalermike.github.io/uiao/customer-documents/sql-server-narrative/decision-brief.html" TargetMode="External"/><Relationship Id="rIdim58p0v4no77ufemlmytd" Type="http://schemas.openxmlformats.org/officeDocument/2006/relationships/hyperlink" Target="https://whalermike.github.io/uiao/customer-documents/sql-server-narrative/decision-brief.html" TargetMode="External"/><Relationship Id="rIdqapbmeduxguznixawd4eq" Type="http://schemas.openxmlformats.org/officeDocument/2006/relationships/hyperlink" Target="https://whalermike.github.io/uiao/customer-documents/sql-server-narrative/decision-brief.html" TargetMode="External"/><Relationship Id="rIdb7ri3r7lz6oiuevvmexj1" Type="http://schemas.openxmlformats.org/officeDocument/2006/relationships/hyperlink" Target="https://whalermike.github.io/uiao/customer-documents/sql-server-narrative/" TargetMode="External"/><Relationship Id="rIdj3rgxpvkwphxvisfo6z9c" Type="http://schemas.openxmlformats.org/officeDocument/2006/relationships/hyperlink" Target="https://whalermike.github.io/uiao/customer-documents/sql-server-narrative/Book_01_CPT_01.html" TargetMode="External"/><Relationship Id="rId5i_netiqyvvys6tvehv68" Type="http://schemas.openxmlformats.org/officeDocument/2006/relationships/hyperlink" Target="https://whalermike.github.io/uiao/customer-documents/sql-server-narrative/Book_01_CPT_01.html" TargetMode="External"/><Relationship Id="rIdhf0nunpkthsi35jwcysh6" Type="http://schemas.openxmlformats.org/officeDocument/2006/relationships/hyperlink" Target="https://whalermike.github.io/uiao/customer-documents/sql-server-narrative-standalone/Book_10_CPT_01.docx" TargetMode="External"/><Relationship Id="rIdbxefkq0-twfij_bjpo8rf" Type="http://schemas.openxmlformats.org/officeDocument/2006/relationships/hyperlink" Target="https://whalermike.github.io/uiao/customer-documents/sql-server-narrative/index.docx" TargetMode="External"/><Relationship Id="rId3xev98wponkjcw8qk5nno" Type="http://schemas.openxmlformats.org/officeDocument/2006/relationships/hyperlink" Target="https://whalermike.github.io/uiao/customer-documents/sql-server-narrative/index.docx" TargetMode="External"/><Relationship Id="rIddkecg-k4xft81gbfjnbf-" Type="http://schemas.openxmlformats.org/officeDocument/2006/relationships/hyperlink" Target="https://whalermike.github.io/uiao/customer-documents/sql-server-narrative/Book_01_CPT_01.html" TargetMode="External"/><Relationship Id="rIdxrbr0qgztigh5uq_cusfs" Type="http://schemas.openxmlformats.org/officeDocument/2006/relationships/hyperlink" Target="https://whalermike.github.io/uiao/customer-documents/sql-server-narrative/Book_01_CPT_01.html" TargetMode="External"/><Relationship Id="rIdclkfzmeivbw8gjlzkr9cf" Type="http://schemas.openxmlformats.org/officeDocument/2006/relationships/hyperlink" Target="https://whalermike.github.io/uiao/customer-documents/sql-server-narrative/index.docx" TargetMode="External"/><Relationship Id="rId4cdhzpifpzilibx_wvdwu" Type="http://schemas.openxmlformats.org/officeDocument/2006/relationships/hyperlink" Target="https://whalermike.github.io/uiao/customer-documents/sql-server-narrative/Book_01_CPT_01.html" TargetMode="External"/><Relationship Id="rIdrdv-ualjwod_qhfvuvs-k" Type="http://schemas.openxmlformats.org/officeDocument/2006/relationships/hyperlink" Target="https://github.com/WhalerMike/uiao/blob/main/docs/customer-documents/sql-server-narrative/Book_02_CPT_04.qmd" TargetMode="External"/><Relationship Id="rId05bypod904s7aw0xlfb26" Type="http://schemas.openxmlformats.org/officeDocument/2006/relationships/hyperlink" Target="https://whalermike.github.io/uiao/customer-documents/sql-server-narrative/decision-brief.html" TargetMode="External"/><Relationship Id="rIdosrsbw5ohpgneoqz7cjzi" Type="http://schemas.openxmlformats.org/officeDocument/2006/relationships/hyperlink" Target="https://whalermike.github.io/uiao/customer-documents/sql-server-narrative-standalone/Book_05_CPT_02.html" TargetMode="External"/><Relationship Id="rIdrnywocjl7xzzmevewoyvb" Type="http://schemas.openxmlformats.org/officeDocument/2006/relationships/hyperlink" Target="https://whalermike.github.io/uiao/customer-documents/sql-server-narrative-standalone/Book_05_CPT_02.html" TargetMode="External"/><Relationship Id="rIdmb2l_0givdbvkccschi9t" Type="http://schemas.openxmlformats.org/officeDocument/2006/relationships/hyperlink" Target="https://whalermike.github.io/uiao/customer-documents/sql-server-narrative/" TargetMode="External"/><Relationship Id="rIdbsopuierctf_jmu80exqg" Type="http://schemas.openxmlformats.org/officeDocument/2006/relationships/hyperlink" Target="https://whalermike.github.io/uiao/customer-documents/sql-server-narrative/" TargetMode="External"/><Relationship Id="rIdludm8spszpjnxolr7gwmo" Type="http://schemas.openxmlformats.org/officeDocument/2006/relationships/hyperlink" Target="https://whalermike.github.io/uiao/customer-documents/sql-server-narrative-standalone/Book_09.html" TargetMode="External"/><Relationship Id="rId4qjwhsoauwrh5aixxggmz" Type="http://schemas.openxmlformats.org/officeDocument/2006/relationships/hyperlink" Target="https://whalermike.github.io/uiao/customer-documents/sql-server-implementation/" TargetMode="External"/><Relationship Id="rId5iqgd2yl51v2tr7cpompy" Type="http://schemas.openxmlformats.org/officeDocument/2006/relationships/hyperlink" Target="https://whalermike.github.io/uiao/customer-documents/sql-server-narrative-standalone/Book_05_CPT_02.html" TargetMode="External"/><Relationship Id="rIdqfre8mjts_i5j-kyudp3c" Type="http://schemas.openxmlformats.org/officeDocument/2006/relationships/hyperlink" Target="https://whalermike.github.io/uiao/customer-documents/sql-server-narrative/index.docx" TargetMode="External"/><Relationship Id="rIdv9nfpgp0ysbf27eyhzhlb" Type="http://schemas.openxmlformats.org/officeDocument/2006/relationships/hyperlink" Target="https://whalermike.github.io/uiao/customer-documents/sql-server-narrative/index.docx" TargetMode="External"/><Relationship Id="rIdmdcorhm84t5gaw1-fpjhm" Type="http://schemas.openxmlformats.org/officeDocument/2006/relationships/hyperlink" Target="https://whalermike.github.io/uiao/customer-documents/sql-server-narrative/" TargetMode="External"/><Relationship Id="rIdbg3sbrjamcogv81fabnrf" Type="http://schemas.openxmlformats.org/officeDocument/2006/relationships/hyperlink" Target="https://whalermike.github.io/uiao/customer-documents/sql-server-narrative/Book_01_CPT_01.html" TargetMode="External"/><Relationship Id="rIdlzhsq8_t4eprv4lsw86q9" Type="http://schemas.openxmlformats.org/officeDocument/2006/relationships/hyperlink" Target="https://github.com/WhalerMike/uiao/blob/main/docs/customer-documents/sql-server-narrative/Book_02_CPT_04.qmd" TargetMode="External"/><Relationship Id="rId0jvjke3oqcqz1kqkd6bxg" Type="http://schemas.openxmlformats.org/officeDocument/2006/relationships/hyperlink" Target="https://whalermike.github.io/uiao/customer-documents/sql-server-narrative-standalone/Book_05_CPT_02.html" TargetMode="External"/><Relationship Id="rIdkkvpla8okqfmahlye0o0a" Type="http://schemas.openxmlformats.org/officeDocument/2006/relationships/hyperlink" Target="https://whalermike.github.io/uiao/customer-documents/sql-server-implementation/" TargetMode="External"/><Relationship Id="rIdrvk3kswpr09bpj1ji5uew" Type="http://schemas.openxmlformats.org/officeDocument/2006/relationships/hyperlink" Target="https://whalermike.github.io/uiao/customer-documents/sql-server-narrative/index.docx" TargetMode="External"/><Relationship Id="rIdkriesijozef8hnnb1bwir" Type="http://schemas.openxmlformats.org/officeDocument/2006/relationships/hyperlink" Target="https://whalermike.github.io/uiao/customer-documents/sql-server-narrative/index.docx" TargetMode="External"/><Relationship Id="rIdn6yeh2lyfsvvpgv_zaqfb" Type="http://schemas.openxmlformats.org/officeDocument/2006/relationships/hyperlink" Target="https://whalermike.github.io/uiao/customer-documents/sql-server-narrative/Book_01_CPT_01.html" TargetMode="External"/><Relationship Id="rIdlpazpmowxmwn4fytqyjc4" Type="http://schemas.openxmlformats.org/officeDocument/2006/relationships/hyperlink" Target="https://whalermike.github.io/uiao/customer-documents/sql-server-narrative/Book_01_CPT_01.html" TargetMode="External"/><Relationship Id="rIdqievomrhdxj57eu3cbgu0" Type="http://schemas.openxmlformats.org/officeDocument/2006/relationships/hyperlink" Target="https://whalermike.github.io/uiao/customer-documents/sql-server-narrative/decision-brief.html" TargetMode="External"/><Relationship Id="rId6" Type="http://schemas.openxmlformats.org/officeDocument/2006/relationships/image" Target="media/ytkllb4m4y-vslx3hjqj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2026-10-18T14:00:50.981Z</dcterms:created>
  <dcterms:modified xsi:type="dcterms:W3CDTF">2026-10-18T14:00:50.981Z</dcterms:modified>
</cp:coreProperties>
</file>

<file path=docProps/custom.xml><?xml version="1.0" encoding="utf-8"?>
<Properties xmlns="http://schemas.openxmlformats.org/officeDocument/2006/custom-properties" xmlns:vt="http://schemas.openxmlformats.org/officeDocument/2006/docPropsVTypes"/>
</file>