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1.png" ContentType="image/png"/>
  <Override PartName="/word/media/rId18.png" ContentType="image/png"/>
  <Override PartName="/word/media/rId26.png" ContentType="image/png"/>
  <Override PartName="/word/media/rId43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UIAO Governance OS — Whitepaper</w:t>
      </w:r>
    </w:p>
    <w:p>
      <w:pPr>
        <w:pStyle w:val="Subtitle"/>
      </w:pPr>
      <w:r>
        <w:t xml:space="preserve">How deterministic governance replaces attestation-based compliance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uiao-governance-os"/>
    <w:p>
      <w:pPr>
        <w:pStyle w:val="Heading1"/>
      </w:pPr>
      <w:r>
        <w:t xml:space="preserve">UIAO Governance OS</w:t>
      </w:r>
    </w:p>
    <w:bookmarkStart w:id="51" w:name="Xafc49bde7c332a71b3982b3f3878cbe33c66973"/>
    <w:p>
      <w:pPr>
        <w:pStyle w:val="Heading2"/>
      </w:pPr>
      <w:r>
        <w:t xml:space="preserve">How deterministic governance replaces attestation-based compliance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Two decades of federal modernization built compliance</w:t>
            </w:r>
            <w:r>
              <w:t xml:space="preserve"> </w:t>
            </w:r>
            <w:r>
              <w:rPr>
                <w:i/>
                <w:iCs/>
              </w:rPr>
              <w:t xml:space="preserve">attestation</w:t>
            </w:r>
            <w:r>
              <w:t xml:space="preserve"> </w:t>
            </w:r>
            <w:r>
              <w:t xml:space="preserve">— point-in-time reports, screenshot evidence, narrative SSPs</w:t>
            </w:r>
            <w:r>
              <w:t xml:space="preserve"> </w:t>
            </w:r>
            <w:r>
              <w:t xml:space="preserve">that age out the moment they are signed. Fragmented identity context,</w:t>
            </w:r>
            <w:r>
              <w:t xml:space="preserve"> </w:t>
            </w:r>
            <w:r>
              <w:t xml:space="preserve">uncorrelated telemetry, and point-in-time evidence leave agencies compliant on</w:t>
            </w:r>
            <w:r>
              <w:t xml:space="preserve"> </w:t>
            </w:r>
            <w:r>
              <w:t xml:space="preserve">attestation day and structurally drifting every day after.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The Governance OS: a canon-anchored substrate with three</w:t>
            </w:r>
            <w:r>
              <w:t xml:space="preserve"> </w:t>
            </w:r>
            <w:r>
              <w:t xml:space="preserve">structural principles — a single source of truth under</w:t>
            </w:r>
            <w:r>
              <w:t xml:space="preserve"> </w:t>
            </w:r>
            <w:r>
              <w:rPr>
                <w:rStyle w:val="VerbatimChar"/>
              </w:rPr>
              <w:t xml:space="preserve">src/uiao/canon/</w:t>
            </w:r>
            <w:r>
              <w:t xml:space="preserve">,</w:t>
            </w:r>
            <w:r>
              <w:t xml:space="preserve"> </w:t>
            </w:r>
            <w:r>
              <w:t xml:space="preserve">evidence that cites the canon document and version it derives from, and drift</w:t>
            </w:r>
            <w:r>
              <w:t xml:space="preserve"> </w:t>
            </w:r>
            <w:r>
              <w:t xml:space="preserve">as an explicit, classed, deterministically scored signal. Every artifact an</w:t>
            </w:r>
            <w:r>
              <w:t xml:space="preserve"> </w:t>
            </w:r>
            <w:r>
              <w:t xml:space="preserve">assessor receives can be regenerated without operator coordination.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Adopt it incrementally: install the</w:t>
            </w:r>
            <w:r>
              <w:t xml:space="preserve"> </w:t>
            </w:r>
            <w:r>
              <w:rPr>
                <w:rStyle w:val="VerbatimChar"/>
              </w:rPr>
              <w:t xml:space="preserve">uiao</w:t>
            </w:r>
            <w:r>
              <w:t xml:space="preserve"> </w:t>
            </w:r>
            <w:r>
              <w:t xml:space="preserve">package and run</w:t>
            </w:r>
            <w:r>
              <w:t xml:space="preserve"> </w:t>
            </w:r>
            <w:r>
              <w:rPr>
                <w:rStyle w:val="VerbatimChar"/>
              </w:rPr>
              <w:t xml:space="preserve">uiao substrate walk</w:t>
            </w:r>
            <w:r>
              <w:t xml:space="preserve">, author a substrate manifest against the agency’s canon, bring</w:t>
            </w:r>
            <w:r>
              <w:t xml:space="preserve"> </w:t>
            </w:r>
            <w:r>
              <w:t xml:space="preserve">one adapter under the class × mission-class taxonomy so it emits OSCAL</w:t>
            </w:r>
            <w:r>
              <w:t xml:space="preserve"> </w:t>
            </w:r>
            <w:r>
              <w:t xml:space="preserve">alongside the existing attestation, then expand coverage and retire</w:t>
            </w:r>
            <w:r>
              <w:t xml:space="preserve"> </w:t>
            </w:r>
            <w:r>
              <w:t xml:space="preserve">attestation evidence as substrate evidence reaches parity (§9).</w:t>
            </w:r>
          </w:p>
          <w:p/>
        </w:tc>
      </w:tr>
    </w:tbl>
    <w:bookmarkStart w:id="22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Federal modernization programs have spent two decades building</w:t>
      </w:r>
      <w:r>
        <w:t xml:space="preserve"> </w:t>
      </w:r>
      <w:r>
        <w:rPr>
          <w:b/>
          <w:bCs/>
        </w:rPr>
        <w:t xml:space="preserve">compliance</w:t>
      </w:r>
      <w:r>
        <w:rPr>
          <w:b/>
          <w:bCs/>
        </w:rPr>
        <w:t xml:space="preserve"> </w:t>
      </w:r>
      <w:r>
        <w:rPr>
          <w:b/>
          <w:bCs/>
        </w:rPr>
        <w:t xml:space="preserve">attestation</w:t>
      </w:r>
      <w:r>
        <w:t xml:space="preserve"> </w:t>
      </w:r>
      <w:r>
        <w:t xml:space="preserve">— point-in-time reports, screenshot-based evidence, and</w:t>
      </w:r>
      <w:r>
        <w:t xml:space="preserve"> </w:t>
      </w:r>
      <w:r>
        <w:t xml:space="preserve">narrative SSPs that age out the moment they are signed. UIAO inverts that</w:t>
      </w:r>
      <w:r>
        <w:t xml:space="preserve"> </w:t>
      </w:r>
      <w:r>
        <w:t xml:space="preserve">model. The Governance OS is a</w:t>
      </w:r>
      <w:r>
        <w:t xml:space="preserve"> </w:t>
      </w:r>
      <w:r>
        <w:rPr>
          <w:b/>
          <w:bCs/>
        </w:rPr>
        <w:t xml:space="preserve">canon-anchored substrate</w:t>
      </w:r>
      <w:r>
        <w:t xml:space="preserve"> </w:t>
      </w:r>
      <w:r>
        <w:t xml:space="preserve">that makes</w:t>
      </w:r>
      <w:r>
        <w:t xml:space="preserve"> </w:t>
      </w:r>
      <w:r>
        <w:t xml:space="preserve">identity, policy, and compliance reproducibly verifiable: every artifact</w:t>
      </w:r>
      <w:r>
        <w:t xml:space="preserve"> </w:t>
      </w:r>
      <w:r>
        <w:t xml:space="preserve">the substrate produces traces back to a numbered canon document, every</w:t>
      </w:r>
      <w:r>
        <w:t xml:space="preserve"> </w:t>
      </w:r>
      <w:r>
        <w:t xml:space="preserve">finding carries a deterministic class and severity, and every evidence</w:t>
      </w:r>
      <w:r>
        <w:t xml:space="preserve"> </w:t>
      </w:r>
      <w:r>
        <w:t xml:space="preserve">bundle can be re-executed by an assessor without operator coordination.</w:t>
      </w:r>
    </w:p>
    <w:p>
      <w:pPr>
        <w:pStyle w:val="BodyText"/>
      </w:pPr>
      <w:r>
        <w:t xml:space="preserve">This whitepaper explains the substrate’s three operating principles, the</w:t>
      </w:r>
      <w:r>
        <w:t xml:space="preserve"> </w:t>
      </w:r>
      <w:r>
        <w:t xml:space="preserve">shipped surface, and what an authorizing official can expect from a</w:t>
      </w:r>
      <w:r>
        <w:t xml:space="preserve"> </w:t>
      </w:r>
      <w:r>
        <w:t xml:space="preserve">UIAO-anchored ATO package today.</w:t>
      </w:r>
    </w:p>
    <w:p>
      <w:pPr>
        <w:pStyle w:val="BodyText"/>
      </w:pPr>
      <w:r>
        <w:t xml:space="preserve">The companion executive brief is</w:t>
      </w:r>
      <w:r>
        <w:t xml:space="preserve"> </w:t>
      </w:r>
      <w:hyperlink r:id="rId12">
        <w:r>
          <w:rPr>
            <w:rStyle w:val="Hyperlink"/>
          </w:rPr>
          <w:t xml:space="preserve">Governance OS Overview</w:t>
        </w:r>
      </w:hyperlink>
      <w:r>
        <w:t xml:space="preserve">.</w:t>
      </w:r>
      <w:r>
        <w:t xml:space="preserve"> </w:t>
      </w:r>
      <w:r>
        <w:t xml:space="preserve">This whitepaper is the long-form synthesis: deeper rationale, more concrete</w:t>
      </w:r>
      <w:r>
        <w:t xml:space="preserve"> </w:t>
      </w:r>
      <w:r>
        <w:t xml:space="preserve">substrate detail, and the case for treating governance as an operating</w:t>
      </w:r>
      <w:r>
        <w:t xml:space="preserve"> </w:t>
      </w:r>
      <w:r>
        <w:t xml:space="preserve">system rather than as a reporting layer. Within the Org-family pillars,</w:t>
      </w:r>
      <w:r>
        <w:t xml:space="preserve"> </w:t>
      </w:r>
      <w:r>
        <w:t xml:space="preserve">governance is</w:t>
      </w:r>
      <w:r>
        <w:t xml:space="preserve"> </w:t>
      </w:r>
      <w:hyperlink r:id="rId13">
        <w:r>
          <w:rPr>
            <w:rStyle w:val="Hyperlink"/>
          </w:rPr>
          <w:t xml:space="preserve">OrgPath’s</w:t>
        </w:r>
      </w:hyperlink>
      <w:r>
        <w:t xml:space="preserve"> </w:t>
      </w:r>
      <w:r>
        <w:t xml:space="preserve">territory — the</w:t>
      </w:r>
      <w:r>
        <w:t xml:space="preserve"> </w:t>
      </w:r>
      <w:r>
        <w:t xml:space="preserve">narrative treatment of the same synthesis is the</w:t>
      </w:r>
      <w:r>
        <w:t xml:space="preserve"> </w:t>
      </w:r>
      <w:hyperlink r:id="rId14">
        <w:r>
          <w:rPr>
            <w:rStyle w:val="Hyperlink"/>
          </w:rPr>
          <w:t xml:space="preserve">OrgPath narrative series</w:t>
        </w:r>
      </w:hyperlink>
      <w:r>
        <w:t xml:space="preserve">, whose</w:t>
      </w:r>
      <w:r>
        <w:t xml:space="preserve"> </w:t>
      </w:r>
      <w:hyperlink r:id="rId15">
        <w:r>
          <w:rPr>
            <w:rStyle w:val="Hyperlink"/>
          </w:rPr>
          <w:t xml:space="preserve">Book 15 — The Complete OrgPath Narrative</w:t>
        </w:r>
      </w:hyperlink>
      <w:r>
        <w:t xml:space="preserve"> </w:t>
      </w:r>
      <w:r>
        <w:t xml:space="preserve">tells the Governance OS story end to end; the modernization surfaces</w:t>
      </w:r>
      <w:r>
        <w:t xml:space="preserve"> </w:t>
      </w:r>
      <w:r>
        <w:t xml:space="preserve">referenced in §3 are curated at the</w:t>
      </w:r>
      <w:r>
        <w:t xml:space="preserve"> </w:t>
      </w:r>
      <w:hyperlink r:id="rId16">
        <w:r>
          <w:rPr>
            <w:rStyle w:val="Hyperlink"/>
          </w:rPr>
          <w:t xml:space="preserve">OrgMod hub</w:t>
        </w:r>
      </w:hyperlink>
      <w:r>
        <w:t xml:space="preserve">.</w:t>
      </w:r>
      <w:r>
        <w:t xml:space="preserve"> </w:t>
      </w:r>
      <w:r>
        <w:t xml:space="preserve">This whitepaper names the engine; the OrgComp series’ own</w:t>
      </w:r>
      <w:r>
        <w:t xml:space="preserve"> </w:t>
      </w:r>
      <w:hyperlink r:id="rId17">
        <w:r>
          <w:rPr>
            <w:rStyle w:val="Hyperlink"/>
          </w:rPr>
          <w:t xml:space="preserve">Vol X — Governance Substrate Integration Overview</w:t>
        </w:r>
      </w:hyperlink>
      <w:r>
        <w:t xml:space="preserve"> </w:t>
      </w:r>
      <w:r>
        <w:t xml:space="preserve">documents the identical substrate from the opposite side, deliberately</w:t>
      </w:r>
      <w:r>
        <w:t xml:space="preserve"> </w:t>
      </w:r>
      <w:r>
        <w:t xml:space="preserve">without naming it — see §3 and §8 below for how the two fit together.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X018a2b074c146ee696e56025f4340352c126156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19" name="Picture"/>
                  <ns2:graphic>
                    <ns2:graphicData uri="http://schemas.openxmlformats.org/drawingml/2006/picture">
                      <ns3:pic>
                        <ns3:nvPicPr>
                          <ns3:cNvPr descr="images/uiao-governance-os-whitepaper-image-01-attestation-versus-deterministic.png" id="2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8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Attestation versus deterministic governance comparison diagram</w:t>
            </w:r>
          </w:p>
          <w:bookmarkEnd w:id="21"/>
        </w:tc>
      </w:tr>
    </w:tbl>
    <w:bookmarkEnd w:id="22"/>
    <w:bookmarkStart w:id="23" w:name="the-attestation-failure-mode"/>
    <w:p>
      <w:pPr>
        <w:pStyle w:val="Heading3"/>
      </w:pPr>
      <w:r>
        <w:t xml:space="preserve">1. The attestation failure mode</w:t>
      </w:r>
    </w:p>
    <w:p>
      <w:pPr>
        <w:pStyle w:val="FirstParagraph"/>
      </w:pPr>
      <w:r>
        <w:t xml:space="preserve">Three observable patterns produce the modernization-and-compliance gap that</w:t>
      </w:r>
      <w:r>
        <w:t xml:space="preserve"> </w:t>
      </w:r>
      <w:r>
        <w:t xml:space="preserve">agencies repeatedly hit:</w:t>
      </w:r>
    </w:p>
    <w:p>
      <w:pPr>
        <w:pStyle w:val="BodyText"/>
      </w:pPr>
      <w:r>
        <w:rPr>
          <w:b/>
          <w:bCs/>
        </w:rPr>
        <w:t xml:space="preserve">Pattern 1 — fragmented identity context.</w:t>
      </w:r>
      <w:r>
        <w:t xml:space="preserve"> </w:t>
      </w:r>
      <w:r>
        <w:t xml:space="preserve">ICAM, Zero Trust analytics,</w:t>
      </w:r>
      <w:r>
        <w:t xml:space="preserve"> </w:t>
      </w:r>
      <w:r>
        <w:t xml:space="preserve">and compliance reporting consume identity claims from different sources</w:t>
      </w:r>
      <w:r>
        <w:t xml:space="preserve"> </w:t>
      </w:r>
      <w:r>
        <w:t xml:space="preserve">with different freshness assumptions. The same user may be</w:t>
      </w:r>
      <w:r>
        <w:t xml:space="preserve"> </w:t>
      </w:r>
      <w:r>
        <w:t xml:space="preserve">“current”</w:t>
      </w:r>
      <w:r>
        <w:t xml:space="preserve"> </w:t>
      </w:r>
      <w:r>
        <w:t xml:space="preserve">in</w:t>
      </w:r>
      <w:r>
        <w:t xml:space="preserve"> </w:t>
      </w:r>
      <w:r>
        <w:t xml:space="preserve">one view and</w:t>
      </w:r>
      <w:r>
        <w:t xml:space="preserve"> </w:t>
      </w:r>
      <w:r>
        <w:t xml:space="preserve">“stale”</w:t>
      </w:r>
      <w:r>
        <w:t xml:space="preserve"> </w:t>
      </w:r>
      <w:r>
        <w:t xml:space="preserve">in another at the same moment.</w:t>
      </w:r>
    </w:p>
    <w:p>
      <w:pPr>
        <w:pStyle w:val="BodyText"/>
      </w:pPr>
      <w:r>
        <w:rPr>
          <w:b/>
          <w:bCs/>
        </w:rPr>
        <w:t xml:space="preserve">Pattern 2 — uncorrelated telemetry.</w:t>
      </w:r>
      <w:r>
        <w:t xml:space="preserve"> </w:t>
      </w:r>
      <w:r>
        <w:t xml:space="preserve">Security telemetry, configuration</w:t>
      </w:r>
      <w:r>
        <w:t xml:space="preserve"> </w:t>
      </w:r>
      <w:r>
        <w:t xml:space="preserve">state, and access decisions are emitted by different planes with no shared</w:t>
      </w:r>
      <w:r>
        <w:t xml:space="preserve"> </w:t>
      </w:r>
      <w:r>
        <w:t xml:space="preserve">provenance. Correlating them into a single control narrative is a</w:t>
      </w:r>
      <w:r>
        <w:t xml:space="preserve"> </w:t>
      </w:r>
      <w:r>
        <w:t xml:space="preserve">periodic, manual exercise.</w:t>
      </w:r>
    </w:p>
    <w:p>
      <w:pPr>
        <w:pStyle w:val="BodyText"/>
      </w:pPr>
      <w:r>
        <w:rPr>
          <w:b/>
          <w:bCs/>
        </w:rPr>
        <w:t xml:space="preserve">Pattern 3 — point-in-time evidence.</w:t>
      </w:r>
      <w:r>
        <w:t xml:space="preserve"> </w:t>
      </w:r>
      <w:r>
        <w:t xml:space="preserve">SSPs, POA&amp;Ms, and 3PAO evidence</w:t>
      </w:r>
      <w:r>
        <w:t xml:space="preserve"> </w:t>
      </w:r>
      <w:r>
        <w:t xml:space="preserve">packages capture a snapshot at the moment of assembly. Between</w:t>
      </w:r>
      <w:r>
        <w:t xml:space="preserve"> </w:t>
      </w:r>
      <w:r>
        <w:t xml:space="preserve">assemblies, drift is invisible to the package, and re-assembly is a</w:t>
      </w:r>
      <w:r>
        <w:t xml:space="preserve"> </w:t>
      </w:r>
      <w:r>
        <w:t xml:space="preserve">re-engineered exercise rather than a deterministic regeneration.</w:t>
      </w:r>
    </w:p>
    <w:p>
      <w:pPr>
        <w:pStyle w:val="BodyText"/>
      </w:pPr>
      <w:r>
        <w:t xml:space="preserve">The result: agencies are technically compliant on the day of attestation</w:t>
      </w:r>
      <w:r>
        <w:t xml:space="preserve"> </w:t>
      </w:r>
      <w:r>
        <w:t xml:space="preserve">and structurally drifting every day after. The Governance OS is the</w:t>
      </w:r>
      <w:r>
        <w:t xml:space="preserve"> </w:t>
      </w:r>
      <w:r>
        <w:t xml:space="preserve">operating-system-level response to that pattern.</w:t>
      </w:r>
    </w:p>
    <w:bookmarkEnd w:id="23"/>
    <w:bookmarkStart w:id="25" w:name="the-three-operating-principles"/>
    <w:p>
      <w:pPr>
        <w:pStyle w:val="Heading3"/>
      </w:pPr>
      <w:r>
        <w:t xml:space="preserve">2. The three operating principles</w:t>
      </w:r>
    </w:p>
    <w:p>
      <w:pPr>
        <w:pStyle w:val="FirstParagraph"/>
      </w:pPr>
      <w:r>
        <w:t xml:space="preserve">UIAO declares three substrate-wide principles in</w:t>
      </w:r>
      <w:r>
        <w:t xml:space="preserve"> </w:t>
      </w:r>
      <w:hyperlink r:id="rId24">
        <w:r>
          <w:rPr>
            <w:rStyle w:val="VerbatimChar"/>
          </w:rPr>
          <w:t xml:space="preserve">substrate-manifest.yaml</w:t>
        </w:r>
      </w:hyperlink>
      <w:r>
        <w:t xml:space="preserve"> </w:t>
      </w:r>
      <w:r>
        <w:t xml:space="preserve">(UIAO_200). Each is a structural property, not a procedural commitment.</w:t>
      </w:r>
    </w:p>
    <w:p>
      <w:pPr>
        <w:pStyle w:val="BodyText"/>
      </w:pPr>
      <w:r>
        <w:rPr>
          <w:b/>
          <w:bCs/>
        </w:rPr>
        <w:t xml:space="preserve">Principle 1 — Single Source of Truth (SSOT).</w:t>
      </w:r>
      <w:r>
        <w:t xml:space="preserve"> </w:t>
      </w:r>
      <w:r>
        <w:t xml:space="preserve">Every claim has exactly</w:t>
      </w:r>
      <w:r>
        <w:t xml:space="preserve"> </w:t>
      </w:r>
      <w:r>
        <w:t xml:space="preserve">one canonical origin under</w:t>
      </w:r>
      <w:r>
        <w:t xml:space="preserve"> </w:t>
      </w:r>
      <w:r>
        <w:rPr>
          <w:rStyle w:val="VerbatimChar"/>
        </w:rPr>
        <w:t xml:space="preserve">src/uiao/canon/</w:t>
      </w:r>
      <w:r>
        <w:t xml:space="preserve">. All other representations</w:t>
      </w:r>
      <w:r>
        <w:t xml:space="preserve"> </w:t>
      </w:r>
      <w:r>
        <w:t xml:space="preserve">are pointers, not copies. SSOT is enforced through</w:t>
      </w:r>
      <w:r>
        <w:t xml:space="preserve"> </w:t>
      </w:r>
      <w:r>
        <w:rPr>
          <w:rStyle w:val="VerbatimChar"/>
        </w:rPr>
        <w:t xml:space="preserve">importlib.resources</w:t>
      </w:r>
      <w:r>
        <w:t xml:space="preserve"> </w:t>
      </w:r>
      <w:r>
        <w:t xml:space="preserve">reads at runtime — code that bypasses canon to maintain a parallel state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DRIFT-PROVENANCE</w:t>
      </w:r>
      <w:r>
        <w:t xml:space="preserve"> </w:t>
      </w:r>
      <w:r>
        <w:t xml:space="preserve">finding, not a permitted optimization.</w:t>
      </w:r>
    </w:p>
    <w:p>
      <w:pPr>
        <w:pStyle w:val="BodyText"/>
      </w:pPr>
      <w:r>
        <w:rPr>
          <w:b/>
          <w:bCs/>
        </w:rPr>
        <w:t xml:space="preserve">Principle 2 — Canon-anchored evidence.</w:t>
      </w:r>
      <w:r>
        <w:t xml:space="preserve"> </w:t>
      </w:r>
      <w:r>
        <w:t xml:space="preserve">Every artifact the substrate</w:t>
      </w:r>
      <w:r>
        <w:t xml:space="preserve"> </w:t>
      </w:r>
      <w:r>
        <w:t xml:space="preserve">produces — SSP, POA&amp;M, KSI dashboard entries, Component Definitions,</w:t>
      </w:r>
      <w:r>
        <w:t xml:space="preserve"> </w:t>
      </w:r>
      <w:r>
        <w:t xml:space="preserve">adapter findings — cites the canon document ID and version it derives</w:t>
      </w:r>
      <w:r>
        <w:t xml:space="preserve"> </w:t>
      </w:r>
      <w:r>
        <w:t xml:space="preserve">from. Evidence carries lineage as structured data, not as narrative.</w:t>
      </w:r>
    </w:p>
    <w:p>
      <w:pPr>
        <w:pStyle w:val="BodyText"/>
      </w:pPr>
      <w:r>
        <w:rPr>
          <w:b/>
          <w:bCs/>
        </w:rPr>
        <w:t xml:space="preserve">Principle 3 — Drift is explicit.</w:t>
      </w:r>
      <w:r>
        <w:t xml:space="preserve"> </w:t>
      </w:r>
      <w:r>
        <w:t xml:space="preserve">The six-class drift taxonomy</w:t>
      </w:r>
      <w:r>
        <w:t xml:space="preserve"> </w:t>
      </w:r>
      <w:r>
        <w:t xml:space="preserve">(</w:t>
      </w:r>
      <w:r>
        <w:rPr>
          <w:rStyle w:val="VerbatimChar"/>
        </w:rPr>
        <w:t xml:space="preserve">DRIFT-SCHEMA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DRIFT-SEMANTIC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DRIFT-PROVENANCE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DRIFT-AUTHZ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DRIFT-SSOT-CONTENTION</w:t>
      </w:r>
      <w:r>
        <w:t xml:space="preserve"> </w:t>
      </w:r>
      <w:r>
        <w:t xml:space="preserve">per ADR-074) names the failure</w:t>
      </w:r>
      <w:r>
        <w:t xml:space="preserve"> </w:t>
      </w:r>
      <w:r>
        <w:t xml:space="preserve">modes, assigns deterministic severity, and emits remediation contracts.</w:t>
      </w:r>
      <w:r>
        <w:t xml:space="preserve"> </w:t>
      </w:r>
      <w:r>
        <w:t xml:space="preserve">Drift is a</w:t>
      </w:r>
      <w:r>
        <w:t xml:space="preserve"> </w:t>
      </w:r>
      <w:r>
        <w:rPr>
          <w:i/>
          <w:iCs/>
        </w:rPr>
        <w:t xml:space="preserve">signal</w:t>
      </w:r>
      <w:r>
        <w:t xml:space="preserve">, not an</w:t>
      </w:r>
      <w:r>
        <w:t xml:space="preserve"> </w:t>
      </w:r>
      <w:r>
        <w:rPr>
          <w:i/>
          <w:iCs/>
        </w:rPr>
        <w:t xml:space="preserve">exception</w:t>
      </w:r>
      <w:r>
        <w:t xml:space="preserve">.</w:t>
      </w:r>
    </w:p>
    <w:p>
      <w:pPr>
        <w:pStyle w:val="BodyText"/>
      </w:pPr>
      <w:r>
        <w:t xml:space="preserve">These three principles compose: SSOT defines what canon is, evidence</w:t>
      </w:r>
      <w:r>
        <w:t xml:space="preserve"> </w:t>
      </w:r>
      <w:r>
        <w:t xml:space="preserve">anchoring binds artifacts to canon, and drift detection enforces both</w:t>
      </w:r>
      <w:r>
        <w:t xml:space="preserve"> </w:t>
      </w:r>
      <w:r>
        <w:t xml:space="preserve">properties at every CI run and every adapter execution.</w:t>
      </w:r>
    </w:p>
    <w:bookmarkEnd w:id="25"/>
    <w:bookmarkStart w:id="30" w:name="the-substrate-that-ships-today"/>
    <w:p>
      <w:pPr>
        <w:pStyle w:val="Heading3"/>
      </w:pPr>
      <w:r>
        <w:t xml:space="preserve">3. The substrate that ships today</w:t>
      </w:r>
    </w:p>
    <w:p>
      <w:pPr>
        <w:pStyle w:val="FirstParagraph"/>
      </w:pPr>
      <w:r>
        <w:t xml:space="preserve">The principles are not aspirational. The Governance OS already enforces</w:t>
      </w:r>
      <w:r>
        <w:t xml:space="preserve"> </w:t>
      </w:r>
      <w:r>
        <w:t xml:space="preserve">them through a concrete CLI/CI surface declared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the</w:t>
      </w:r>
      <w:r>
        <w:t xml:space="preserve"> </w:t>
      </w:r>
      <w:r>
        <w:t xml:space="preserve">substrate-manifest: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Maturity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Schema-first canon</w:t>
            </w:r>
          </w:p>
        </w:tc>
        <w:tc>
          <w:tcPr/>
          <w:p>
            <w:pPr>
              <w:pStyle w:val="Compact"/>
            </w:pPr>
            <w:r>
              <w:t xml:space="preserve">Forty JSON schemas under</w:t>
            </w:r>
            <w:r>
              <w:t xml:space="preserve"> </w:t>
            </w:r>
            <w:r>
              <w:rPr>
                <w:rStyle w:val="VerbatimChar"/>
              </w:rPr>
              <w:t xml:space="preserve">src/uiao/schemas/</w:t>
            </w:r>
            <w:r>
              <w:t xml:space="preserve">, validated by</w:t>
            </w:r>
            <w:r>
              <w:t xml:space="preserve"> </w:t>
            </w:r>
            <w:r>
              <w:rPr>
                <w:rStyle w:val="VerbatimChar"/>
              </w:rPr>
              <w:t xml:space="preserve">schema-validation.yml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metadata-validator.yml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Substrate walker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uiao substrate walk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uiao substrate drift</w:t>
            </w:r>
            <w:r>
              <w:t xml:space="preserve"> </w:t>
            </w:r>
            <w:r>
              <w:t xml:space="preserve">— emits</w:t>
            </w:r>
            <w:r>
              <w:t xml:space="preserve"> </w:t>
            </w:r>
            <w:r>
              <w:rPr>
                <w:rStyle w:val="VerbatimChar"/>
              </w:rPr>
              <w:t xml:space="preserve">DRIFT-SCHEMA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DRIFT-PROVENANCE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substrate-drift.yml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taxonomy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mission-class</w:t>
            </w:r>
            <w:r>
              <w:t xml:space="preserve"> </w:t>
            </w:r>
            <w:r>
              <w:t xml:space="preserve">per UIAO_003, registered in two registries, validated by</w:t>
            </w:r>
            <w:r>
              <w:t xml:space="preserve"> </w:t>
            </w:r>
            <w:r>
              <w:rPr>
                <w:rStyle w:val="VerbatimChar"/>
              </w:rPr>
              <w:t xml:space="preserve">adapter-conformance.yml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OSCAL evidence</w:t>
            </w:r>
          </w:p>
        </w:tc>
        <w:tc>
          <w:tcPr/>
          <w:p>
            <w:pPr>
              <w:pStyle w:val="Compact"/>
            </w:pPr>
            <w:r>
              <w:t xml:space="preserve">SSP, POA&amp;M, KSI, Component Definition generators with deterministic regeneration per ADR-006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drift (semantic / authz / identity)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  <w:r>
              <w:t xml:space="preserve"> </w:t>
            </w:r>
            <w:r>
              <w:rPr>
                <w:rStyle w:val="VerbatimChar"/>
              </w:rPr>
              <w:t xml:space="preserve">16_DriftDetectionStandard.qmd</w:t>
            </w:r>
            <w:r>
              <w:t xml:space="preserve">; evaluators ship in</w:t>
            </w:r>
            <w:r>
              <w:t xml:space="preserve"> </w:t>
            </w:r>
            <w:r>
              <w:rPr>
                <w:rStyle w:val="VerbatimChar"/>
              </w:rPr>
              <w:t xml:space="preserve">src/uiao/freshness/</w:t>
            </w:r>
            <w:r>
              <w:t xml:space="preserve"> </w:t>
            </w:r>
            <w:r>
              <w:t xml:space="preserve">and the identity JML/LocPath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event-time evidence capture</w:t>
            </w:r>
          </w:p>
        </w:tc>
        <w:tc>
          <w:tcPr/>
          <w:p>
            <w:pPr>
              <w:pStyle w:val="Compact"/>
            </w:pPr>
            <w:r>
              <w:t xml:space="preserve">Defined in</w:t>
            </w:r>
            <w:r>
              <w:t xml:space="preserve"> </w:t>
            </w:r>
            <w:r>
              <w:rPr>
                <w:rStyle w:val="VerbatimChar"/>
              </w:rPr>
              <w:t xml:space="preserve">15_ProvenanceProfile.qmd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</w:tr>
    </w:tbl>
    <w:p>
      <w:pPr>
        <w:pStyle w:val="BodyText"/>
      </w:pPr>
      <w:r>
        <w:t xml:space="preserve">The four shipped rows are the substrate’s structural floor. They run on</w:t>
      </w:r>
      <w:r>
        <w:t xml:space="preserve"> </w:t>
      </w:r>
      <w:r>
        <w:t xml:space="preserve">every PR, gate every merge, and produce reproducible evidence today.</w:t>
      </w:r>
      <w:r>
        <w:t xml:space="preserve"> </w:t>
      </w:r>
      <w:r>
        <w:t xml:space="preserve">The remaining rows are the runtime extension of the same principles —</w:t>
      </w:r>
      <w:r>
        <w:t xml:space="preserve"> </w:t>
      </w:r>
      <w:r>
        <w:t xml:space="preserve">partially implemented or target-state — and they reuse the canonical</w:t>
      </w:r>
      <w:r>
        <w:t xml:space="preserve"> </w:t>
      </w:r>
      <w:r>
        <w:t xml:space="preserve">taxonomy and provenance envelope rather than introducing parallel</w:t>
      </w:r>
      <w:r>
        <w:t xml:space="preserve"> </w:t>
      </w:r>
      <w:r>
        <w:t xml:space="preserve">concepts.</w:t>
      </w:r>
    </w:p>
    <w:p>
      <w:pPr>
        <w:pStyle w:val="BodyText"/>
      </w:pPr>
      <w:r>
        <w:rPr>
          <w:b/>
          <w:bCs/>
        </w:rPr>
        <w:t xml:space="preserve">This substrate is what the OrgComp series binds to, without naming it.</w:t>
      </w:r>
      <w:r>
        <w:t xml:space="preserve"> </w:t>
      </w:r>
      <w:hyperlink r:id="rId17">
        <w:r>
          <w:rPr>
            <w:rStyle w:val="Hyperlink"/>
          </w:rPr>
          <w:t xml:space="preserve">Vol X of the Federal Organization Compliance series</w:t>
        </w:r>
      </w:hyperlink>
      <w:r>
        <w:t xml:space="preserve"> </w:t>
      </w:r>
      <w:r>
        <w:t xml:space="preserve">maps that series’ FedRAMP/NIST closures onto seven regime-agnostic</w:t>
      </w:r>
      <w:r>
        <w:t xml:space="preserve"> </w:t>
      </w:r>
      <w:r>
        <w:t xml:space="preserve">“surface slots”</w:t>
      </w:r>
      <w:r>
        <w:t xml:space="preserve"> </w:t>
      </w:r>
      <w:r>
        <w:t xml:space="preserve">— Identity, Addressing, Network, Telemetry, Endpoint,</w:t>
      </w:r>
      <w:r>
        <w:t xml:space="preserve"> </w:t>
      </w:r>
      <w:r>
        <w:t xml:space="preserve">Security, Continuity — and states its own naming discipline directly:</w:t>
      </w:r>
      <w:r>
        <w:t xml:space="preserve"> </w:t>
      </w:r>
      <w:r>
        <w:rPr>
          <w:i/>
          <w:iCs/>
        </w:rPr>
        <w:t xml:space="preserve">“this volume names no governance product. It speaks of the governance</w:t>
      </w:r>
      <w:r>
        <w:rPr>
          <w:i/>
          <w:iCs/>
        </w:rPr>
        <w:t xml:space="preserve"> </w:t>
      </w:r>
      <w:r>
        <w:rPr>
          <w:i/>
          <w:iCs/>
        </w:rPr>
        <w:t xml:space="preserve">substrate, the conformance layer, the surface slots, and the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contract — the functions, not a brand.”</w:t>
      </w:r>
      <w:r>
        <w:t xml:space="preserve"> </w:t>
      </w:r>
      <w:r>
        <w:t xml:space="preserve">That discipline is not a gap in</w:t>
      </w:r>
      <w:r>
        <w:t xml:space="preserve"> </w:t>
      </w:r>
      <w:r>
        <w:t xml:space="preserve">Vol X; it is the OrgComp series independently demonstrating this</w:t>
      </w:r>
      <w:r>
        <w:t xml:space="preserve"> </w:t>
      </w:r>
      <w:r>
        <w:t xml:space="preserve">whitepaper’s own §8 claim — that the substrate is not a vendor product,</w:t>
      </w:r>
      <w:r>
        <w:t xml:space="preserve"> </w:t>
      </w:r>
      <w:r>
        <w:t xml:space="preserve">but a general instrument any conformant engine can score. Where this</w:t>
      </w:r>
      <w:r>
        <w:t xml:space="preserve"> </w:t>
      </w:r>
      <w:r>
        <w:t xml:space="preserve">whitepaper says</w:t>
      </w:r>
      <w:r>
        <w:t xml:space="preserve"> </w:t>
      </w:r>
      <w:r>
        <w:t xml:space="preserve">“UIAO,”</w:t>
      </w:r>
      <w:r>
        <w:t xml:space="preserve"> </w:t>
      </w:r>
      <w:r>
        <w:t xml:space="preserve">Vol X says</w:t>
      </w:r>
      <w:r>
        <w:t xml:space="preserve"> </w:t>
      </w:r>
      <w:r>
        <w:t xml:space="preserve">“the governance substrate that scores</w:t>
      </w:r>
      <w:r>
        <w:t xml:space="preserve"> </w:t>
      </w:r>
      <w:r>
        <w:t xml:space="preserve">it”</w:t>
      </w:r>
      <w:r>
        <w:t xml:space="preserve">; both sentences describe the same shipped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Xb1cf820dee41835527fb0f2a0fd8130ec1b8435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27" name="Picture"/>
                  <ns2:graphic>
                    <ns2:graphicData uri="http://schemas.openxmlformats.org/drawingml/2006/picture">
                      <ns3:pic>
                        <ns3:nvPicPr>
                          <ns3:cNvPr descr="images/uiao-governance-os-whitepaper-image-02-uiao-substrate-stack-diagram-pos.png" id="2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6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UIAO substrate stack diagram positioned as an operating system</w:t>
            </w:r>
          </w:p>
          <w:bookmarkEnd w:id="29"/>
        </w:tc>
      </w:tr>
    </w:tbl>
    <w:bookmarkEnd w:id="30"/>
    <w:bookmarkStart w:id="35" w:name="why-operating-system-not-framework"/>
    <w:p>
      <w:pPr>
        <w:pStyle w:val="Heading3"/>
      </w:pPr>
      <w:r>
        <w:t xml:space="preserve">4. Why</w:t>
      </w:r>
      <w:r>
        <w:t xml:space="preserve"> </w:t>
      </w:r>
      <w:r>
        <w:t xml:space="preserve">“operating system,”</w:t>
      </w:r>
      <w:r>
        <w:t xml:space="preserve"> </w:t>
      </w:r>
      <w:r>
        <w:t xml:space="preserve">not</w:t>
      </w:r>
      <w:r>
        <w:t xml:space="preserve"> </w:t>
      </w:r>
      <w:r>
        <w:t xml:space="preserve">“framework”</w:t>
      </w:r>
    </w:p>
    <w:p>
      <w:pPr>
        <w:pStyle w:val="FirstParagraph"/>
      </w:pPr>
      <w:r>
        <w:t xml:space="preserve">The naming is deliberate. A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is something an application</w:t>
      </w:r>
      <w:r>
        <w:t xml:space="preserve"> </w:t>
      </w:r>
      <w:r>
        <w:t xml:space="preserve">consumes; an</w:t>
      </w:r>
      <w:r>
        <w:t xml:space="preserve"> </w:t>
      </w:r>
      <w:r>
        <w:rPr>
          <w:i/>
          <w:iCs/>
        </w:rPr>
        <w:t xml:space="preserve">operating system</w:t>
      </w:r>
      <w:r>
        <w:t xml:space="preserve"> </w:t>
      </w:r>
      <w:r>
        <w:t xml:space="preserve">is something an application runs on.</w:t>
      </w:r>
      <w:r>
        <w:t xml:space="preserve"> </w:t>
      </w:r>
      <w:r>
        <w:t xml:space="preserve">UIAO’s substrate provides a bounded process model for every adapter and</w:t>
      </w:r>
      <w:r>
        <w:t xml:space="preserve"> </w:t>
      </w:r>
      <w:r>
        <w:t xml:space="preserve">CI gate, a single scheduler for canonical change (the canon-change ADR</w:t>
      </w:r>
      <w:r>
        <w:t xml:space="preserve"> </w:t>
      </w:r>
      <w:r>
        <w:t xml:space="preserve">process), and a stable read interface to canon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importlib.resources.files("uiao.canon")</w:t>
      </w:r>
      <w:r>
        <w:t xml:space="preserve">) — properties that let</w:t>
      </w:r>
      <w:r>
        <w:t xml:space="preserve"> </w:t>
      </w:r>
      <w:r>
        <w:t xml:space="preserve">independent adapter authors, review surfaces, and deployment regimes</w:t>
      </w:r>
      <w:r>
        <w:t xml:space="preserve"> </w:t>
      </w:r>
      <w:r>
        <w:t xml:space="preserve">build on the same substrate without each requiring its own governance</w:t>
      </w:r>
      <w:r>
        <w:t xml:space="preserve"> </w:t>
      </w:r>
      <w:r>
        <w:t xml:space="preserve">machinery. Since ADR-092, canon names this posture</w:t>
      </w:r>
      <w:r>
        <w:t xml:space="preserve"> </w:t>
      </w:r>
      <w:r>
        <w:rPr>
          <w:b/>
          <w:bCs/>
        </w:rPr>
        <w:t xml:space="preserve">Active</w:t>
      </w:r>
      <w:r>
        <w:rPr>
          <w:b/>
          <w:bCs/>
        </w:rPr>
        <w:t xml:space="preserve"> </w:t>
      </w:r>
      <w:r>
        <w:rPr>
          <w:b/>
          <w:bCs/>
        </w:rPr>
        <w:t xml:space="preserve">Governance</w:t>
      </w:r>
      <w:r>
        <w:t xml:space="preserve">: an active reconciliation control plane that observes,</w:t>
      </w:r>
      <w:r>
        <w:t xml:space="preserve"> </w:t>
      </w:r>
      <w:r>
        <w:t xml:space="preserve">reconciles, and actuates through a graduated L0–L4 ladder</w:t>
      </w:r>
      <w:r>
        <w:t xml:space="preserve"> </w:t>
      </w:r>
      <w:r>
        <w:t xml:space="preserve">(federal default ceiling L3, human-approved actuation) while never</w:t>
      </w:r>
      <w:r>
        <w:t xml:space="preserve"> </w:t>
      </w:r>
      <w:r>
        <w:t xml:space="preserve">becoming the in-path enforcer.</w:t>
      </w:r>
    </w:p>
    <w:bookmarkStart w:id="34" w:name="X804c91ee25529886f7a50234d508f4f6610ca50"/>
    <w:p>
      <w:pPr>
        <w:pStyle w:val="Heading4"/>
      </w:pPr>
      <w:r>
        <w:t xml:space="preserve">4.1 Worked example: one control, telemetry to OSCAL</w:t>
      </w:r>
    </w:p>
    <w:p>
      <w:pPr>
        <w:pStyle w:val="FirstParagraph"/>
      </w:pPr>
      <w:r>
        <w:t xml:space="preserve">Sections 3, 6, and 7 describe the evidence chain, the canon-anchored</w:t>
      </w:r>
      <w:r>
        <w:t xml:space="preserve"> </w:t>
      </w:r>
      <w:r>
        <w:t xml:space="preserve">claim shape, and the ATO package properties separately. Tracing a</w:t>
      </w:r>
      <w:r>
        <w:t xml:space="preserve"> </w:t>
      </w:r>
      <w:r>
        <w:t xml:space="preserve">single control end to end through all four pipeline stages makes the</w:t>
      </w:r>
      <w:r>
        <w:t xml:space="preserve"> </w:t>
      </w:r>
      <w:r>
        <w:t xml:space="preserve">abstraction concrete.</w:t>
      </w:r>
    </w:p>
    <w:p>
      <w:pPr>
        <w:pStyle w:val="BodyText"/>
      </w:pPr>
      <w:r>
        <w:t xml:space="preserve">Take</w:t>
      </w:r>
      <w:r>
        <w:t xml:space="preserve"> </w:t>
      </w:r>
      <w:r>
        <w:rPr>
          <w:b/>
          <w:bCs/>
        </w:rPr>
        <w:t xml:space="preserve">KSI-IA-02</w:t>
      </w:r>
      <w:r>
        <w:t xml:space="preserve"> </w:t>
      </w:r>
      <w:r>
        <w:t xml:space="preserve">(phishing-resistant multi-factor authentication for</w:t>
      </w:r>
      <w:r>
        <w:t xml:space="preserve"> </w:t>
      </w:r>
      <w:r>
        <w:t xml:space="preserve">GCC access), one of the KSI rules shipped in</w:t>
      </w:r>
      <w:r>
        <w:t xml:space="preserve"> </w:t>
      </w:r>
      <w:r>
        <w:rPr>
          <w:rStyle w:val="VerbatimChar"/>
        </w:rPr>
        <w:t xml:space="preserve">src/uiao/rules/ksi/iam/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32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33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1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Identifier namespace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KSI-IA-02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UIAO-internal rule identifier</w:t>
            </w:r>
            <w:r>
              <w:t xml:space="preserve">, named after the NIST</w:t>
            </w:r>
            <w:r>
              <w:t xml:space="preserve"> </w:t>
            </w:r>
            <w:r>
              <w:t xml:space="preserve">SP 800-53 IA-2 control family. It is not a FedRAMP 20x Key Security</w:t>
            </w:r>
            <w:r>
              <w:t xml:space="preserve"> </w:t>
            </w:r>
            <w:r>
              <w:t xml:space="preserve">Indicator. FedRAMP publishes ten KSI families — CED, CMT, CNA, IAM, INR,</w:t>
            </w:r>
            <w:r>
              <w:t xml:space="preserve"> </w:t>
            </w:r>
            <w:r>
              <w:t xml:space="preserve">MLA, PIY, RPL, SCR, SVC — whose suffixes are mnemonic rather than numeric;</w:t>
            </w:r>
            <w:r>
              <w:t xml:space="preserve"> </w:t>
            </w:r>
            <w:r>
              <w:t xml:space="preserve">the FedRAMP indicator for phishing-resistant MFA is</w:t>
            </w:r>
            <w:r>
              <w:t xml:space="preserve"> </w:t>
            </w:r>
            <w:r>
              <w:rPr>
                <w:rStyle w:val="VerbatimChar"/>
              </w:rPr>
              <w:t xml:space="preserve">KSI-IAM-APM</w:t>
            </w:r>
            <w:r>
              <w:t xml:space="preserve">. UIAO</w:t>
            </w:r>
            <w:r>
              <w:t xml:space="preserve"> </w:t>
            </w:r>
            <w:r>
              <w:t xml:space="preserve">rules map to FedRAMP KSIs through</w:t>
            </w:r>
            <w:r>
              <w:t xml:space="preserve"> </w:t>
            </w:r>
            <w:r>
              <w:rPr>
                <w:rStyle w:val="VerbatimChar"/>
              </w:rPr>
              <w:t xml:space="preserve">src/uiao/rules/ksi/uiao-control-to-ksi-mapping.yaml</w:t>
            </w:r>
            <w:r>
              <w:t xml:space="preserve">; the two namespaces</w:t>
            </w:r>
            <w:r>
              <w:t xml:space="preserve"> </w:t>
            </w:r>
            <w:r>
              <w:t xml:space="preserve">are deliberately distinct and must not be read as the same identifier.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Stage 1 — telemetry capture.</w:t>
      </w:r>
      <w:r>
        <w:t xml:space="preserve"> </w:t>
      </w:r>
      <w:r>
        <w:t xml:space="preserve">The Entra adapter (</w:t>
      </w:r>
      <w:r>
        <w:rPr>
          <w:rStyle w:val="VerbatimChar"/>
        </w:rPr>
        <w:t xml:space="preserve">evidence_sources: entra_id, graph_api</w:t>
      </w:r>
      <w:r>
        <w:t xml:space="preserve"> </w:t>
      </w:r>
      <w:r>
        <w:t xml:space="preserve">per the KSI’s own declaration) polls Conditional</w:t>
      </w:r>
      <w:r>
        <w:t xml:space="preserve"> </w:t>
      </w:r>
      <w:r>
        <w:t xml:space="preserve">Access policy state and per-user authentication-method registration on</w:t>
      </w:r>
      <w:r>
        <w:t xml:space="preserve"> </w:t>
      </w:r>
      <w:r>
        <w:t xml:space="preserve">its configured interval, observing whether MFA is enforced and which</w:t>
      </w:r>
      <w:r>
        <w:t xml:space="preserve"> </w:t>
      </w:r>
      <w:r>
        <w:t xml:space="preserve">method satisfies it (FIDO2, certificate-based auth, or a weaker,</w:t>
      </w:r>
      <w:r>
        <w:t xml:space="preserve"> </w:t>
      </w:r>
      <w:r>
        <w:t xml:space="preserve">non-phishing-resistant factor).</w:t>
      </w:r>
    </w:p>
    <w:p>
      <w:pPr>
        <w:pStyle w:val="BodyText"/>
      </w:pPr>
      <w:r>
        <w:rPr>
          <w:b/>
          <w:bCs/>
        </w:rPr>
        <w:t xml:space="preserve">Stage 2 — claim normalization.</w:t>
      </w:r>
      <w:r>
        <w:t xml:space="preserve"> </w:t>
      </w:r>
      <w:r>
        <w:t xml:space="preserve">The raw Graph response is wrapped in</w:t>
      </w:r>
      <w:r>
        <w:t xml:space="preserve"> </w:t>
      </w:r>
      <w:r>
        <w:t xml:space="preserve">the canonical provenance envelope. The shape below is illustrative —</w:t>
      </w:r>
      <w:r>
        <w:t xml:space="preserve"> </w:t>
      </w:r>
      <w:r>
        <w:t xml:space="preserve">it shows the fields the envelope carries, not a captured record: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"clm-&lt;uuid&gt;"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"KSI-IA-02"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"issuer_identity"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"&lt;entra-object-id&gt;"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"authoritative"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"extraction_timestamp"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"&lt;ISO-8601 timestamp&gt;"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"lineage_hash"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"sha256:&lt;hash of the source Graph record&gt;"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"assertion"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"phishing_resistant_mfa_required: true"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Stage 3 — bundle assembly and seal.</w:t>
      </w:r>
      <w:r>
        <w:t xml:space="preserve"> </w:t>
      </w:r>
      <w:r>
        <w:t xml:space="preserve">Every KSI-IA-02 claim captured</w:t>
      </w:r>
      <w:r>
        <w:t xml:space="preserve"> </w:t>
      </w:r>
      <w:r>
        <w:t xml:space="preserve">in the reporting interval is assembled into an evidence bundle. Per</w:t>
      </w:r>
      <w:r>
        <w:t xml:space="preserve"> </w:t>
      </w:r>
      <w:r>
        <w:t xml:space="preserve">ADR-006, each claim already carries a SHA-256 of its source record; the</w:t>
      </w:r>
      <w:r>
        <w:t xml:space="preserve"> </w:t>
      </w:r>
      <w:r>
        <w:t xml:space="preserve">bundle hash is computed over the per-claim hashes and the bundle is</w:t>
      </w:r>
      <w:r>
        <w:t xml:space="preserve"> </w:t>
      </w:r>
      <w:r>
        <w:t xml:space="preserve">sealed: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"bundle_id"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"bnd-&lt;uuid&gt;"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"KSI-IA-02"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"clm-&lt;uuid-1&gt;"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"clm-&lt;uuid-2&gt;"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"bundle_hash"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"sha256:&lt;hash over the per-claim hashes&gt;"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"&lt;substrate-manifest version at capture time&gt;"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"sealed_at"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"&lt;ISO-8601 timestamp&gt;"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Stage 4 — OSCAL emission.</w:t>
      </w:r>
      <w:r>
        <w:t xml:space="preserve"> </w:t>
      </w:r>
      <w:r>
        <w:t xml:space="preserve">The sealed bundle drives an OSCAL</w:t>
      </w:r>
      <w:r>
        <w:t xml:space="preserve"> </w:t>
      </w:r>
      <w:r>
        <w:t xml:space="preserve">Assessment Result entry (and, where the control maps to a system</w:t>
      </w:r>
      <w:r>
        <w:t xml:space="preserve"> </w:t>
      </w:r>
      <w:r>
        <w:t xml:space="preserve">component, a Component Definition) keyed to KSI-IA-02, ready to feed</w:t>
      </w:r>
      <w:r>
        <w:t xml:space="preserve"> </w:t>
      </w:r>
      <w:r>
        <w:t xml:space="preserve">the KSI dashboard, the SSP control narrative, and — if the pass</w:t>
      </w:r>
      <w:r>
        <w:t xml:space="preserve"> </w:t>
      </w:r>
      <w:r>
        <w:t xml:space="preserve">criterion fails — a POA&amp;M item. Because the same canon version</w:t>
      </w:r>
      <w:r>
        <w:t xml:space="preserve"> </w:t>
      </w:r>
      <w:r>
        <w:t xml:space="preserve">processing the same inputs always produces a byte-identical bundle</w:t>
      </w:r>
      <w:r>
        <w:t xml:space="preserve"> </w:t>
      </w:r>
      <w:r>
        <w:t xml:space="preserve">(ADR-006), an assessor can re-run the pipeline months later and verify</w:t>
      </w:r>
      <w:r>
        <w:t xml:space="preserve"> </w:t>
      </w:r>
      <w:r>
        <w:t xml:space="preserve">the bundle hash matches, without needing the original operator</w:t>
      </w:r>
      <w:r>
        <w:t xml:space="preserve"> </w:t>
      </w:r>
      <w:r>
        <w:t xml:space="preserve">available to explain how the evidence was assembled.</w:t>
      </w:r>
    </w:p>
    <w:p>
      <w:pPr>
        <w:pStyle w:val="BodyText"/>
      </w:pPr>
      <w:r>
        <w:t xml:space="preserve">That is the whole substrate, for one control: a poll, a hash, a seal,</w:t>
      </w:r>
      <w:r>
        <w:t xml:space="preserve"> </w:t>
      </w:r>
      <w:r>
        <w:t xml:space="preserve">and a citation — repeated across every KSI rule the agency has brought</w:t>
      </w:r>
      <w:r>
        <w:t xml:space="preserve"> </w:t>
      </w:r>
      <w:r>
        <w:t xml:space="preserve">under adapter coverage.</w:t>
      </w:r>
    </w:p>
    <w:bookmarkEnd w:id="34"/>
    <w:bookmarkEnd w:id="35"/>
    <w:bookmarkStart w:id="37" w:name="the-three-layer-rule-model"/>
    <w:p>
      <w:pPr>
        <w:pStyle w:val="Heading3"/>
      </w:pPr>
      <w:r>
        <w:t xml:space="preserve">5. The three-layer rule model</w:t>
      </w:r>
    </w:p>
    <w:p>
      <w:pPr>
        <w:pStyle w:val="FirstParagraph"/>
      </w:pPr>
      <w:r>
        <w:t xml:space="preserve">UIAO separates rule authoring into three layers — canon, policy, runtime</w:t>
      </w:r>
      <w:r>
        <w:t xml:space="preserve"> </w:t>
      </w:r>
      <w:r>
        <w:t xml:space="preserve">— each with its own change cadence and review surface (see</w:t>
      </w:r>
      <w:r>
        <w:t xml:space="preserve"> </w:t>
      </w:r>
      <w:hyperlink r:id="rId36">
        <w:r>
          <w:rPr>
            <w:rStyle w:val="Hyperlink"/>
          </w:rPr>
          <w:t xml:space="preserve">Three-Layer Rule Model</w:t>
        </w:r>
      </w:hyperlink>
      <w:r>
        <w:t xml:space="preserve">).</w:t>
      </w:r>
      <w:r>
        <w:t xml:space="preserve"> </w:t>
      </w:r>
      <w:r>
        <w:t xml:space="preserve">The whitepaper-level point is operational: an agency adopting the</w:t>
      </w:r>
      <w:r>
        <w:t xml:space="preserve"> </w:t>
      </w:r>
      <w:r>
        <w:t xml:space="preserve">Governance OS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to renegotiate every layer to make a</w:t>
      </w:r>
      <w:r>
        <w:t xml:space="preserve"> </w:t>
      </w:r>
      <w:r>
        <w:t xml:space="preserve">change. Adding a new modernization adapter is a policy-and-runtime PR;</w:t>
      </w:r>
      <w:r>
        <w:t xml:space="preserve"> </w:t>
      </w:r>
      <w:r>
        <w:t xml:space="preserve">amending a control’s meaning is a canon-change ADR. The blast radius of</w:t>
      </w:r>
      <w:r>
        <w:t xml:space="preserve"> </w:t>
      </w:r>
      <w:r>
        <w:t xml:space="preserve">each change is bounded by the layer it touches.</w:t>
      </w:r>
    </w:p>
    <w:p>
      <w:pPr>
        <w:pStyle w:val="BodyText"/>
      </w:pPr>
      <w:r>
        <w:t xml:space="preserve">This is the architectural reason UIAO scales across many concurrent</w:t>
      </w:r>
      <w:r>
        <w:t xml:space="preserve"> </w:t>
      </w:r>
      <w:r>
        <w:t xml:space="preserve">modernization programs: the canon is small and stable, the policy</w:t>
      </w:r>
      <w:r>
        <w:t xml:space="preserve"> </w:t>
      </w:r>
      <w:r>
        <w:t xml:space="preserve">mappings are large and registry-managed, and the runtime is the only</w:t>
      </w:r>
      <w:r>
        <w:t xml:space="preserve"> </w:t>
      </w:r>
      <w:r>
        <w:t xml:space="preserve">layer that has to keep up with vendor product change.</w:t>
      </w:r>
    </w:p>
    <w:bookmarkEnd w:id="37"/>
    <w:bookmarkStart w:id="39" w:name="the-evidence-chain"/>
    <w:p>
      <w:pPr>
        <w:pStyle w:val="Heading3"/>
      </w:pPr>
      <w:r>
        <w:t xml:space="preserve">6. The evidence chain</w:t>
      </w:r>
    </w:p>
    <w:p>
      <w:pPr>
        <w:pStyle w:val="FirstParagraph"/>
      </w:pPr>
      <w:r>
        <w:t xml:space="preserve">Evidence flows through a four-stage pipeline (see</w:t>
      </w:r>
      <w:r>
        <w:t xml:space="preserve"> </w:t>
      </w:r>
      <w:hyperlink r:id="rId38">
        <w:r>
          <w:rPr>
            <w:rStyle w:val="Hyperlink"/>
          </w:rPr>
          <w:t xml:space="preserve">Evidence Chain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telemetry capture → claim normalization → bundle assembly+seal → OSCAL emission</w:t>
      </w:r>
    </w:p>
    <w:p>
      <w:pPr>
        <w:pStyle w:val="FirstParagraph"/>
      </w:pPr>
      <w:r>
        <w:t xml:space="preserve">Two operational properties matter for an authorizing official:</w:t>
      </w:r>
    </w:p>
    <w:p>
      <w:pPr>
        <w:pStyle w:val="BodyText"/>
      </w:pPr>
      <w:r>
        <w:rPr>
          <w:b/>
          <w:bCs/>
        </w:rPr>
        <w:t xml:space="preserve">Independent re-execution.</w:t>
      </w:r>
      <w:r>
        <w:t xml:space="preserve"> </w:t>
      </w:r>
      <w:r>
        <w:t xml:space="preserve">Per ADR-006, the same canon version</w:t>
      </w:r>
      <w:r>
        <w:t xml:space="preserve"> </w:t>
      </w:r>
      <w:r>
        <w:t xml:space="preserve">processing the same inputs always produces a byte-identical evidence</w:t>
      </w:r>
      <w:r>
        <w:t xml:space="preserve"> </w:t>
      </w:r>
      <w:r>
        <w:t xml:space="preserve">bundle. A 3PAO can re-run the assembly months after the original audit</w:t>
      </w:r>
      <w:r>
        <w:t xml:space="preserve"> </w:t>
      </w:r>
      <w:r>
        <w:t xml:space="preserve">and verify the bundle hash matches. The evidence does not depend on the</w:t>
      </w:r>
      <w:r>
        <w:t xml:space="preserve"> </w:t>
      </w:r>
      <w:r>
        <w:t xml:space="preserve">operator being available.</w:t>
      </w:r>
    </w:p>
    <w:p>
      <w:pPr>
        <w:pStyle w:val="BodyText"/>
      </w:pPr>
      <w:r>
        <w:rPr>
          <w:b/>
          <w:bCs/>
        </w:rPr>
        <w:t xml:space="preserve">Tamper-evident lineage.</w:t>
      </w:r>
      <w:r>
        <w:t xml:space="preserve"> </w:t>
      </w:r>
      <w:r>
        <w:t xml:space="preserve">Each claim carries a SHA-256 of its source</w:t>
      </w:r>
      <w:r>
        <w:t xml:space="preserve"> </w:t>
      </w:r>
      <w:r>
        <w:t xml:space="preserve">record at extraction. The bundle hash is computed over the per-claim</w:t>
      </w:r>
      <w:r>
        <w:t xml:space="preserve"> </w:t>
      </w:r>
      <w:r>
        <w:t xml:space="preserve">hashes. Any modification anywhere in the chain breaks the bundle hash —</w:t>
      </w:r>
      <w:r>
        <w:t xml:space="preserve"> </w:t>
      </w:r>
      <w:r>
        <w:t xml:space="preserve">a property assessors can verify with a hash check rather than a re-audit.</w:t>
      </w:r>
    </w:p>
    <w:bookmarkEnd w:id="39"/>
    <w:bookmarkStart w:id="42" w:name="what-an-ato-package-looks-like"/>
    <w:p>
      <w:pPr>
        <w:pStyle w:val="Heading3"/>
      </w:pPr>
      <w:r>
        <w:t xml:space="preserve">7. What an ATO package looks like</w:t>
      </w:r>
    </w:p>
    <w:p>
      <w:pPr>
        <w:pStyle w:val="FirstParagraph"/>
      </w:pPr>
      <w:r>
        <w:t xml:space="preserve">A UIAO-anchored ATO package presents the AO with five concrete</w:t>
      </w:r>
      <w:r>
        <w:t xml:space="preserve"> </w:t>
      </w:r>
      <w:r>
        <w:t xml:space="preserve">properties that an attestation-based package cannot: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Per-plane control narrative</w:t>
      </w:r>
      <w:r>
        <w:t xml:space="preserve"> </w:t>
      </w:r>
      <w:r>
        <w:t xml:space="preserve">— six-plane decomposition from</w:t>
      </w:r>
      <w:r>
        <w:t xml:space="preserve"> </w:t>
      </w:r>
      <w:hyperlink r:id="rId40">
        <w:r>
          <w:rPr>
            <w:rStyle w:val="Hyperlink"/>
          </w:rPr>
          <w:t xml:space="preserve">Six-Plane Architecture</w:t>
        </w:r>
      </w:hyperlink>
      <w:r>
        <w:t xml:space="preserve"> </w:t>
      </w:r>
      <w:r>
        <w:t xml:space="preserve">rather than a perimeter-centric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 citation per control</w:t>
      </w:r>
      <w:r>
        <w:t xml:space="preserve"> </w:t>
      </w:r>
      <w:r>
        <w:t xml:space="preserve">— every policy intent points to a</w:t>
      </w:r>
      <w:r>
        <w:t xml:space="preserve"> </w:t>
      </w:r>
      <w:r>
        <w:t xml:space="preserve">numbered canon document, not to a paragraph in a Word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Drift findings scoped per plane and per layer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DRIFT-*</w:t>
      </w:r>
      <w:r>
        <w:t xml:space="preserve"> </w:t>
      </w:r>
      <w:r>
        <w:t xml:space="preserve">findings</w:t>
      </w:r>
      <w:r>
        <w:t xml:space="preserve"> </w:t>
      </w:r>
      <w:r>
        <w:t xml:space="preserve">identify exactly which plane and which layer require remediation.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Reproducible evidence bundles</w:t>
      </w:r>
      <w:r>
        <w:t xml:space="preserve"> </w:t>
      </w:r>
      <w:r>
        <w:t xml:space="preserve">— the AO can re-run</w:t>
      </w:r>
      <w:r>
        <w:t xml:space="preserve"> </w:t>
      </w:r>
      <w:r>
        <w:rPr>
          <w:rStyle w:val="VerbatimChar"/>
        </w:rPr>
        <w:t xml:space="preserve">uiao substrate walk</w:t>
      </w:r>
      <w:r>
        <w:t xml:space="preserve"> </w:t>
      </w:r>
      <w:r>
        <w:t xml:space="preserve">and the OSCAL pipeline without coordinating with the operator.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Boundary impacts modeled as first-class objects</w:t>
      </w:r>
      <w:r>
        <w:t xml:space="preserve"> </w:t>
      </w:r>
      <w:r>
        <w:t xml:space="preserve">— GCC-Moderate</w:t>
      </w:r>
      <w:r>
        <w:t xml:space="preserve"> </w:t>
      </w:r>
      <w:r>
        <w:t xml:space="preserve">feature gaps appear as named boundary findings per the</w:t>
      </w:r>
      <w:r>
        <w:t xml:space="preserve"> </w:t>
      </w:r>
      <w:hyperlink r:id="rId41">
        <w:r>
          <w:rPr>
            <w:rStyle w:val="Hyperlink"/>
          </w:rPr>
          <w:t xml:space="preserve">Boundary Impact Model</w:t>
        </w:r>
      </w:hyperlink>
      <w:r>
        <w:t xml:space="preserve">,</w:t>
      </w:r>
      <w:r>
        <w:t xml:space="preserve"> </w:t>
      </w:r>
      <w:r>
        <w:t xml:space="preserve">not as footnotes in control narratives.</w:t>
      </w:r>
    </w:p>
    <w:bookmarkEnd w:id="42"/>
    <w:bookmarkStart w:id="47" w:name="what-this-is-not"/>
    <w:p>
      <w:pPr>
        <w:pStyle w:val="Heading3"/>
      </w:pPr>
      <w:r>
        <w:t xml:space="preserve">8. What this is</w:t>
      </w:r>
      <w:r>
        <w:t xml:space="preserve"> </w:t>
      </w:r>
      <w:r>
        <w:rPr>
          <w:i/>
          <w:iCs/>
        </w:rPr>
        <w:t xml:space="preserve">not</w:t>
      </w:r>
    </w:p>
    <w:p>
      <w:pPr>
        <w:pStyle w:val="FirstParagraph"/>
      </w:pPr>
      <w:r>
        <w:t xml:space="preserve">Three honest limits:</w:t>
      </w:r>
    </w:p>
    <w:p>
      <w:pPr>
        <w:pStyle w:val="Compact"/>
        <w:numPr>
          <w:ilvl w:val="0"/>
          <w:numId w:val="1002"/>
        </w:numPr>
      </w:pPr>
      <w:r>
        <w:t xml:space="preserve">It is not a replacement for the underlying control catalog.</w:t>
      </w:r>
      <w:r>
        <w:t xml:space="preserve"> </w:t>
      </w:r>
      <w:r>
        <w:t xml:space="preserve">UIAO maps to NIST 800-53, FedRAMP CR26, and CISA ZTMM — it does not</w:t>
      </w:r>
      <w:r>
        <w:t xml:space="preserve"> </w:t>
      </w:r>
      <w:r>
        <w:t xml:space="preserve">redefine the controls.</w:t>
      </w:r>
    </w:p>
    <w:p>
      <w:pPr>
        <w:pStyle w:val="Compact"/>
        <w:numPr>
          <w:ilvl w:val="0"/>
          <w:numId w:val="1002"/>
        </w:numPr>
      </w:pPr>
      <w:r>
        <w:t xml:space="preserve">It is not a runtime enforcement engine for every drift class today.</w:t>
      </w:r>
      <w:r>
        <w:t xml:space="preserve"> </w:t>
      </w:r>
      <w:r>
        <w:t xml:space="preserve">Schema and provenance drift ship in CI; semantic, authorization, and</w:t>
      </w:r>
      <w:r>
        <w:t xml:space="preserve"> </w:t>
      </w:r>
      <w:r>
        <w:t xml:space="preserve">identity drift detection at runtime is partially implemented and still</w:t>
      </w:r>
      <w:r>
        <w:t xml:space="preserve"> </w:t>
      </w:r>
      <w:r>
        <w:t xml:space="preserve">maturing toward full coverage.</w:t>
      </w:r>
    </w:p>
    <w:p>
      <w:pPr>
        <w:pStyle w:val="Compact"/>
        <w:numPr>
          <w:ilvl w:val="0"/>
          <w:numId w:val="1002"/>
        </w:numPr>
      </w:pPr>
      <w:r>
        <w:t xml:space="preserve">It is not a vendor product. The substrate ships as the</w:t>
      </w:r>
      <w:r>
        <w:t xml:space="preserve"> </w:t>
      </w:r>
      <w:r>
        <w:rPr>
          <w:rStyle w:val="VerbatimChar"/>
        </w:rPr>
        <w:t xml:space="preserve">uiao</w:t>
      </w:r>
      <w:r>
        <w:t xml:space="preserve"> </w:t>
      </w:r>
      <w:r>
        <w:t xml:space="preserve">Python</w:t>
      </w:r>
      <w:r>
        <w:t xml:space="preserve"> </w:t>
      </w:r>
      <w:r>
        <w:t xml:space="preserve">package; agencies host it. There is no SaaS dependency in the canon</w:t>
      </w:r>
      <w:r>
        <w:t xml:space="preserve"> </w:t>
      </w:r>
      <w:r>
        <w:t xml:space="preserve">layer. §3 above names the OrgComp series as the independent,</w:t>
      </w:r>
      <w:r>
        <w:t xml:space="preserve"> </w:t>
      </w:r>
      <w:r>
        <w:t xml:space="preserve">product-neutral demonstration of this claim — a second corpus, bound</w:t>
      </w:r>
      <w:r>
        <w:t xml:space="preserve"> </w:t>
      </w:r>
      <w:r>
        <w:t xml:space="preserve">to the same substrate, that never names it either.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Xd4a95fbb7a1b2434b9ce91a9bcfd5c802c8bf2d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44" name="Picture"/>
                  <ns2:graphic>
                    <ns2:graphicData uri="http://schemas.openxmlformats.org/drawingml/2006/picture">
                      <ns3:pic>
                        <ns3:nvPicPr>
                          <ns3:cNvPr descr="images/uiao-governance-os-whitepaper-image-03-incremental-adoption-ramp-diagra.png" id="4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4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Incremental adoption ramp diagram</w:t>
            </w:r>
          </w:p>
          <w:bookmarkEnd w:id="46"/>
        </w:tc>
      </w:tr>
    </w:tbl>
    <w:bookmarkEnd w:id="47"/>
    <w:bookmarkStart w:id="49" w:name="adoption-posture"/>
    <w:p>
      <w:pPr>
        <w:pStyle w:val="Heading3"/>
      </w:pPr>
      <w:r>
        <w:t xml:space="preserve">9. Adoption posture</w:t>
      </w:r>
    </w:p>
    <w:p>
      <w:pPr>
        <w:pStyle w:val="FirstParagraph"/>
      </w:pPr>
      <w:r>
        <w:t xml:space="preserve">An agency adopting the Governance OS does not have to rebuild its</w:t>
      </w:r>
      <w:r>
        <w:t xml:space="preserve"> </w:t>
      </w:r>
      <w:r>
        <w:t xml:space="preserve">control narrative from scratch. The minimum viable adoption is:</w:t>
      </w:r>
    </w:p>
    <w:p>
      <w:pPr>
        <w:pStyle w:val="Compact"/>
        <w:numPr>
          <w:ilvl w:val="0"/>
          <w:numId w:val="1003"/>
        </w:numPr>
      </w:pPr>
      <w:r>
        <w:t xml:space="preserve">Install the</w:t>
      </w:r>
      <w:r>
        <w:t xml:space="preserve"> </w:t>
      </w:r>
      <w:r>
        <w:rPr>
          <w:rStyle w:val="VerbatimChar"/>
        </w:rPr>
        <w:t xml:space="preserve">uiao</w:t>
      </w:r>
      <w:r>
        <w:t xml:space="preserve"> </w:t>
      </w:r>
      <w:r>
        <w:t xml:space="preserve">package; run</w:t>
      </w:r>
      <w:r>
        <w:t xml:space="preserve"> </w:t>
      </w:r>
      <w:r>
        <w:rPr>
          <w:rStyle w:val="VerbatimChar"/>
        </w:rPr>
        <w:t xml:space="preserve">uiao substrate walk</w:t>
      </w:r>
      <w:r>
        <w:t xml:space="preserve"> </w:t>
      </w:r>
      <w:r>
        <w:t xml:space="preserve">on the local</w:t>
      </w:r>
      <w:r>
        <w:t xml:space="preserve"> </w:t>
      </w:r>
      <w:r>
        <w:t xml:space="preserve">tree to validate the substrate is healthy.</w:t>
      </w:r>
    </w:p>
    <w:p>
      <w:pPr>
        <w:pStyle w:val="Compact"/>
        <w:numPr>
          <w:ilvl w:val="0"/>
          <w:numId w:val="1003"/>
        </w:numPr>
      </w:pPr>
      <w:r>
        <w:t xml:space="preserve">Author a substrate-manifest pointing at the agency’s canon (start</w:t>
      </w:r>
      <w:r>
        <w:t xml:space="preserve"> </w:t>
      </w:r>
      <w:r>
        <w:t xml:space="preserve">with the modules already in scope).</w:t>
      </w:r>
    </w:p>
    <w:p>
      <w:pPr>
        <w:pStyle w:val="Compact"/>
        <w:numPr>
          <w:ilvl w:val="0"/>
          <w:numId w:val="1003"/>
        </w:numPr>
      </w:pPr>
      <w:r>
        <w:t xml:space="preserve">Bring one adapter under the</w:t>
      </w:r>
      <w:r>
        <w:t xml:space="preserve"> </w:t>
      </w:r>
      <w:r>
        <w:rPr>
          <w:rStyle w:val="VerbatimChar"/>
        </w:rPr>
        <w:t xml:space="preserve">class × mission-class</w:t>
      </w:r>
      <w:r>
        <w:t xml:space="preserve"> </w:t>
      </w:r>
      <w:r>
        <w:t xml:space="preserve">taxonomy and</w:t>
      </w:r>
      <w:r>
        <w:t xml:space="preserve"> </w:t>
      </w:r>
      <w:r>
        <w:t xml:space="preserve">register it; let it emit OSCAL evidence into the existing ATO</w:t>
      </w:r>
      <w:r>
        <w:t xml:space="preserve"> </w:t>
      </w:r>
      <w:r>
        <w:t xml:space="preserve">package alongside the legacy attestation.</w:t>
      </w:r>
    </w:p>
    <w:p>
      <w:pPr>
        <w:pStyle w:val="Compact"/>
        <w:numPr>
          <w:ilvl w:val="0"/>
          <w:numId w:val="1003"/>
        </w:numPr>
      </w:pPr>
      <w:r>
        <w:t xml:space="preserve">Expand adapter coverage; phase out attestation evidence as</w:t>
      </w:r>
      <w:r>
        <w:t xml:space="preserve"> </w:t>
      </w:r>
      <w:r>
        <w:t xml:space="preserve">substrate-emitted evidence reaches parity.</w:t>
      </w:r>
    </w:p>
    <w:p>
      <w:pPr>
        <w:pStyle w:val="FirstParagraph"/>
      </w:pPr>
      <w:r>
        <w:t xml:space="preserve">The substrate is designed for this incremental adoption — there is no</w:t>
      </w:r>
      <w:r>
        <w:t xml:space="preserve"> </w:t>
      </w:r>
      <w:r>
        <w:t xml:space="preserve">big-bang. Phase 1 of the</w:t>
      </w:r>
      <w:r>
        <w:t xml:space="preserve"> </w:t>
      </w:r>
      <w:hyperlink r:id="rId48">
        <w:r>
          <w:rPr>
            <w:rStyle w:val="Hyperlink"/>
          </w:rPr>
          <w:t xml:space="preserve">customer-documents ROADMAP</w:t>
        </w:r>
      </w:hyperlink>
      <w:r>
        <w:t xml:space="preserve"> </w:t>
      </w:r>
      <w:r>
        <w:t xml:space="preserve">is itself an example: each</w:t>
      </w:r>
      <w:r>
        <w:t xml:space="preserve"> </w:t>
      </w:r>
      <w:r>
        <w:t xml:space="preserve">brief and explainer was ratified into the substrate one PR at a time,</w:t>
      </w:r>
      <w:r>
        <w:t xml:space="preserve"> </w:t>
      </w:r>
      <w:r>
        <w:t xml:space="preserve">with the substrate walker keeping the prior shipped surface intact.</w:t>
      </w:r>
    </w:p>
    <w:bookmarkEnd w:id="49"/>
    <w:bookmarkStart w:id="50" w:name="conclusion"/>
    <w:p>
      <w:pPr>
        <w:pStyle w:val="Heading3"/>
      </w:pPr>
      <w:r>
        <w:t xml:space="preserve">10. Conclusion</w:t>
      </w:r>
    </w:p>
    <w:p>
      <w:pPr>
        <w:pStyle w:val="FirstParagraph"/>
      </w:pPr>
      <w:r>
        <w:t xml:space="preserve">The Governance OS is the operational answer to the question</w:t>
      </w:r>
      <w:r>
        <w:t xml:space="preserve"> </w:t>
      </w:r>
      <w:r>
        <w:rPr>
          <w:i/>
          <w:iCs/>
        </w:rPr>
        <w:t xml:space="preserve">“how do we</w:t>
      </w:r>
      <w:r>
        <w:rPr>
          <w:i/>
          <w:iCs/>
        </w:rPr>
        <w:t xml:space="preserve"> </w:t>
      </w:r>
      <w:r>
        <w:rPr>
          <w:i/>
          <w:iCs/>
        </w:rPr>
        <w:t xml:space="preserve">keep canon, evidence, and runtime tied together as the substrate</w:t>
      </w:r>
      <w:r>
        <w:rPr>
          <w:i/>
          <w:iCs/>
        </w:rPr>
        <w:t xml:space="preserve"> </w:t>
      </w:r>
      <w:r>
        <w:rPr>
          <w:i/>
          <w:iCs/>
        </w:rPr>
        <w:t xml:space="preserve">evolves?”</w:t>
      </w:r>
      <w:r>
        <w:t xml:space="preserve"> </w:t>
      </w:r>
      <w:r>
        <w:t xml:space="preserve">The answer is: declare canon once, anchor evidence to it,</w:t>
      </w:r>
      <w:r>
        <w:t xml:space="preserve"> </w:t>
      </w:r>
      <w:r>
        <w:t xml:space="preserve">detect drift explicitly, and run the whole thing as an OS rather than as</w:t>
      </w:r>
      <w:r>
        <w:t xml:space="preserve"> </w:t>
      </w:r>
      <w:r>
        <w:t xml:space="preserve">a reporting layer.</w:t>
      </w:r>
    </w:p>
    <w:p>
      <w:pPr>
        <w:pStyle w:val="BodyText"/>
      </w:pPr>
      <w:r>
        <w:t xml:space="preserve">What ships today is enough to anchor real ATO packages. What is target</w:t>
      </w:r>
      <w:r>
        <w:t xml:space="preserve"> </w:t>
      </w:r>
      <w:r>
        <w:t xml:space="preserve">state extends the same model to runtime drift and continuous event-time</w:t>
      </w:r>
      <w:r>
        <w:t xml:space="preserve"> </w:t>
      </w:r>
      <w:r>
        <w:t xml:space="preserve">evidence. The structural floor is in place; the rest is engineering on</w:t>
      </w:r>
      <w:r>
        <w:t xml:space="preserve"> </w:t>
      </w:r>
      <w:r>
        <w:t xml:space="preserve">the same canonical foundation.</w:t>
      </w:r>
    </w:p>
    <w:bookmarkEnd w:id="50"/>
    <w:bookmarkEnd w:id="51"/>
    <w:bookmarkEnd w:id="52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14:53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1" Target="media/rId31.png" /><Relationship Type="http://schemas.openxmlformats.org/officeDocument/2006/relationships/image" Id="rId18" Target="media/rId18.png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hyperlink" Id="rId24" Target="https://github.com/WhalerMike/uiao/blob/main/src/uiao/canon/substrate-manifest.yaml" TargetMode="External" /><Relationship Type="http://schemas.openxmlformats.org/officeDocument/2006/relationships/hyperlink" Id="rId48" Target="https://whalermike.github.io/uiao/customer-documents/ROADMAP.html" TargetMode="External" /><Relationship Type="http://schemas.openxmlformats.org/officeDocument/2006/relationships/hyperlink" Id="rId41" Target="https://whalermike.github.io/uiao/customer-documents/architecture-series/boundary-impact-model.html" TargetMode="External" /><Relationship Type="http://schemas.openxmlformats.org/officeDocument/2006/relationships/hyperlink" Id="rId38" Target="https://whalermike.github.io/uiao/customer-documents/architecture-series/evidence-chain.html" TargetMode="External" /><Relationship Type="http://schemas.openxmlformats.org/officeDocument/2006/relationships/hyperlink" Id="rId40" Target="https://whalermike.github.io/uiao/customer-documents/architecture-series/six-plane-architecture.html" TargetMode="External" /><Relationship Type="http://schemas.openxmlformats.org/officeDocument/2006/relationships/hyperlink" Id="rId36" Target="https://whalermike.github.io/uiao/customer-documents/architecture-series/three-layer-rule-model.html" TargetMode="External" /><Relationship Type="http://schemas.openxmlformats.org/officeDocument/2006/relationships/hyperlink" Id="rId12" Target="https://whalermike.github.io/uiao/customer-documents/executive-briefs/governance-os-overview.html" TargetMode="External" /><Relationship Type="http://schemas.openxmlformats.org/officeDocument/2006/relationships/hyperlink" Id="rId17" Target="https://whalermike.github.io/uiao/customer-documents/orgcomp-series/Vol_X_Book_00_OrgComp_Governance_Substrate_Integration_Overview.html" TargetMode="External" /><Relationship Type="http://schemas.openxmlformats.org/officeDocument/2006/relationships/hyperlink" Id="rId15" Target="https://whalermike.github.io/uiao/customer-documents/orgpath-narrative/Book_15.html" TargetMode="External" /><Relationship Type="http://schemas.openxmlformats.org/officeDocument/2006/relationships/hyperlink" Id="rId14" Target="https://whalermike.github.io/uiao/customer-documents/orgpath-narrative/index.html" TargetMode="External" /><Relationship Type="http://schemas.openxmlformats.org/officeDocument/2006/relationships/hyperlink" Id="rId16" Target="https://whalermike.github.io/uiao/orgmod/index.html" TargetMode="External" /><Relationship Type="http://schemas.openxmlformats.org/officeDocument/2006/relationships/hyperlink" Id="rId13" Target="https://whalermike.github.io/uiao/orgpath/index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github.com/WhalerMike/uiao/blob/main/src/uiao/canon/substrate-manifest.yaml" TargetMode="External" /><Relationship Type="http://schemas.openxmlformats.org/officeDocument/2006/relationships/hyperlink" Id="rId48" Target="https://whalermike.github.io/uiao/customer-documents/ROADMAP.html" TargetMode="External" /><Relationship Type="http://schemas.openxmlformats.org/officeDocument/2006/relationships/hyperlink" Id="rId41" Target="https://whalermike.github.io/uiao/customer-documents/architecture-series/boundary-impact-model.html" TargetMode="External" /><Relationship Type="http://schemas.openxmlformats.org/officeDocument/2006/relationships/hyperlink" Id="rId38" Target="https://whalermike.github.io/uiao/customer-documents/architecture-series/evidence-chain.html" TargetMode="External" /><Relationship Type="http://schemas.openxmlformats.org/officeDocument/2006/relationships/hyperlink" Id="rId40" Target="https://whalermike.github.io/uiao/customer-documents/architecture-series/six-plane-architecture.html" TargetMode="External" /><Relationship Type="http://schemas.openxmlformats.org/officeDocument/2006/relationships/hyperlink" Id="rId36" Target="https://whalermike.github.io/uiao/customer-documents/architecture-series/three-layer-rule-model.html" TargetMode="External" /><Relationship Type="http://schemas.openxmlformats.org/officeDocument/2006/relationships/hyperlink" Id="rId12" Target="https://whalermike.github.io/uiao/customer-documents/executive-briefs/governance-os-overview.html" TargetMode="External" /><Relationship Type="http://schemas.openxmlformats.org/officeDocument/2006/relationships/hyperlink" Id="rId17" Target="https://whalermike.github.io/uiao/customer-documents/orgcomp-series/Vol_X_Book_00_OrgComp_Governance_Substrate_Integration_Overview.html" TargetMode="External" /><Relationship Type="http://schemas.openxmlformats.org/officeDocument/2006/relationships/hyperlink" Id="rId15" Target="https://whalermike.github.io/uiao/customer-documents/orgpath-narrative/Book_15.html" TargetMode="External" /><Relationship Type="http://schemas.openxmlformats.org/officeDocument/2006/relationships/hyperlink" Id="rId14" Target="https://whalermike.github.io/uiao/customer-documents/orgpath-narrative/index.html" TargetMode="External" /><Relationship Type="http://schemas.openxmlformats.org/officeDocument/2006/relationships/hyperlink" Id="rId16" Target="https://whalermike.github.io/uiao/orgmod/index.html" TargetMode="External" /><Relationship Type="http://schemas.openxmlformats.org/officeDocument/2006/relationships/hyperlink" Id="rId13" Target="https://whalermike.github.io/uiao/orgpath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Governance OS — Whitepaper</dc:title>
  <dc:creator>Michael Stratton</dc:creator>
  <cp:keywords/>
  <dcterms:created xsi:type="dcterms:W3CDTF">2026-09-16T14:53:40Z</dcterms:created>
  <dcterms:modified xsi:type="dcterms:W3CDTF">2026-09-16T14:53:40Z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reference">
    <vt:lpwstr/>
  </property>
  <property fmtid="{D5CDD505-2E9C-101B-9397-08002B2CF9AE}" pid="7" name="canon-source">
    <vt:lpwstr>src/uiao/canon/substrate-manifest.yaml</vt:lpwstr>
  </property>
  <property fmtid="{D5CDD505-2E9C-101B-9397-08002B2CF9AE}" pid="8" name="created-at">
    <vt:lpwstr>2026-06-18</vt:lpwstr>
  </property>
  <property fmtid="{D5CDD505-2E9C-101B-9397-08002B2CF9AE}" pid="9" name="date">
    <vt:lpwstr>2026-06-01</vt:lpwstr>
  </property>
  <property fmtid="{D5CDD505-2E9C-101B-9397-08002B2CF9AE}" pid="10" name="derived-from">
    <vt:lpwstr>uiao canon</vt:lpwstr>
  </property>
  <property fmtid="{D5CDD505-2E9C-101B-9397-08002B2CF9AE}" pid="11" name="doc-type">
    <vt:lpwstr>whitepaper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fecycle">
    <vt:lpwstr>adopted</vt:lpwstr>
  </property>
  <property fmtid="{D5CDD505-2E9C-101B-9397-08002B2CF9AE}" pid="17" name="lifecycle_review">
    <vt:lpwstr>2026-11-22</vt:lpwstr>
  </property>
  <property fmtid="{D5CDD505-2E9C-101B-9397-08002B2CF9AE}" pid="18" name="mermaid">
    <vt:lpwstr/>
  </property>
  <property fmtid="{D5CDD505-2E9C-101B-9397-08002B2CF9AE}" pid="19" name="status">
    <vt:lpwstr>Active</vt:lpwstr>
  </property>
  <property fmtid="{D5CDD505-2E9C-101B-9397-08002B2CF9AE}" pid="20" name="subtitle">
    <vt:lpwstr>How deterministic governance replaces attestation-based compliance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1.4</vt:lpwstr>
  </property>
</Properties>
</file>