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  <Override PartName="/word/media/rId16.png" ContentType="image/png"/>
  <Override PartName="/word/media/rId23.png" ContentType="image/png"/>
  <Override PartName="/word/media/rId28.png" ContentType="image/png"/>
  <Override PartName="/word/media/rId44.png" ContentType="image/png"/>
  <Override PartName="/word/media/rId38.png" ContentType="image/png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ns5="urn:schemas-microsoft-com:vml" xmlns:ns6="urn:schemas-microsoft-com:office:office" xmlns:r="http://schemas.openxmlformats.org/officeDocument/2006/relationships" xmlns:w="http://schemas.openxmlformats.org/wordprocessingml/2006/main">
  <w:body>
    <w:p>
      <w:pPr>
        <w:pStyle w:val="Title"/>
      </w:pPr>
      <w:r>
        <w:t xml:space="preserve">Flipping 50,000 Devices to Hybrid Join — The Governed and Ungoverned Paths</w:t>
      </w:r>
    </w:p>
    <w:p>
      <w:pPr>
        <w:pStyle w:val="Subtitle"/>
      </w:pPr>
      <w:r>
        <w:t xml:space="preserve">Why</w:t>
      </w:r>
      <w:r>
        <w:t xml:space="preserve"> </w:t>
      </w:r>
      <w:r>
        <w:t xml:space="preserve">“all sign-in activity comes from managed devices”</w:t>
      </w:r>
      <w:r>
        <w:t xml:space="preserve"> </w:t>
      </w:r>
      <w:r>
        <w:t xml:space="preserve">is a near-effortless tenant switch — and a loss ledger if you take the switch without governance</w:t>
      </w:r>
    </w:p>
    <w:p>
      <w:pPr>
        <w:pStyle w:val="Author"/>
      </w:pPr>
      <w:r>
        <w:t xml:space="preserve">Michael Stratton</w:t>
      </w:r>
    </w:p>
    <w:p>
      <w:pPr>
        <w:pStyle w:val="Date"/>
      </w:pPr>
      <w:r>
        <w:t xml:space="preserve">2026-06-01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0" w:name="X9dbbbe386dd09cb6acdf3978743155fbb712018"/>
    <w:p>
      <w:pPr>
        <w:pStyle w:val="Heading1"/>
      </w:pPr>
      <w:r>
        <w:t xml:space="preserve">Flipping 50,000 Devices to Hybrid Join — The Governed and Ungoverned Paths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ns1:inline>
                  <ns1:extent cx="152400" cy="152400"/>
                  <ns1:effectExtent b="0" l="0" r="0" t="0"/>
                  <ns1:docPr descr="" title="" id="10" name="Picture"/>
                  <ns2:graphic>
                    <ns2:graphicData uri="http://schemas.openxmlformats.org/drawingml/2006/picture">
                      <ns3:pic>
                        <ns3:nvPicPr>
                          <ns3:cNvPr descr="/opt/quarto/share/formats/docx/important.png" id="11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9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152400" cy="152400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Problem, solution, ask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Problem.</w:t>
            </w:r>
            <w:r>
              <w:t xml:space="preserve"> </w:t>
            </w:r>
            <w:r>
              <w:t xml:space="preserve">“All sign-in activity comes from managed devices”</w:t>
            </w:r>
            <w:r>
              <w:t xml:space="preserve"> </w:t>
            </w:r>
            <w:r>
              <w:t xml:space="preserve">is scored T3 —</w:t>
            </w:r>
            <w:r>
              <w:t xml:space="preserve"> </w:t>
            </w:r>
            <w:r>
              <w:t xml:space="preserve">a multi-quarter program — yet converting 50,000 domain-joined devices to Entra</w:t>
            </w:r>
            <w:r>
              <w:t xml:space="preserve"> </w:t>
            </w:r>
            <w:r>
              <w:t xml:space="preserve">hybrid join is a two-setting tenant switch. Taken ungoverned, the fleet</w:t>
            </w:r>
            <w:r>
              <w:t xml:space="preserve"> </w:t>
            </w:r>
            <w:r>
              <w:t xml:space="preserve">converts itself and silently spends a loss ledger: duplicate objects,</w:t>
            </w:r>
            <w:r>
              <w:t xml:space="preserve"> </w:t>
            </w:r>
            <w:r>
              <w:t xml:space="preserve">unattributable device-state changes, devices Conditional Access cannot see —</w:t>
            </w:r>
            <w:r>
              <w:t xml:space="preserve"> </w:t>
            </w:r>
            <w:r>
              <w:t xml:space="preserve">with nobody having decided anything.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Solution.</w:t>
            </w:r>
            <w:r>
              <w:t xml:space="preserve"> </w:t>
            </w:r>
            <w:r>
              <w:t xml:space="preserve">The governed path reaches the same end state under UIAO’s</w:t>
            </w:r>
            <w:r>
              <w:t xml:space="preserve"> </w:t>
            </w:r>
            <w:r>
              <w:t xml:space="preserve">active-governance control plane: enter at L1 Observe in report-only mode,</w:t>
            </w:r>
            <w:r>
              <w:t xml:space="preserve"> </w:t>
            </w:r>
            <w:r>
              <w:t xml:space="preserve">sequence OrgPath-scoped waves, and gate every L3 enforcement class on coverage</w:t>
            </w:r>
            <w:r>
              <w:t xml:space="preserve"> </w:t>
            </w:r>
            <w:r>
              <w:t xml:space="preserve">data and AO sign-off, so enforcement never runs ahead of the inventory it</w:t>
            </w:r>
            <w:r>
              <w:t xml:space="preserve"> </w:t>
            </w:r>
            <w:r>
              <w:t xml:space="preserve">depends on.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Ask.</w:t>
            </w:r>
            <w:r>
              <w:t xml:space="preserve"> </w:t>
            </w:r>
            <w:r>
              <w:t xml:space="preserve">Find out whether the ungoverned path is already live (SCP + GPO</w:t>
            </w:r>
            <w:r>
              <w:t xml:space="preserve"> </w:t>
            </w:r>
            <w:r>
              <w:t xml:space="preserve">auto-registration, and since when); run the fleet against the loss ledger in</w:t>
            </w:r>
            <w:r>
              <w:t xml:space="preserve"> </w:t>
            </w:r>
            <w:r>
              <w:t xml:space="preserve">§3 before any Conditional Access policy enforces; and name the wave owner who</w:t>
            </w:r>
            <w:r>
              <w:t xml:space="preserve"> </w:t>
            </w:r>
            <w:r>
              <w:t xml:space="preserve">holds the plan, the sign-offs, and the rollback. The four steps are in the</w:t>
            </w:r>
            <w:r>
              <w:t xml:space="preserve"> </w:t>
            </w:r>
            <w:r>
              <w:t xml:space="preserve">Call to Action.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ns1:inline>
                  <ns1:extent cx="152400" cy="152400"/>
                  <ns1:effectExtent b="0" l="0" r="0" t="0"/>
                  <ns1:docPr descr="" title="" id="13" name="Picture"/>
                  <ns2:graphic>
                    <ns2:graphicData uri="http://schemas.openxmlformats.org/drawingml/2006/picture">
                      <ns3:pic>
                        <ns3:nvPicPr>
                          <ns3:cNvPr descr="/opt/quarto/share/formats/docx/note.png" id="14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12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152400" cy="152400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 this whitepaper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federal Zero-Trust baseline carries a control that reads, in full,</w:t>
            </w:r>
            <w:r>
              <w:t xml:space="preserve"> </w:t>
            </w:r>
            <w:r>
              <w:rPr>
                <w:i/>
                <w:iCs/>
              </w:rPr>
              <w:t xml:space="preserve">“All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sign-in activity comes from managed devices”</w:t>
            </w:r>
            <w:r>
              <w:t xml:space="preserve"> </w:t>
            </w:r>
            <w:r>
              <w:t xml:space="preserve">— satisfied in practice by</w:t>
            </w:r>
            <w:r>
              <w:t xml:space="preserve"> </w:t>
            </w:r>
            <w:r>
              <w:rPr>
                <w:b/>
                <w:bCs/>
              </w:rPr>
              <w:t xml:space="preserve">requiring compliant or hybrid-joined devices with Conditional Access</w:t>
            </w:r>
            <w:r>
              <w:t xml:space="preserve">. On 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AD-to-Entra crosswalk</w:t>
              </w:r>
            </w:hyperlink>
            <w:r>
              <w:t xml:space="preserve"> </w:t>
            </w:r>
            <w:r>
              <w:t xml:space="preserve">that single line is scored</w:t>
            </w:r>
            <w:r>
              <w:t xml:space="preserve"> </w:t>
            </w:r>
            <w:r>
              <w:rPr>
                <w:b/>
                <w:bCs/>
              </w:rPr>
              <w:t xml:space="preserve">T3 — a multi-quarter program gated on device, Intune,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 join maturity.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This paper takes one agency-scale instance of that control —</w:t>
            </w:r>
            <w:r>
              <w:t xml:space="preserve"> </w:t>
            </w:r>
            <w:r>
              <w:rPr>
                <w:i/>
                <w:iCs/>
              </w:rPr>
              <w:t xml:space="preserve">“move 50,000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domain-joined Windows devices into Microsoft Entra hybrid join”</w:t>
            </w:r>
            <w:r>
              <w:t xml:space="preserve"> </w:t>
            </w:r>
            <w:r>
              <w:t xml:space="preserve">— and walks it</w:t>
            </w:r>
            <w:r>
              <w:t xml:space="preserve"> </w:t>
            </w:r>
            <w:r>
              <w:t xml:space="preserve">down</w:t>
            </w:r>
            <w:r>
              <w:t xml:space="preserve"> </w:t>
            </w:r>
            <w:r>
              <w:rPr>
                <w:b/>
                <w:bCs/>
              </w:rPr>
              <w:t xml:space="preserve">two paths</w:t>
            </w:r>
            <w:r>
              <w:t xml:space="preserve">. The</w:t>
            </w:r>
            <w:r>
              <w:t xml:space="preserve"> </w:t>
            </w:r>
            <w:r>
              <w:rPr>
                <w:b/>
                <w:bCs/>
              </w:rPr>
              <w:t xml:space="preserve">ungoverned path</w:t>
            </w:r>
            <w:r>
              <w:t xml:space="preserve"> </w:t>
            </w:r>
            <w:r>
              <w:t xml:space="preserve">is a near-effortless tenant switch:</w:t>
            </w:r>
            <w:r>
              <w:t xml:space="preserve"> </w:t>
            </w:r>
            <w:r>
              <w:t xml:space="preserve">two settings and the fleet converts itself. The</w:t>
            </w:r>
            <w:r>
              <w:t xml:space="preserve"> </w:t>
            </w:r>
            <w:r>
              <w:rPr>
                <w:b/>
                <w:bCs/>
              </w:rPr>
              <w:t xml:space="preserve">governed path</w:t>
            </w:r>
            <w:r>
              <w:t xml:space="preserve"> </w:t>
            </w:r>
            <w:r>
              <w:t xml:space="preserve">reaches the</w:t>
            </w:r>
            <w:r>
              <w:t xml:space="preserve"> </w:t>
            </w:r>
            <w:r>
              <w:t xml:space="preserve">same end state under UIAO’s active-governance control plane. The gap between them</w:t>
            </w:r>
            <w:r>
              <w:t xml:space="preserve"> </w:t>
            </w:r>
            <w:r>
              <w:t xml:space="preserve">is the subject of this paper, expressed as a</w:t>
            </w:r>
            <w:r>
              <w:t xml:space="preserve"> </w:t>
            </w:r>
            <w:r>
              <w:rPr>
                <w:b/>
                <w:bCs/>
              </w:rPr>
              <w:t xml:space="preserve">loss ledger</w:t>
            </w:r>
            <w:r>
              <w:t xml:space="preserve">: what classic AD</w:t>
            </w:r>
            <w:r>
              <w:t xml:space="preserve"> </w:t>
            </w:r>
            <w:r>
              <w:t xml:space="preserve">gave you, what an ungoverned flip silently spends, and what governed</w:t>
            </w:r>
            <w:r>
              <w:t xml:space="preserve"> </w:t>
            </w:r>
            <w:r>
              <w:t xml:space="preserve">reconciliation restores.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ns1:inline>
                  <ns1:extent cx="152400" cy="152400"/>
                  <ns1:effectExtent b="0" l="0" r="0" t="0"/>
                  <ns1:docPr descr="" title="" id="17" name="Picture"/>
                  <ns2:graphic>
                    <ns2:graphicData uri="http://schemas.openxmlformats.org/drawingml/2006/picture">
                      <ns3:pic>
                        <ns3:nvPicPr>
                          <ns3:cNvPr descr="/opt/quarto/share/formats/docx/tip.png" id="18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16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152400" cy="152400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one sentence this turns 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lockText"/>
            </w:pPr>
            <w:r>
              <w:t xml:space="preserve">The mechanism to convert a 50,000-seat estate to hybrid join requires</w:t>
            </w:r>
            <w:r>
              <w:t xml:space="preserve"> </w:t>
            </w:r>
            <w:r>
              <w:rPr>
                <w:b/>
                <w:bCs/>
              </w:rPr>
              <w:t xml:space="preserve">almost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no governance</w:t>
            </w:r>
            <w:r>
              <w:t xml:space="preserve"> </w:t>
            </w:r>
            <w:r>
              <w:t xml:space="preserve">— and that is exactly why doing it ungoverned is dangerous. The</w:t>
            </w:r>
            <w:r>
              <w:t xml:space="preserve"> </w:t>
            </w:r>
            <w:r>
              <w:t xml:space="preserve">provider data plane makes the bulk state change effortless; governance is</w:t>
            </w:r>
            <w:r>
              <w:t xml:space="preserve"> </w:t>
            </w:r>
            <w:r>
              <w:t xml:space="preserve">precisely the part the mechanism does</w:t>
            </w:r>
            <w:r>
              <w:t xml:space="preserve"> </w:t>
            </w:r>
            <w:r>
              <w:rPr>
                <w:i/>
                <w:iCs/>
              </w:rPr>
              <w:t xml:space="preserve">not</w:t>
            </w:r>
            <w:r>
              <w:t xml:space="preserve"> </w:t>
            </w:r>
            <w:r>
              <w:t xml:space="preserve">require, so it is the part that</w:t>
            </w:r>
            <w:r>
              <w:t xml:space="preserve"> </w:t>
            </w:r>
            <w:r>
              <w:t xml:space="preserve">gets skipped.</w:t>
            </w:r>
            <w:r>
              <w:t xml:space="preserve"> </w:t>
            </w:r>
            <w:r>
              <w:t xml:space="preserve">— anchored to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ADR-092 Active Governance</w:t>
              </w:r>
            </w:hyperlink>
          </w:p>
          <w:p/>
        </w:tc>
      </w:tr>
    </w:tbl>
    <w:p>
      <w:r>
        <w:pict>
          <ns5:rect style="width:0;height:1.5pt" ns6:hralign="center" ns6:hrstd="t" ns6:hr="t"/>
        </w:pict>
      </w:r>
    </w:p>
    <w:bookmarkStart w:id="20" w:name="the-control-being-satisfied"/>
    <w:p>
      <w:pPr>
        <w:pStyle w:val="Heading2"/>
      </w:pPr>
      <w:r>
        <w:t xml:space="preserve">1. The control being satisfied</w:t>
      </w:r>
    </w:p>
    <w:p>
      <w:pPr>
        <w:pStyle w:val="FirstParagraph"/>
      </w:pPr>
      <w:r>
        <w:t xml:space="preserve">The crosswalk scores the control like this: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760"/>
        <w:gridCol w:w="176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AD-friction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sign-in activity comes from managed devices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</w:t>
            </w:r>
            <w:r>
              <w:t xml:space="preserve"> </w:t>
            </w:r>
            <w:r>
              <w:rPr>
                <w:i/>
                <w:iCs/>
              </w:rPr>
              <w:t xml:space="preserve">(Intune + join maturity)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T3</w:t>
            </w:r>
          </w:p>
        </w:tc>
      </w:tr>
    </w:tbl>
    <w:p>
      <w:pPr>
        <w:pStyle w:val="BodyText"/>
      </w:pPr>
      <w:r>
        <w:t xml:space="preserve">The 🔴 and the</w:t>
      </w:r>
      <w:r>
        <w:t xml:space="preserve"> </w:t>
      </w:r>
      <w:r>
        <w:rPr>
          <w:b/>
          <w:bCs/>
        </w:rPr>
        <w:t xml:space="preserve">T3</w:t>
      </w:r>
      <w:r>
        <w:t xml:space="preserve"> </w:t>
      </w:r>
      <w:r>
        <w:t xml:space="preserve">are the whole story. The</w:t>
      </w:r>
      <w:r>
        <w:t xml:space="preserve"> </w:t>
      </w:r>
      <w:r>
        <w:rPr>
          <w:i/>
          <w:iCs/>
        </w:rPr>
        <w:t xml:space="preserve">license</w:t>
      </w:r>
      <w:r>
        <w:t xml:space="preserve"> </w:t>
      </w:r>
      <w:r>
        <w:t xml:space="preserve">is already in hand (P1</w:t>
      </w:r>
      <w:r>
        <w:t xml:space="preserve"> </w:t>
      </w:r>
      <w:r>
        <w:t xml:space="preserve">ships with M365 G5) and the feature is</w:t>
      </w:r>
      <w:r>
        <w:t xml:space="preserve"> </w:t>
      </w:r>
      <w:r>
        <w:rPr>
          <w:i/>
          <w:iCs/>
        </w:rPr>
        <w:t xml:space="preserve">available</w:t>
      </w:r>
      <w:r>
        <w:t xml:space="preserve"> </w:t>
      </w:r>
      <w:r>
        <w:t xml:space="preserve">in government cloud (✅). What</w:t>
      </w:r>
      <w:r>
        <w:t xml:space="preserve"> </w:t>
      </w:r>
      <w:r>
        <w:t xml:space="preserve">makes it a multi-quarter program is not the toggle — it is the</w:t>
      </w:r>
      <w:r>
        <w:t xml:space="preserve"> </w:t>
      </w:r>
      <w:r>
        <w:rPr>
          <w:b/>
          <w:bCs/>
        </w:rPr>
        <w:t xml:space="preserve">20 years of</w:t>
      </w:r>
      <w:r>
        <w:rPr>
          <w:b/>
          <w:bCs/>
        </w:rPr>
        <w:t xml:space="preserve"> </w:t>
      </w:r>
      <w:r>
        <w:rPr>
          <w:b/>
          <w:bCs/>
        </w:rPr>
        <w:t xml:space="preserve">Active Directory entanglement</w:t>
      </w:r>
      <w:r>
        <w:t xml:space="preserve"> </w:t>
      </w:r>
      <w:r>
        <w:t xml:space="preserve">the toggle sits on top of. The ungoverned path,</w:t>
      </w:r>
      <w:r>
        <w:t xml:space="preserve"> </w:t>
      </w:r>
      <w:r>
        <w:t xml:space="preserve">below, is what it looks like when an organization treats the 🔴 as if it were a</w:t>
      </w:r>
      <w:r>
        <w:t xml:space="preserve"> </w:t>
      </w:r>
      <w:r>
        <w:t xml:space="preserve">🟢.</w:t>
      </w:r>
    </w:p>
    <w:p>
      <w:r>
        <w:pict>
          <ns5:rect style="width:0;height:1.5pt" ns6:hralign="center" ns6:hrstd="t" ns6:hr="t"/>
        </w:pict>
      </w:r>
    </w:p>
    <w:bookmarkEnd w:id="20"/>
    <w:bookmarkStart w:id="27" w:name="Xa2a9b0cc238b0e8b0ab57819f5a11ea148d69c0"/>
    <w:p>
      <w:pPr>
        <w:pStyle w:val="Heading2"/>
      </w:pPr>
      <w:r>
        <w:t xml:space="preserve">2. The ungoverned path — a tenant switch, not 50,000 decisions</w:t>
      </w:r>
    </w:p>
    <w:p>
      <w:pPr>
        <w:pStyle w:val="FirstParagraph"/>
      </w:pPr>
      <w:r>
        <w:t xml:space="preserve">Converting an existing AD-domain-joined fleet to Entra</w:t>
      </w:r>
      <w:r>
        <w:t xml:space="preserve"> </w:t>
      </w:r>
      <w:r>
        <w:rPr>
          <w:b/>
          <w:bCs/>
        </w:rPr>
        <w:t xml:space="preserve">hybrid join</w:t>
      </w:r>
      <w:r>
        <w:t xml:space="preserve"> </w:t>
      </w:r>
      <w:r>
        <w:t xml:space="preserve">is, at the</w:t>
      </w:r>
      <w:r>
        <w:t xml:space="preserve"> </w:t>
      </w:r>
      <w:r>
        <w:t xml:space="preserve">mechanism level, a</w:t>
      </w:r>
      <w:r>
        <w:t xml:space="preserve"> </w:t>
      </w:r>
      <w:r>
        <w:rPr>
          <w:i/>
          <w:iCs/>
        </w:rPr>
        <w:t xml:space="preserve">fleet-wide switch</w:t>
      </w:r>
      <w:r>
        <w:t xml:space="preserve"> </w:t>
      </w:r>
      <w:r>
        <w:t xml:space="preserve">— not a per-device project: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Sync the computer objects.</w:t>
      </w:r>
      <w:r>
        <w:t xml:space="preserve"> </w:t>
      </w:r>
      <w:r>
        <w:t xml:space="preserve">Entra Connect (or Entra Cloud Sync) is almost</w:t>
      </w:r>
      <w:r>
        <w:t xml:space="preserve"> </w:t>
      </w:r>
      <w:r>
        <w:t xml:space="preserve">certainly already syncing your users; extend the scope to synchronize the</w:t>
      </w:r>
      <w:r>
        <w:t xml:space="preserve"> </w:t>
      </w:r>
      <w:r>
        <w:t xml:space="preserve">computer objects.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Set the Service Connection Point (SCP) once.</w:t>
      </w:r>
      <w:r>
        <w:t xml:space="preserve"> </w:t>
      </w:r>
      <w:r>
        <w:t xml:space="preserve">Either the Entra Connect</w:t>
      </w:r>
      <w:r>
        <w:t xml:space="preserve"> </w:t>
      </w:r>
      <w:r>
        <w:t xml:space="preserve">configuration wizard writes the SCP into AD’s Configuration partition, or you</w:t>
      </w:r>
      <w:r>
        <w:t xml:space="preserve"> </w:t>
      </w:r>
      <w:r>
        <w:t xml:space="preserve">push the</w:t>
      </w:r>
      <w:r>
        <w:t xml:space="preserve"> </w:t>
      </w:r>
      <w:r>
        <w:rPr>
          <w:i/>
          <w:iCs/>
        </w:rPr>
        <w:t xml:space="preserve">“Register domain-joined computers as devices”</w:t>
      </w:r>
      <w:r>
        <w:t xml:space="preserve"> </w:t>
      </w:r>
      <w:r>
        <w:t xml:space="preserve">device-registration</w:t>
      </w:r>
      <w:r>
        <w:t xml:space="preserve"> </w:t>
      </w:r>
      <w:r>
        <w:t xml:space="preserve">policy by GPO. The SCP stamps every domain-joined machine with the tenant ID</w:t>
      </w:r>
      <w:r>
        <w:t xml:space="preserve"> </w:t>
      </w:r>
      <w:r>
        <w:t xml:space="preserve">and a verified domain name — its instructions for where to register.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devices register themselves.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Automatic-Device-Join</w:t>
      </w:r>
      <w:r>
        <w:t xml:space="preserve"> </w:t>
      </w:r>
      <w:r>
        <w:t xml:space="preserve">scheduled task fires on the next logon or reboot, the</w:t>
      </w:r>
      <w:r>
        <w:t xml:space="preserve"> </w:t>
      </w:r>
      <w:r>
        <w:t xml:space="preserve">device reaches</w:t>
      </w:r>
      <w:r>
        <w:t xml:space="preserve"> </w:t>
      </w:r>
      <w:r>
        <w:rPr>
          <w:rStyle w:val="VerbatimChar"/>
        </w:rPr>
        <w:t xml:space="preserve">enterpriseregistration.windows.net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device.login.microsoftonline.com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login.microsoftonline.com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autologon.microsoftazuread-sso.com</w:t>
      </w:r>
      <w:r>
        <w:t xml:space="preserve"> </w:t>
      </w:r>
      <w:r>
        <w:t xml:space="preserve">for Seamless SSO), an Entra</w:t>
      </w:r>
      <w:r>
        <w:t xml:space="preserve"> </w:t>
      </w:r>
      <w:r>
        <w:rPr>
          <w:b/>
          <w:bCs/>
        </w:rPr>
        <w:t xml:space="preserve">device</w:t>
      </w:r>
      <w:r>
        <w:rPr>
          <w:b/>
          <w:bCs/>
        </w:rPr>
        <w:t xml:space="preserve"> </w:t>
      </w:r>
      <w:r>
        <w:rPr>
          <w:b/>
          <w:bCs/>
        </w:rPr>
        <w:t xml:space="preserve">object</w:t>
      </w:r>
      <w:r>
        <w:t xml:space="preserve"> </w:t>
      </w:r>
      <w:r>
        <w:t xml:space="preserve">is created, and the device receives a</w:t>
      </w:r>
      <w:r>
        <w:t xml:space="preserve"> </w:t>
      </w:r>
      <w:r>
        <w:rPr>
          <w:b/>
          <w:bCs/>
        </w:rPr>
        <w:t xml:space="preserve">Primary Refresh Token (PRT)</w:t>
      </w:r>
      <w:r>
        <w:t xml:space="preserve"> </w:t>
      </w:r>
      <w:r>
        <w:t xml:space="preserve">for cloud SSO.</w:t>
      </w:r>
      <w:r>
        <w:t xml:space="preserve"> </w:t>
      </w:r>
      <w:r>
        <w:rPr>
          <w:rStyle w:val="VerbatimChar"/>
        </w:rPr>
        <w:t xml:space="preserve">dsregcmd /status</w:t>
      </w:r>
      <w:r>
        <w:t xml:space="preserve"> </w:t>
      </w:r>
      <w:r>
        <w:t xml:space="preserve">then shows</w:t>
      </w:r>
      <w:r>
        <w:t xml:space="preserve"> </w:t>
      </w:r>
      <w:r>
        <w:rPr>
          <w:rStyle w:val="VerbatimChar"/>
        </w:rPr>
        <w:t xml:space="preserve">AzureAdJoined : YES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DomainJoined : YES</w:t>
      </w:r>
      <w:r>
        <w:t xml:space="preserve">.</w:t>
      </w:r>
    </w:p>
    <w:p>
      <w:pPr>
        <w:pStyle w:val="FirstParagraph"/>
      </w:pPr>
      <w:r>
        <w:t xml:space="preserve">That is the entire mechanism. One SCP, one GPO, and the whole estate begins</w:t>
      </w:r>
      <w:r>
        <w:t xml:space="preserve"> </w:t>
      </w:r>
      <w:r>
        <w:t xml:space="preserve">flipping state on its own schedule.</w:t>
      </w:r>
      <w:r>
        <w:t xml:space="preserve"> </w:t>
      </w:r>
      <w:r>
        <w:rPr>
          <w:b/>
          <w:bCs/>
        </w:rPr>
        <w:t xml:space="preserve">There is no per-device gate, no ownership</w:t>
      </w:r>
      <w:r>
        <w:rPr>
          <w:b/>
          <w:bCs/>
        </w:rPr>
        <w:t xml:space="preserve"> </w:t>
      </w:r>
      <w:r>
        <w:rPr>
          <w:b/>
          <w:bCs/>
        </w:rPr>
        <w:t xml:space="preserve">check, no organizational-position check, and no reconciliation step anywhere in</w:t>
      </w:r>
      <w:r>
        <w:rPr>
          <w:b/>
          <w:bCs/>
        </w:rPr>
        <w:t xml:space="preserve"> </w:t>
      </w:r>
      <w:r>
        <w:rPr>
          <w:b/>
          <w:bCs/>
        </w:rPr>
        <w:t xml:space="preserve">that path.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Microsoft Learn — plan hybrid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join</w:t>
        </w:r>
      </w:hyperlink>
      <w:r>
        <w:t xml:space="preserve"> </w:t>
      </w:r>
      <w:r>
        <w:t xml:space="preserve">·</w:t>
      </w:r>
      <w:r>
        <w:t xml:space="preserve"> </w:t>
      </w:r>
      <w:hyperlink r:id="rId22">
        <w:r>
          <w:rPr>
            <w:rStyle w:val="Hyperlink"/>
          </w:rPr>
          <w:t xml:space="preserve">how-to</w:t>
        </w:r>
      </w:hyperlink>
      <w:r>
        <w:t xml:space="preserve">)</w:t>
      </w:r>
    </w:p>
    <w:p>
      <w:pPr>
        <w:pStyle w:val="BodyText"/>
      </w:pPr>
      <w:r>
        <w:t xml:space="preserve">That effortlessness is not a convenience. It is the hazard: the control’s intent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every sign-in comes from a known, owned, managed device</w:t>
      </w:r>
      <w:r>
        <w:t xml:space="preserve"> </w:t>
      </w:r>
      <w:r>
        <w:t xml:space="preserve">— gets converted into</w:t>
      </w:r>
      <w:r>
        <w:t xml:space="preserve"> </w:t>
      </w:r>
      <w:r>
        <w:rPr>
          <w:b/>
          <w:bCs/>
        </w:rPr>
        <w:t xml:space="preserve">50,000 untracked state changes</w:t>
      </w:r>
      <w:r>
        <w:t xml:space="preserve"> </w:t>
      </w:r>
      <w:r>
        <w:t xml:space="preserve">that no one can subsequently attribute.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ungoverned-switch"/>
          <w:p>
            <w:pPr>
              <w:pStyle w:val="Compact"/>
              <w:jc w:val="center"/>
            </w:pPr>
            <w:r>
              <w:drawing>
                <ns1:inline>
                  <ns1:extent cx="5334000" cy="3000375"/>
                  <ns1:effectExtent b="0" l="0" r="0" t="0"/>
                  <ns1:docPr descr="" title="" id="24" name="Picture"/>
                  <ns2:graphic>
                    <ns2:graphicData uri="http://schemas.openxmlformats.org/drawingml/2006/picture">
                      <ns3:pic>
                        <ns3:nvPicPr>
                          <ns3:cNvPr descr="images/hybrid-join-without-governance-diagram-01-ungoverned-switch.png" id="25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23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5334000" cy="3000375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ungoverned switch — one SCP plus one GPO drives the Automatic-Device-Join task, and 50,000 devices auto-register on their own schedule with no per-device gate, ownership check, OrgPath, or reconciliation step</w:t>
            </w:r>
          </w:p>
          <w:bookmarkEnd w:id="26"/>
        </w:tc>
      </w:tr>
    </w:tbl>
    <w:p>
      <w:r>
        <w:pict>
          <ns5:rect style="width:0;height:1.5pt" ns6:hralign="center" ns6:hrstd="t" ns6:hr="t"/>
        </w:pict>
      </w:r>
    </w:p>
    <w:bookmarkEnd w:id="27"/>
    <w:bookmarkStart w:id="35" w:name="Xf1b9ae6afb0049b2ef7f71b04ef9fd0cab7b246"/>
    <w:p>
      <w:pPr>
        <w:pStyle w:val="Heading2"/>
      </w:pPr>
      <w:r>
        <w:t xml:space="preserve">3. The loss ledger — what</w:t>
      </w:r>
      <w:r>
        <w:t xml:space="preserve"> </w:t>
      </w:r>
      <w:r>
        <w:t xml:space="preserve">“ungoverned”</w:t>
      </w:r>
      <w:r>
        <w:t xml:space="preserve"> </w:t>
      </w:r>
      <w:r>
        <w:t xml:space="preserve">actually spends</w:t>
      </w:r>
    </w:p>
    <w:p>
      <w:pPr>
        <w:pStyle w:val="FirstParagraph"/>
      </w:pPr>
      <w:r>
        <w:t xml:space="preserve">Classic AD was a creaky governance system, but it</w:t>
      </w:r>
      <w:r>
        <w:t xml:space="preserve"> </w:t>
      </w:r>
      <w:r>
        <w:rPr>
          <w:i/>
          <w:iCs/>
        </w:rPr>
        <w:t xml:space="preserve">was</w:t>
      </w:r>
      <w:r>
        <w:t xml:space="preserve"> </w:t>
      </w:r>
      <w:r>
        <w:t xml:space="preserve">a governance system: a</w:t>
      </w:r>
      <w:r>
        <w:t xml:space="preserve"> </w:t>
      </w:r>
      <w:r>
        <w:t xml:space="preserve">computer object lived in an OU, had a delegated admin lineage, and was visible to</w:t>
      </w:r>
      <w:r>
        <w:t xml:space="preserve"> </w:t>
      </w:r>
      <w:r>
        <w:t xml:space="preserve">the same console that governed everything else. An ungoverned hybrid-join flip</w:t>
      </w:r>
      <w:r>
        <w:t xml:space="preserve"> </w:t>
      </w:r>
      <w:r>
        <w:t xml:space="preserve">keeps the</w:t>
      </w:r>
      <w:r>
        <w:t xml:space="preserve"> </w:t>
      </w:r>
      <w:r>
        <w:rPr>
          <w:i/>
          <w:iCs/>
        </w:rPr>
        <w:t xml:space="preserve">connectivity</w:t>
      </w:r>
      <w:r>
        <w:t xml:space="preserve"> </w:t>
      </w:r>
      <w:r>
        <w:t xml:space="preserve">benefit (cloud SSO, Conditional Access eligibility) while</w:t>
      </w:r>
      <w:r>
        <w:t xml:space="preserve"> </w:t>
      </w:r>
      <w:r>
        <w:t xml:space="preserve">quietly discarding the governance scaffolding underneath.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three-plane"/>
          <w:p>
            <w:pPr>
              <w:pStyle w:val="Compact"/>
              <w:jc w:val="center"/>
            </w:pPr>
            <w:r>
              <w:drawing>
                <ns1:inline>
                  <ns1:extent cx="5334000" cy="3000375"/>
                  <ns1:effectExtent b="0" l="0" r="0" t="0"/>
                  <ns1:docPr descr="" title="" id="29" name="Picture"/>
                  <ns2:graphic>
                    <ns2:graphicData uri="http://schemas.openxmlformats.org/drawingml/2006/picture">
                      <ns3:pic>
                        <ns3:nvPicPr>
                          <ns3:cNvPr descr="images/hybrid-join-without-governance-diagram-02-three-plane-fragmentation.png" id="30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28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5334000" cy="3000375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Hybrid join splits one machine’s truth across three systems of record — Active Directory (computer object), Entra ID (device object + PRT), and Intune (compliance state) — with nothing reconciling them, the condition canon names DRIFT-SSOT-CONTENTION</w:t>
            </w:r>
          </w:p>
          <w:bookmarkEnd w:id="31"/>
        </w:tc>
      </w:tr>
    </w:tbl>
    <w:p>
      <w:pPr>
        <w:pStyle w:val="BodyText"/>
      </w:pPr>
      <w:r>
        <w:t xml:space="preserve">The ledger: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 under classic AD</w:t>
            </w:r>
          </w:p>
        </w:tc>
        <w:tc>
          <w:tcPr/>
          <w:p>
            <w:pPr>
              <w:pStyle w:val="Compact"/>
            </w:pPr>
            <w:r>
              <w:t xml:space="preserve">What an ungoverned hybrid-join flip loses</w:t>
            </w:r>
          </w:p>
        </w:tc>
        <w:tc>
          <w:tcPr/>
          <w:p>
            <w:pPr>
              <w:pStyle w:val="Compact"/>
            </w:pPr>
            <w:r>
              <w:t xml:space="preserve">What governed reconciliation restores (canon)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Ownership</w:t>
            </w:r>
            <w:r>
              <w:t xml:space="preserve"> </w:t>
            </w:r>
            <w:r>
              <w:t xml:space="preserve">— each computer object sat in an OU with a delegated admin lineage</w:t>
            </w:r>
          </w:p>
        </w:tc>
        <w:tc>
          <w:tcPr/>
          <w:p>
            <w:pPr>
              <w:pStyle w:val="Compact"/>
            </w:pPr>
            <w:r>
              <w:t xml:space="preserve">New Entra device objects appear with no human-owner mapping and no organizational position;</w:t>
            </w:r>
            <w:r>
              <w:t xml:space="preserve"> </w:t>
            </w:r>
            <w:r>
              <w:t xml:space="preserve">“who owns this device, in what part of the org”</w:t>
            </w:r>
            <w:r>
              <w:t xml:space="preserve"> </w:t>
            </w:r>
            <w:r>
              <w:t xml:space="preserve">is unanswerable at scale</w:t>
            </w:r>
          </w:p>
        </w:tc>
        <w:tc>
          <w:tcPr/>
          <w:p>
            <w:pPr>
              <w:pStyle w:val="Compact"/>
            </w:pPr>
            <w:r>
              <w:t xml:space="preserve">Every governed object</w:t>
            </w:r>
            <w:r>
              <w:t xml:space="preserve"> </w:t>
            </w:r>
            <w:r>
              <w:rPr>
                <w:b/>
                <w:bCs/>
              </w:rPr>
              <w:t xml:space="preserve">carries OrgPath</w:t>
            </w:r>
            <w:r>
              <w:t xml:space="preserve">; ownership and scoping</w:t>
            </w:r>
            <w:r>
              <w:t xml:space="preserve"> </w:t>
            </w:r>
            <w:r>
              <w:rPr>
                <w:b/>
                <w:bCs/>
              </w:rPr>
              <w:t xml:space="preserve">compose against</w:t>
            </w:r>
            <w:r>
              <w:t xml:space="preserve"> </w:t>
            </w:r>
            <w:r>
              <w:t xml:space="preserve">it (</w:t>
            </w:r>
            <w:hyperlink r:id="rId32">
              <w:r>
                <w:rPr>
                  <w:rStyle w:val="Hyperlink"/>
                </w:rPr>
                <w:t xml:space="preserve">UIAO_151</w:t>
              </w:r>
            </w:hyperlink>
            <w:r>
              <w:t xml:space="preserve">,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ADR-092 §2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One object per machine</w:t>
            </w:r>
            <w:r>
              <w:t xml:space="preserve"> </w:t>
            </w:r>
            <w:r>
              <w:t xml:space="preserve">— the AD computer object was the single record</w:t>
            </w:r>
          </w:p>
        </w:tc>
        <w:tc>
          <w:tcPr/>
          <w:p>
            <w:pPr>
              <w:pStyle w:val="Compact"/>
            </w:pPr>
            <w:r>
              <w:t xml:space="preserve">Prior Workplace-Join/registered states and stale-but-still-syncing AD objects produce</w:t>
            </w:r>
            <w:r>
              <w:t xml:space="preserve"> </w:t>
            </w:r>
            <w:r>
              <w:rPr>
                <w:b/>
                <w:bCs/>
              </w:rPr>
              <w:t xml:space="preserve">duplicate and phantom</w:t>
            </w:r>
            <w:r>
              <w:t xml:space="preserve"> </w:t>
            </w:r>
            <w:r>
              <w:t xml:space="preserve">device records that read as</w:t>
            </w:r>
            <w:r>
              <w:t xml:space="preserve"> </w:t>
            </w:r>
            <w:r>
              <w:t xml:space="preserve">“managed”</w:t>
            </w:r>
          </w:p>
        </w:tc>
        <w:tc>
          <w:tcPr/>
          <w:p>
            <w:pPr>
              <w:pStyle w:val="Compact"/>
            </w:pPr>
            <w:r>
              <w:t xml:space="preserve">The reconciliation loop detects the divergence as</w:t>
            </w:r>
            <w:r>
              <w:t xml:space="preserve"> </w:t>
            </w:r>
            <w:hyperlink r:id="rId33">
              <w:r>
                <w:rPr>
                  <w:rStyle w:val="VerbatimChar"/>
                </w:rPr>
                <w:t xml:space="preserve">DRIFT-SSOT-CONTENTION</w:t>
              </w:r>
            </w:hyperlink>
            <w:r>
              <w:t xml:space="preserve"> </w:t>
            </w:r>
            <w:r>
              <w:t xml:space="preserve">and de-duplicates against canon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Scoped, gradual rollout</w:t>
            </w:r>
            <w:r>
              <w:t xml:space="preserve"> </w:t>
            </w:r>
            <w:r>
              <w:t xml:space="preserve">— GPO applied per-OU, in waves</w:t>
            </w:r>
          </w:p>
        </w:tc>
        <w:tc>
          <w:tcPr/>
          <w:p>
            <w:pPr>
              <w:pStyle w:val="Compact"/>
            </w:pPr>
            <w:r>
              <w:t xml:space="preserve">Turning the Conditional Access</w:t>
            </w:r>
            <w:r>
              <w:t xml:space="preserve"> </w:t>
            </w:r>
            <w:r>
              <w:t xml:space="preserve">“require compliant</w:t>
            </w:r>
            <w:r>
              <w:t xml:space="preserve"> </w:t>
            </w:r>
            <w:r>
              <w:rPr>
                <w:i/>
                <w:iCs/>
              </w:rPr>
              <w:t xml:space="preserve">or</w:t>
            </w:r>
            <w:r>
              <w:t xml:space="preserve"> </w:t>
            </w:r>
            <w:r>
              <w:t xml:space="preserve">hybrid joined”</w:t>
            </w:r>
            <w:r>
              <w:t xml:space="preserve"> </w:t>
            </w:r>
            <w:r>
              <w:t xml:space="preserve">policy to</w:t>
            </w:r>
            <w:r>
              <w:t xml:space="preserve"> </w:t>
            </w:r>
            <w:r>
              <w:rPr>
                <w:b/>
                <w:bCs/>
              </w:rPr>
              <w:t xml:space="preserve">enforce</w:t>
            </w:r>
            <w:r>
              <w:t xml:space="preserve"> </w:t>
            </w:r>
            <w:r>
              <w:t xml:space="preserve">before registration has actually completed fleet-wide →</w:t>
            </w:r>
            <w:r>
              <w:t xml:space="preserve"> </w:t>
            </w:r>
            <w:r>
              <w:rPr>
                <w:b/>
                <w:bCs/>
              </w:rPr>
              <w:t xml:space="preserve">tenant-wide lockout</w:t>
            </w:r>
          </w:p>
        </w:tc>
        <w:tc>
          <w:tcPr/>
          <w:p>
            <w:pPr>
              <w:pStyle w:val="Compact"/>
            </w:pPr>
            <w:r>
              <w:t xml:space="preserve">Device-state change is treated as a</w:t>
            </w:r>
            <w:r>
              <w:t xml:space="preserve"> </w:t>
            </w:r>
            <w:r>
              <w:rPr>
                <w:b/>
                <w:bCs/>
              </w:rPr>
              <w:t xml:space="preserve">high-blast-radius operation class</w:t>
            </w:r>
            <w:r>
              <w:t xml:space="preserve">: report-only baking, then</w:t>
            </w:r>
            <w:r>
              <w:t xml:space="preserve"> </w:t>
            </w:r>
            <w:r>
              <w:rPr>
                <w:b/>
                <w:bCs/>
              </w:rPr>
              <w:t xml:space="preserve">L3 gated actuation</w:t>
            </w:r>
            <w:r>
              <w:t xml:space="preserve"> </w:t>
            </w:r>
            <w:r>
              <w:t xml:space="preserve">with a human approver (</w:t>
            </w:r>
            <w:hyperlink r:id="rId19">
              <w:r>
                <w:rPr>
                  <w:rStyle w:val="Hyperlink"/>
                </w:rPr>
                <w:t xml:space="preserve">ADR-092 §3–4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Provenance</w:t>
            </w:r>
            <w:r>
              <w:t xml:space="preserve"> </w:t>
            </w:r>
            <w:r>
              <w:t xml:space="preserve">— changes were at least logged in one directory</w:t>
            </w:r>
          </w:p>
        </w:tc>
        <w:tc>
          <w:tcPr/>
          <w:p>
            <w:pPr>
              <w:pStyle w:val="Compact"/>
            </w:pPr>
            <w:r>
              <w:t xml:space="preserve">Each of 50,000 device-state changes happens with no signed, attributable record of</w:t>
            </w:r>
            <w:r>
              <w:t xml:space="preserve"> </w:t>
            </w:r>
            <w:r>
              <w:rPr>
                <w:i/>
                <w:iCs/>
              </w:rPr>
              <w:t xml:space="preserve">why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i/>
                <w:iCs/>
              </w:rPr>
              <w:t xml:space="preserve">under whose authority</w:t>
            </w:r>
          </w:p>
        </w:tc>
        <w:tc>
          <w:tcPr/>
          <w:p>
            <w:pPr>
              <w:pStyle w:val="Compact"/>
            </w:pPr>
            <w:r>
              <w:t xml:space="preserve">Each</w:t>
            </w:r>
            <w:r>
              <w:t xml:space="preserve"> </w:t>
            </w:r>
            <w:r>
              <w:rPr>
                <w:rStyle w:val="VerbatimChar"/>
              </w:rPr>
              <w:t xml:space="preserve">plan / apply / reconcile</w:t>
            </w:r>
            <w:r>
              <w:t xml:space="preserve"> </w:t>
            </w:r>
            <w:r>
              <w:t xml:space="preserve">step emits</w:t>
            </w:r>
            <w:r>
              <w:t xml:space="preserve"> </w:t>
            </w:r>
            <w:r>
              <w:rPr>
                <w:b/>
                <w:bCs/>
              </w:rPr>
              <w:t xml:space="preserve">signed evidence</w:t>
            </w:r>
            <w:r>
              <w:t xml:space="preserve">; an unattributable state is</w:t>
            </w:r>
            <w:r>
              <w:t xml:space="preserve"> </w:t>
            </w:r>
            <w:hyperlink r:id="rId34">
              <w:r>
                <w:rPr>
                  <w:rStyle w:val="VerbatimChar"/>
                </w:rPr>
                <w:t xml:space="preserve">DRIFT-PROVENANCE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Lifecycle</w:t>
            </w:r>
            <w:r>
              <w:t xml:space="preserve"> </w:t>
            </w:r>
            <w:r>
              <w:t xml:space="preserve">— AD had a (creaky) join/leave lifecycle</w:t>
            </w:r>
          </w:p>
        </w:tc>
        <w:tc>
          <w:tcPr/>
          <w:p>
            <w:pPr>
              <w:pStyle w:val="Compact"/>
            </w:pPr>
            <w:r>
              <w:t xml:space="preserve">No retirement story: decommissioned machines linger as stale Entra device objects, inflating the</w:t>
            </w:r>
            <w:r>
              <w:t xml:space="preserve"> </w:t>
            </w:r>
            <w:r>
              <w:t xml:space="preserve">“managed”</w:t>
            </w:r>
            <w:r>
              <w:t xml:space="preserve"> </w:t>
            </w:r>
            <w:r>
              <w:t xml:space="preserve">count indefinitely</w:t>
            </w:r>
          </w:p>
        </w:tc>
        <w:tc>
          <w:tcPr/>
          <w:p>
            <w:pPr>
              <w:pStyle w:val="Compact"/>
            </w:pPr>
            <w:r>
              <w:t xml:space="preserve">Lifecycle is reconciled against canon; stale objects surface for access review rather than accumulating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Single console of record</w:t>
            </w:r>
            <w:r>
              <w:t xml:space="preserve"> </w:t>
            </w:r>
            <w:r>
              <w:t xml:space="preserve">— AD owned the computer object end-to-end</w:t>
            </w:r>
          </w:p>
        </w:tc>
        <w:tc>
          <w:tcPr/>
          <w:p>
            <w:pPr>
              <w:pStyle w:val="Compact"/>
            </w:pPr>
            <w:r>
              <w:t xml:space="preserve">State now spans</w:t>
            </w:r>
            <w:r>
              <w:t xml:space="preserve"> </w:t>
            </w:r>
            <w:r>
              <w:rPr>
                <w:b/>
                <w:bCs/>
              </w:rPr>
              <w:t xml:space="preserve">three planes</w:t>
            </w:r>
            <w:r>
              <w:t xml:space="preserve"> </w:t>
            </w:r>
            <w:r>
              <w:t xml:space="preserve">— AD owns the computer object, Entra owns the device object, Intune owns</w:t>
            </w:r>
            <w:r>
              <w:t xml:space="preserve"> </w:t>
            </w:r>
            <w:r>
              <w:rPr>
                <w:i/>
                <w:iCs/>
              </w:rPr>
              <w:t xml:space="preserve">compliance</w:t>
            </w:r>
            <w:r>
              <w:t xml:space="preserve"> </w:t>
            </w:r>
            <w:r>
              <w:t xml:space="preserve">— with nothing reconciling them</w:t>
            </w:r>
          </w:p>
        </w:tc>
        <w:tc>
          <w:tcPr/>
          <w:p>
            <w:pPr>
              <w:pStyle w:val="Compact"/>
            </w:pPr>
            <w:r>
              <w:t xml:space="preserve">UIAO is the</w:t>
            </w:r>
            <w:r>
              <w:t xml:space="preserve"> </w:t>
            </w:r>
            <w:r>
              <w:rPr>
                <w:b/>
                <w:bCs/>
              </w:rPr>
              <w:t xml:space="preserve">control plane</w:t>
            </w:r>
            <w:r>
              <w:t xml:space="preserve"> </w:t>
            </w:r>
            <w:r>
              <w:t xml:space="preserve">that reconciles all three; providers remain</w:t>
            </w:r>
            <w:r>
              <w:t xml:space="preserve"> </w:t>
            </w:r>
            <w:r>
              <w:rPr>
                <w:b/>
                <w:bCs/>
              </w:rPr>
              <w:t xml:space="preserve">incorporated data planes</w:t>
            </w:r>
            <w:r>
              <w:t xml:space="preserve">, not competing sources of truth (</w:t>
            </w:r>
            <w:hyperlink r:id="rId19">
              <w:r>
                <w:rPr>
                  <w:rStyle w:val="Hyperlink"/>
                </w:rPr>
                <w:t xml:space="preserve">ADR-092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Line-of-sight assumption was explicit</w:t>
            </w:r>
          </w:p>
        </w:tc>
        <w:tc>
          <w:tcPr/>
          <w:p>
            <w:pPr>
              <w:pStyle w:val="Compact"/>
            </w:pPr>
            <w:r>
              <w:t xml:space="preserve">Hybrid join’s hard dependency on reaching a domain controller is left implicit; remote-first / VPN-only users</w:t>
            </w:r>
            <w:r>
              <w:t xml:space="preserve"> </w:t>
            </w:r>
            <w:r>
              <w:rPr>
                <w:b/>
                <w:bCs/>
              </w:rPr>
              <w:t xml:space="preserve">silently rot</w:t>
            </w:r>
            <w:r>
              <w:t xml:space="preserve"> </w:t>
            </w:r>
            <w:r>
              <w:t xml:space="preserve">(password/PIN/TPM failures) until unusable</w:t>
            </w:r>
          </w:p>
        </w:tc>
        <w:tc>
          <w:tcPr/>
          <w:p>
            <w:pPr>
              <w:pStyle w:val="Compact"/>
            </w:pPr>
            <w:r>
              <w:t xml:space="preserve">The DC-reachability constraint is named as a known limit and drives the target state (Entra join) rather than being discovered as an outage</w:t>
            </w:r>
          </w:p>
        </w:tc>
      </w:tr>
    </w:tbl>
    <w:p>
      <w:pPr>
        <w:pStyle w:val="BodyText"/>
      </w:pPr>
      <w:r>
        <w:t xml:space="preserve">The pattern across every row is the same: the ungoverned flip keeps the</w:t>
      </w:r>
      <w:r>
        <w:t xml:space="preserve"> </w:t>
      </w:r>
      <w:r>
        <w:rPr>
          <w:b/>
          <w:bCs/>
        </w:rPr>
        <w:t xml:space="preserve">runtime</w:t>
      </w:r>
      <w:r>
        <w:rPr>
          <w:b/>
          <w:bCs/>
        </w:rPr>
        <w:t xml:space="preserve"> </w:t>
      </w:r>
      <w:r>
        <w:rPr>
          <w:b/>
          <w:bCs/>
        </w:rPr>
        <w:t xml:space="preserve">benefit</w:t>
      </w:r>
      <w:r>
        <w:t xml:space="preserve"> </w:t>
      </w:r>
      <w:r>
        <w:t xml:space="preserve">and spends the</w:t>
      </w:r>
      <w:r>
        <w:t xml:space="preserve"> </w:t>
      </w:r>
      <w:r>
        <w:rPr>
          <w:b/>
          <w:bCs/>
        </w:rPr>
        <w:t xml:space="preserve">truth-and-accountability layer</w:t>
      </w:r>
      <w:r>
        <w:t xml:space="preserve"> </w:t>
      </w:r>
      <w:r>
        <w:t xml:space="preserve">— the exact</w:t>
      </w:r>
      <w:r>
        <w:t xml:space="preserve"> </w:t>
      </w:r>
      <w:r>
        <w:t xml:space="preserve">conflation UIAO exists to undo.</w:t>
      </w:r>
    </w:p>
    <w:p>
      <w:r>
        <w:pict>
          <ns5:rect style="width:0;height:1.5pt" ns6:hralign="center" ns6:hrstd="t" ns6:hr="t"/>
        </w:pict>
      </w:r>
    </w:p>
    <w:bookmarkEnd w:id="35"/>
    <w:bookmarkStart w:id="37" w:name="what-hybrid-join-still-doesnt-satisfy"/>
    <w:p>
      <w:pPr>
        <w:pStyle w:val="Heading2"/>
      </w:pPr>
      <w:r>
        <w:t xml:space="preserve">4. What hybrid join</w:t>
      </w:r>
      <w:r>
        <w:t xml:space="preserve"> </w:t>
      </w:r>
      <w:r>
        <w:rPr>
          <w:i/>
          <w:iCs/>
        </w:rPr>
        <w:t xml:space="preserve">still</w:t>
      </w:r>
      <w:r>
        <w:t xml:space="preserve"> </w:t>
      </w:r>
      <w:r>
        <w:t xml:space="preserve">doesn’t satisfy</w:t>
      </w:r>
    </w:p>
    <w:p>
      <w:pPr>
        <w:pStyle w:val="FirstParagraph"/>
      </w:pPr>
      <w:r>
        <w:t xml:space="preserve">Even a flawless 50,000-device hybrid-join rollout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by itself satisfy</w:t>
      </w:r>
      <w:r>
        <w:t xml:space="preserve"> </w:t>
      </w:r>
      <w:r>
        <w:rPr>
          <w:i/>
          <w:iCs/>
        </w:rPr>
        <w:t xml:space="preserve">“all sign-in activity comes from managed devices.”</w:t>
      </w:r>
      <w:r>
        <w:t xml:space="preserve"> </w:t>
      </w:r>
      <w:r>
        <w:t xml:space="preserve">Hybrid join only covers</w:t>
      </w:r>
      <w:r>
        <w:t xml:space="preserve"> </w:t>
      </w:r>
      <w:r>
        <w:rPr>
          <w:b/>
          <w:bCs/>
        </w:rPr>
        <w:t xml:space="preserve">domain-joined Windows.</w:t>
      </w:r>
      <w:r>
        <w:t xml:space="preserve"> </w:t>
      </w:r>
      <w:r>
        <w:t xml:space="preserve">The control’s denominator is larger: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macOS / iOS / Android / Linux</w:t>
      </w:r>
      <w:r>
        <w:t xml:space="preserve"> </w:t>
      </w:r>
      <w:r>
        <w:t xml:space="preserve">→ need Entra join or Intune MDM enrollment</w:t>
      </w:r>
      <w:r>
        <w:t xml:space="preserve"> </w:t>
      </w:r>
      <w:r>
        <w:t xml:space="preserve">plus a compliance policy — not hybrid join.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BYOD, contractors, B2B guests</w:t>
      </w:r>
      <w:r>
        <w:t xml:space="preserve"> </w:t>
      </w:r>
      <w:r>
        <w:t xml:space="preserve">→ never hybrid-joinable at all.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Servers, VDI / AVD, shared kiosks, service accounts</w:t>
      </w:r>
      <w:r>
        <w:t xml:space="preserve"> </w:t>
      </w:r>
      <w:r>
        <w:t xml:space="preserve">→ each needs its own</w:t>
      </w:r>
      <w:r>
        <w:t xml:space="preserve"> </w:t>
      </w:r>
      <w:r>
        <w:t xml:space="preserve">posture decision.</w:t>
      </w:r>
    </w:p>
    <w:p>
      <w:pPr>
        <w:pStyle w:val="FirstParagraph"/>
      </w:pPr>
      <w:r>
        <w:t xml:space="preserve">So the population the assessment is</w:t>
      </w:r>
      <w:r>
        <w:t xml:space="preserve"> </w:t>
      </w:r>
      <w:r>
        <w:rPr>
          <w:i/>
          <w:iCs/>
        </w:rPr>
        <w:t xml:space="preserve">really</w:t>
      </w:r>
      <w:r>
        <w:t xml:space="preserve"> </w:t>
      </w:r>
      <w:r>
        <w:t xml:space="preserve">probing is precisely the slice an</w:t>
      </w:r>
      <w:r>
        <w:t xml:space="preserve"> </w:t>
      </w:r>
      <w:r>
        <w:t xml:space="preserve">ungoverned Windows-only flip renders invisible. Canon’s answer is to make endpoint</w:t>
      </w:r>
      <w:r>
        <w:t xml:space="preserve"> </w:t>
      </w:r>
      <w:r>
        <w:t xml:space="preserve">onboarding a governed,</w:t>
      </w:r>
      <w:r>
        <w:t xml:space="preserve"> </w:t>
      </w:r>
      <w:r>
        <w:rPr>
          <w:b/>
          <w:bCs/>
        </w:rPr>
        <w:t xml:space="preserve">Intune-first</w:t>
      </w:r>
      <w:r>
        <w:t xml:space="preserve"> </w:t>
      </w:r>
      <w:r>
        <w:t xml:space="preserve">discipline across surfaces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ADR-071 Intune-First Asset Onboarding</w:t>
        </w:r>
      </w:hyperlink>
      <w:r>
        <w:t xml:space="preserve">),</w:t>
      </w:r>
      <w:r>
        <w:t xml:space="preserve"> </w:t>
      </w:r>
      <w:r>
        <w:t xml:space="preserve">so the uncovered surface is</w:t>
      </w:r>
      <w:r>
        <w:t xml:space="preserve"> </w:t>
      </w:r>
      <w:r>
        <w:rPr>
          <w:i/>
          <w:iCs/>
        </w:rPr>
        <w:t xml:space="preserve">surfaced as a gap</w:t>
      </w:r>
      <w:r>
        <w:t xml:space="preserve"> </w:t>
      </w:r>
      <w:r>
        <w:t xml:space="preserve">instead of hidden by a green</w:t>
      </w:r>
      <w:r>
        <w:t xml:space="preserve"> </w:t>
      </w:r>
      <w:r>
        <w:t xml:space="preserve">checkmark.</w:t>
      </w:r>
    </w:p>
    <w:p>
      <w:r>
        <w:pict>
          <ns5:rect style="width:0;height:1.5pt" ns6:hralign="center" ns6:hrstd="t" ns6:hr="t"/>
        </w:pict>
      </w:r>
    </w:p>
    <w:bookmarkEnd w:id="37"/>
    <w:bookmarkStart w:id="43" w:name="Xb7cf1dea302e82de01bda3f17a42b1e50cdef16"/>
    <w:p>
      <w:pPr>
        <w:pStyle w:val="Heading2"/>
      </w:pPr>
      <w:r>
        <w:t xml:space="preserve">5. The governed path — same end state, under the control plane</w:t>
      </w:r>
    </w:p>
    <w:p>
      <w:pPr>
        <w:pStyle w:val="FirstParagraph"/>
      </w:pPr>
      <w:r>
        <w:t xml:space="preserve">The governed path reaches the identical technical outcome — devices hybrid-joined,</w:t>
      </w:r>
      <w:r>
        <w:t xml:space="preserve"> </w:t>
      </w:r>
      <w:r>
        <w:t xml:space="preserve">Conditional Access enforcing managed-device sign-in — but routes the bulk state</w:t>
      </w:r>
      <w:r>
        <w:t xml:space="preserve"> </w:t>
      </w:r>
      <w:r>
        <w:t xml:space="preserve">change through UIAO’s</w:t>
      </w:r>
      <w:r>
        <w:t xml:space="preserve"> </w:t>
      </w:r>
      <w:r>
        <w:rPr>
          <w:b/>
          <w:bCs/>
        </w:rPr>
        <w:t xml:space="preserve">active reconciliation control plane</w:t>
      </w:r>
      <w:r>
        <w:t xml:space="preserve"> </w:t>
      </w:r>
      <w:r>
        <w:t xml:space="preserve">rather than letting</w:t>
      </w:r>
      <w:r>
        <w:t xml:space="preserve"> </w:t>
      </w:r>
      <w:r>
        <w:t xml:space="preserve">the provider data plane convert the fleet unattended. UIAO holds desired state,</w:t>
      </w:r>
      <w:r>
        <w:t xml:space="preserve"> </w:t>
      </w:r>
      <w:r>
        <w:t xml:space="preserve">observes actual state, classifies drift, and reconciles toward intent; Entra and</w:t>
      </w:r>
      <w:r>
        <w:t xml:space="preserve"> </w:t>
      </w:r>
      <w:r>
        <w:t xml:space="preserve">Intune remain the data planes that authenticate and enforce at runtime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ADR-092</w:t>
        </w:r>
      </w:hyperlink>
      <w:r>
        <w:t xml:space="preserve">). Concretely, the same</w:t>
      </w:r>
      <w:r>
        <w:t xml:space="preserve"> </w:t>
      </w:r>
      <w:r>
        <w:t xml:space="preserve">program looks like this: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Address before you actuate.</w:t>
      </w:r>
      <w:r>
        <w:t xml:space="preserve"> </w:t>
      </w:r>
      <w:r>
        <w:t xml:space="preserve">Every device to be converted carries an</w:t>
      </w:r>
      <w:r>
        <w:t xml:space="preserve"> </w:t>
      </w:r>
      <w:r>
        <w:rPr>
          <w:b/>
          <w:bCs/>
        </w:rPr>
        <w:t xml:space="preserve">OrgPath</w:t>
      </w:r>
      <w:r>
        <w:t xml:space="preserve"> </w:t>
      </w:r>
      <w:r>
        <w:t xml:space="preserve">expressing its organizational position, so the rollout can be</w:t>
      </w:r>
      <w:r>
        <w:t xml:space="preserve"> </w:t>
      </w:r>
      <w:r>
        <w:t xml:space="preserve">scoped, waved, and audited</w:t>
      </w:r>
      <w:r>
        <w:t xml:space="preserve"> </w:t>
      </w:r>
      <w:r>
        <w:rPr>
          <w:i/>
          <w:iCs/>
        </w:rPr>
        <w:t xml:space="preserve">in the same terms as every other plane</w:t>
      </w:r>
      <w:r>
        <w:t xml:space="preserve"> </w:t>
      </w:r>
      <w:r>
        <w:t xml:space="preserve">— not by</w:t>
      </w:r>
      <w:r>
        <w:t xml:space="preserve"> </w:t>
      </w:r>
      <w:r>
        <w:t xml:space="preserve">ad-hoc OU guesswork (</w:t>
      </w:r>
      <w:hyperlink r:id="rId32">
        <w:r>
          <w:rPr>
            <w:rStyle w:val="Hyperlink"/>
          </w:rPr>
          <w:t xml:space="preserve">UIAO_151</w:t>
        </w:r>
      </w:hyperlink>
      <w:r>
        <w:t xml:space="preserve">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Cap the blast radius by class.</w:t>
      </w:r>
      <w:r>
        <w:t xml:space="preserve"> </w:t>
      </w:r>
      <w:r>
        <w:t xml:space="preserve">“Tenant-wide device-state change”</w:t>
      </w:r>
      <w:r>
        <w:t xml:space="preserve"> </w:t>
      </w:r>
      <w:r>
        <w:t xml:space="preserve">and</w:t>
      </w:r>
      <w:r>
        <w:t xml:space="preserve"> </w:t>
      </w:r>
      <w:r>
        <w:t xml:space="preserve">“Conditional Access enforcement change”</w:t>
      </w:r>
      <w:r>
        <w:t xml:space="preserve"> </w:t>
      </w:r>
      <w:r>
        <w:t xml:space="preserve">are exactly the high-blast-radius</w:t>
      </w:r>
      <w:r>
        <w:t xml:space="preserve"> </w:t>
      </w:r>
      <w:r>
        <w:t xml:space="preserve">classes canon</w:t>
      </w:r>
      <w:r>
        <w:t xml:space="preserve"> </w:t>
      </w:r>
      <w:r>
        <w:rPr>
          <w:b/>
          <w:bCs/>
        </w:rPr>
        <w:t xml:space="preserve">caps at L3 — human-approved — permanently.</w:t>
      </w:r>
      <w:r>
        <w:t xml:space="preserve"> </w:t>
      </w:r>
      <w:r>
        <w:t xml:space="preserve">One wrong CA</w:t>
      </w:r>
      <w:r>
        <w:t xml:space="preserve"> </w:t>
      </w:r>
      <w:r>
        <w:t xml:space="preserve">toggle touching 50,000 devices is the textbook case the ceiling exists for.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Rung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Behavior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L0</w:t>
            </w:r>
          </w:p>
        </w:tc>
        <w:tc>
          <w:tcPr/>
          <w:p>
            <w:pPr>
              <w:pStyle w:val="Compact"/>
            </w:pPr>
            <w:r>
              <w:t xml:space="preserve">Record</w:t>
            </w:r>
          </w:p>
        </w:tc>
        <w:tc>
          <w:tcPr/>
          <w:p>
            <w:pPr>
              <w:pStyle w:val="Compact"/>
            </w:pPr>
            <w:r>
              <w:t xml:space="preserve">Desired state (hybrid-join target, CA intent) recorded in canon.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L1</w:t>
            </w:r>
          </w:p>
        </w:tc>
        <w:tc>
          <w:tcPr/>
          <w:p>
            <w:pPr>
              <w:pStyle w:val="Compact"/>
            </w:pPr>
            <w:r>
              <w:t xml:space="preserve">Observe</w:t>
            </w:r>
          </w:p>
        </w:tc>
        <w:tc>
          <w:tcPr/>
          <w:p>
            <w:pPr>
              <w:pStyle w:val="Compact"/>
            </w:pPr>
            <w:r>
              <w:t xml:space="preserve">Actual join state collected per device; drift detected. Read-only.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L2</w:t>
            </w:r>
          </w:p>
        </w:tc>
        <w:tc>
          <w:tcPr/>
          <w:p>
            <w:pPr>
              <w:pStyle w:val="Compact"/>
            </w:pPr>
            <w:r>
              <w:t xml:space="preserve">Advise</w:t>
            </w:r>
          </w:p>
        </w:tc>
        <w:tc>
          <w:tcPr/>
          <w:p>
            <w:pPr>
              <w:pStyle w:val="Compact"/>
            </w:pPr>
            <w:r>
              <w:t xml:space="preserve">Wave plan + report-only CA change-set generated and surfaced; no writes.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L3</w:t>
            </w:r>
          </w:p>
        </w:tc>
        <w:tc>
          <w:tcPr/>
          <w:p>
            <w:pPr>
              <w:pStyle w:val="Compact"/>
            </w:pPr>
            <w:r>
              <w:t xml:space="preserve">Gated actuation</w:t>
            </w:r>
          </w:p>
        </w:tc>
        <w:tc>
          <w:tcPr/>
          <w:p>
            <w:pPr>
              <w:pStyle w:val="Compact"/>
            </w:pPr>
            <w:r>
              <w:t xml:space="preserve">A human approves each wave; UIAO executes through the provider API.</w:t>
            </w:r>
            <w:r>
              <w:t xml:space="preserve"> </w:t>
            </w:r>
            <w:r>
              <w:rPr>
                <w:b/>
                <w:bCs/>
              </w:rPr>
              <w:t xml:space="preserve">Federal default ceiling.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L4</w:t>
            </w:r>
          </w:p>
        </w:tc>
        <w:tc>
          <w:tcPr/>
          <w:p>
            <w:pPr>
              <w:pStyle w:val="Compact"/>
            </w:pPr>
            <w:r>
              <w:t xml:space="preserve">Autonomous</w:t>
            </w:r>
          </w:p>
        </w:tc>
        <w:tc>
          <w:tcPr/>
          <w:p>
            <w:pPr>
              <w:pStyle w:val="Compact"/>
            </w:pPr>
            <w:r>
              <w:t xml:space="preserve">Not permitted for this class — high blast radius, L3-capped.</w:t>
            </w:r>
          </w:p>
        </w:tc>
      </w:tr>
    </w:tbl>
    <w:p>
      <w:pPr>
        <w:numPr>
          <w:ilvl w:val="0"/>
          <w:numId w:val="1000"/>
        </w:numPr>
      </w:pPr>
      <w:r>
        <w:t xml:space="preserve"> </w:t>
      </w:r>
    </w:p>
    <w:tbl>
      <w:tblPr>
        <w:tblStyle w:val="Table"/>
        <w:tblW w:type="pct" w:w="5000"/>
        <w:jc w:val="left"/>
        <w:tblInd w:w="720" w:type="dxa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actuation-ceiling"/>
          <w:p>
            <w:pPr>
              <w:pStyle w:val="Compact"/>
              <w:jc w:val="center"/>
            </w:pPr>
            <w:r>
              <w:drawing>
                <ns1:inline>
                  <ns1:extent cx="5334000" cy="3000375"/>
                  <ns1:effectExtent b="0" l="0" r="0" t="0"/>
                  <ns1:docPr descr="" title="" id="39" name="Picture"/>
                  <ns2:graphic>
                    <ns2:graphicData uri="http://schemas.openxmlformats.org/drawingml/2006/picture">
                      <ns3:pic>
                        <ns3:nvPicPr>
                          <ns3:cNvPr descr="images/hybrid-join-without-governance-diagram-04-actuation-ceiling.png" id="40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38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5334000" cy="3000375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L0–L4 actuation ladder with the federal default ceiling at L3; tenant-wide device-state and Conditional Access changes are high-blast-radius and permanently L3-capped, so L4 autonomy is locked for this operation class</w:t>
            </w:r>
          </w:p>
          <w:bookmarkEnd w:id="41"/>
        </w:tc>
      </w:tr>
    </w:tbl>
    <w:p>
      <w:pPr>
        <w:numPr>
          <w:ilvl w:val="0"/>
          <w:numId w:val="1003"/>
        </w:numPr>
      </w:pPr>
      <w:r>
        <w:rPr>
          <w:b/>
          <w:bCs/>
        </w:rPr>
        <w:t xml:space="preserve">Execute the wave through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plan()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apply()</w:t>
      </w:r>
      <w:r>
        <w:rPr>
          <w:b/>
          <w:bCs/>
        </w:rPr>
        <w:t xml:space="preserve">, not ad hoc scripts.</w:t>
      </w:r>
      <w:r>
        <w:t xml:space="preserve"> </w:t>
      </w:r>
      <w:r>
        <w:t xml:space="preserve">The CLI</w:t>
      </w:r>
      <w:r>
        <w:t xml:space="preserve"> </w:t>
      </w:r>
      <w:r>
        <w:t xml:space="preserve">entry point for adapter operations is</w:t>
      </w:r>
      <w:r>
        <w:t xml:space="preserve"> </w:t>
      </w:r>
      <w:r>
        <w:rPr>
          <w:rStyle w:val="VerbatimChar"/>
        </w:rPr>
        <w:t xml:space="preserve">uiao adapter run entra</w:t>
      </w:r>
      <w:r>
        <w:t xml:space="preserve"> </w:t>
      </w:r>
      <w:r>
        <w:t xml:space="preserve">(a Typer</w:t>
      </w:r>
      <w:r>
        <w:t xml:space="preserve"> </w:t>
      </w:r>
      <w:r>
        <w:t xml:space="preserve">command in</w:t>
      </w:r>
      <w:r>
        <w:t xml:space="preserve"> </w:t>
      </w:r>
      <w:r>
        <w:rPr>
          <w:rStyle w:val="VerbatimChar"/>
        </w:rPr>
        <w:t xml:space="preserve">src/uiao/cli/adapter.py</w:t>
      </w:r>
      <w:r>
        <w:t xml:space="preserve"> </w:t>
      </w:r>
      <w:r>
        <w:t xml:space="preserve">that dispatches into the Entra adapter</w:t>
      </w:r>
      <w:r>
        <w:t xml:space="preserve"> </w:t>
      </w:r>
      <w:r>
        <w:t xml:space="preserve">family under</w:t>
      </w:r>
      <w:r>
        <w:t xml:space="preserve"> </w:t>
      </w:r>
      <w:r>
        <w:rPr>
          <w:rStyle w:val="VerbatimChar"/>
        </w:rPr>
        <w:t xml:space="preserve">src/uiao/adapters/</w:t>
      </w:r>
      <w:r>
        <w:t xml:space="preserve">). The OrgPath-scoped wave itself is</w:t>
      </w:r>
      <w:r>
        <w:t xml:space="preserve"> </w:t>
      </w:r>
      <w:r>
        <w:t xml:space="preserve">computed and executed by that family’s</w:t>
      </w:r>
      <w:r>
        <w:t xml:space="preserve"> </w:t>
      </w:r>
      <w:r>
        <w:rPr>
          <w:rStyle w:val="VerbatimChar"/>
        </w:rPr>
        <w:t xml:space="preserve">EntraDynamicGroupAdapter</w:t>
      </w:r>
      <w:r>
        <w:t xml:space="preserve">: its</w:t>
      </w:r>
      <w:r>
        <w:t xml:space="preserve"> </w:t>
      </w:r>
      <w:r>
        <w:rPr>
          <w:rStyle w:val="VerbatimChar"/>
        </w:rPr>
        <w:t xml:space="preserve">plan(observed)</w:t>
      </w:r>
      <w:r>
        <w:t xml:space="preserve"> </w:t>
      </w:r>
      <w:r>
        <w:t xml:space="preserve">method is pure — it diffs the canonical dynamic-group</w:t>
      </w:r>
      <w:r>
        <w:t xml:space="preserve"> </w:t>
      </w:r>
      <w:r>
        <w:t xml:space="preserve">library (the wave’s declared target state, keyed to the OrgPath-bound</w:t>
      </w:r>
      <w:r>
        <w:t xml:space="preserve"> </w:t>
      </w:r>
      <w:r>
        <w:rPr>
          <w:rStyle w:val="VerbatimChar"/>
        </w:rPr>
        <w:t xml:space="preserve">extensionAttribute</w:t>
      </w:r>
      <w:r>
        <w:t xml:space="preserve"> </w:t>
      </w:r>
      <w:r>
        <w:t xml:space="preserve">slot) against the tenant’s observed group state and</w:t>
      </w:r>
      <w:r>
        <w:t xml:space="preserve"> </w:t>
      </w:r>
      <w:r>
        <w:t xml:space="preserve">returns a list of</w:t>
      </w:r>
      <w:r>
        <w:t xml:space="preserve"> </w:t>
      </w:r>
      <w:r>
        <w:rPr>
          <w:rStyle w:val="VerbatimChar"/>
        </w:rPr>
        <w:t xml:space="preserve">FacetOperation</w:t>
      </w:r>
      <w:r>
        <w:t xml:space="preserve"> </w:t>
      </w:r>
      <w:r>
        <w:t xml:space="preserve">records, one per group whose membership</w:t>
      </w:r>
      <w:r>
        <w:t xml:space="preserve"> </w:t>
      </w:r>
      <w:r>
        <w:t xml:space="preserve">rule needs to be created or updated, without making a single Graph call.</w:t>
      </w:r>
      <w:r>
        <w:t xml:space="preserve"> </w:t>
      </w:r>
      <w:r>
        <w:t xml:space="preserve">That diff is what L1 Observe and L2 Advise are, concretely.</w:t>
      </w:r>
      <w:r>
        <w:t xml:space="preserve"> </w:t>
      </w:r>
      <w:r>
        <w:rPr>
          <w:rStyle w:val="VerbatimChar"/>
        </w:rPr>
        <w:t xml:space="preserve">apply(operations, dry_run=True)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dry_run=True</w:t>
      </w:r>
      <w:r>
        <w:t xml:space="preserve"> </w:t>
      </w:r>
      <w:r>
        <w:t xml:space="preserve">is the method’s default — is the</w:t>
      </w:r>
      <w:r>
        <w:t xml:space="preserve"> </w:t>
      </w:r>
      <w:r>
        <w:t xml:space="preserve">report-only execution of that plan: every operation is evaluated and</w:t>
      </w:r>
      <w:r>
        <w:t xml:space="preserve"> </w:t>
      </w:r>
      <w:r>
        <w:t xml:space="preserve">recorded as</w:t>
      </w:r>
      <w:r>
        <w:t xml:space="preserve"> </w:t>
      </w:r>
      <w:r>
        <w:rPr>
          <w:i/>
          <w:iCs/>
        </w:rPr>
        <w:t xml:space="preserve">would-send</w:t>
      </w:r>
      <w:r>
        <w:t xml:space="preserve">, and nothing reaches Graph. Promotion to</w:t>
      </w:r>
      <w:r>
        <w:t xml:space="preserve"> </w:t>
      </w:r>
      <w:r>
        <w:rPr>
          <w:rStyle w:val="VerbatimChar"/>
        </w:rPr>
        <w:t xml:space="preserve">dry_run=False</w:t>
      </w:r>
      <w:r>
        <w:t xml:space="preserve"> </w:t>
      </w:r>
      <w:r>
        <w:t xml:space="preserve">is a separate, explicit call an operator makes per wave</w:t>
      </w:r>
      <w:r>
        <w:t xml:space="preserve"> </w:t>
      </w:r>
      <w:r>
        <w:t xml:space="preserve">after review — the code-level shape of the L3 gate above. One class of</w:t>
      </w:r>
      <w:r>
        <w:t xml:space="preserve"> </w:t>
      </w:r>
      <w:r>
        <w:t xml:space="preserve">operation never crosses that gate regardless of</w:t>
      </w:r>
      <w:r>
        <w:t xml:space="preserve"> </w:t>
      </w:r>
      <w:r>
        <w:rPr>
          <w:rStyle w:val="VerbatimChar"/>
        </w:rPr>
        <w:t xml:space="preserve">dry_run</w:t>
      </w:r>
      <w:r>
        <w:t xml:space="preserve">: operations in</w:t>
      </w:r>
      <w:r>
        <w:t xml:space="preserve"> </w:t>
      </w:r>
      <w:r>
        <w:rPr>
          <w:rStyle w:val="VerbatimChar"/>
        </w:rPr>
        <w:t xml:space="preserve">governance_review_ops</w:t>
      </w:r>
      <w:r>
        <w:t xml:space="preserve"> </w:t>
      </w:r>
      <w:r>
        <w:t xml:space="preserve">(today, the</w:t>
      </w:r>
      <w:r>
        <w:t xml:space="preserve"> </w:t>
      </w:r>
      <w:r>
        <w:rPr>
          <w:rStyle w:val="VerbatimChar"/>
        </w:rPr>
        <w:t xml:space="preserve">phantom</w:t>
      </w:r>
      <w:r>
        <w:t xml:space="preserve">-group verb, flagged for</w:t>
      </w:r>
      <w:r>
        <w:t xml:space="preserve"> </w:t>
      </w:r>
      <w:r>
        <w:t xml:space="preserve">removal) are always skipped by</w:t>
      </w:r>
      <w:r>
        <w:t xml:space="preserve"> </w:t>
      </w:r>
      <w:r>
        <w:rPr>
          <w:rStyle w:val="VerbatimChar"/>
        </w:rPr>
        <w:t xml:space="preserve">apply()</w:t>
      </w:r>
      <w:r>
        <w:t xml:space="preserve"> </w:t>
      </w:r>
      <w:r>
        <w:t xml:space="preserve">whether</w:t>
      </w:r>
      <w:r>
        <w:t xml:space="preserve"> </w:t>
      </w:r>
      <w:r>
        <w:rPr>
          <w:rStyle w:val="VerbatimChar"/>
        </w:rPr>
        <w:t xml:space="preserve">dry_run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— a standing human-sign-off set that promoting a wave out of</w:t>
      </w:r>
      <w:r>
        <w:t xml:space="preserve"> </w:t>
      </w:r>
      <w:r>
        <w:t xml:space="preserve">dry-run cannot silently sweep past. (</w:t>
      </w:r>
      <w:hyperlink r:id="rId42">
        <w:r>
          <w:rPr>
            <w:rStyle w:val="Hyperlink"/>
          </w:rPr>
          <w:t xml:space="preserve">ADR-084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§C4–C5</w:t>
        </w:r>
      </w:hyperlink>
      <w:r>
        <w:t xml:space="preserve">)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Bake the enforcement.</w:t>
      </w:r>
      <w:r>
        <w:t xml:space="preserve"> </w:t>
      </w:r>
      <w:r>
        <w:t xml:space="preserve">Conditional Access runs</w:t>
      </w:r>
      <w:r>
        <w:t xml:space="preserve"> </w:t>
      </w:r>
      <w:r>
        <w:rPr>
          <w:b/>
          <w:bCs/>
        </w:rPr>
        <w:t xml:space="preserve">report-only</w:t>
      </w:r>
      <w:r>
        <w:t xml:space="preserve"> </w:t>
      </w:r>
      <w:r>
        <w:t xml:space="preserve">first; the</w:t>
      </w:r>
      <w:r>
        <w:t xml:space="preserve"> </w:t>
      </w:r>
      <w:r>
        <w:t xml:space="preserve">control plane reconciles</w:t>
      </w:r>
      <w:r>
        <w:t xml:space="preserve"> </w:t>
      </w:r>
      <w:r>
        <w:t xml:space="preserve">“registered and compliant”</w:t>
      </w:r>
      <w:r>
        <w:t xml:space="preserve"> </w:t>
      </w:r>
      <w:r>
        <w:t xml:space="preserve">coverage against the</w:t>
      </w:r>
      <w:r>
        <w:t xml:space="preserve"> </w:t>
      </w:r>
      <w:r>
        <w:t xml:space="preserve">OrgPath-scoped target population before any wave flips CA to enforce — so the</w:t>
      </w:r>
      <w:r>
        <w:t xml:space="preserve"> </w:t>
      </w:r>
      <w:r>
        <w:t xml:space="preserve">lockout failure mode in §3 cannot occur silently.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Reconcile duplicates and lifecycle.</w:t>
      </w:r>
      <w:r>
        <w:t xml:space="preserve"> </w:t>
      </w:r>
      <w:r>
        <w:t xml:space="preserve">Phantom/stale device objects are</w:t>
      </w:r>
      <w:r>
        <w:t xml:space="preserve"> </w:t>
      </w:r>
      <w:r>
        <w:t xml:space="preserve">classified as drift (</w:t>
      </w:r>
      <w:hyperlink r:id="rId33">
        <w:r>
          <w:rPr>
            <w:rStyle w:val="Hyperlink"/>
          </w:rPr>
          <w:t xml:space="preserve">ADR-074</w:t>
        </w:r>
      </w:hyperlink>
      <w:r>
        <w:t xml:space="preserve">)</w:t>
      </w:r>
      <w:r>
        <w:t xml:space="preserve"> </w:t>
      </w:r>
      <w:r>
        <w:t xml:space="preserve">and resolved against canon, not left to inflate the managed-device count.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Emit evidence an AO can sign.</w:t>
      </w:r>
      <w:r>
        <w:t xml:space="preserve"> </w:t>
      </w:r>
      <w:r>
        <w:t xml:space="preserve">Every wave produces signed</w:t>
      </w:r>
      <w:r>
        <w:t xml:space="preserve"> </w:t>
      </w:r>
      <w:r>
        <w:rPr>
          <w:rStyle w:val="VerbatimChar"/>
        </w:rPr>
        <w:t xml:space="preserve">plan / apply / reconcile</w:t>
      </w:r>
      <w:r>
        <w:t xml:space="preserve"> </w:t>
      </w:r>
      <w:r>
        <w:t xml:space="preserve">evidence. The accreditation sentence is not</w:t>
      </w:r>
      <w:r>
        <w:t xml:space="preserve"> </w:t>
      </w:r>
      <w:r>
        <w:t xml:space="preserve">“it</w:t>
      </w:r>
      <w:r>
        <w:t xml:space="preserve"> </w:t>
      </w:r>
      <w:r>
        <w:t xml:space="preserve">enforces managed-device sign-in”</w:t>
      </w:r>
      <w:r>
        <w:t xml:space="preserve"> </w:t>
      </w:r>
      <w:r>
        <w:t xml:space="preserve">but</w:t>
      </w:r>
      <w:r>
        <w:t xml:space="preserve"> </w:t>
      </w:r>
      <w:r>
        <w:t xml:space="preserve">“this operation class is at L3, gated,</w:t>
      </w:r>
      <w:r>
        <w:t xml:space="preserve"> </w:t>
      </w:r>
      <w:r>
        <w:t xml:space="preserve">with dry-run record and rollback”</w:t>
      </w:r>
      <w:r>
        <w:t xml:space="preserve"> </w:t>
      </w:r>
      <w:r>
        <w:t xml:space="preserve">— a sentence an authorizing official can put</w:t>
      </w:r>
      <w:r>
        <w:t xml:space="preserve"> </w:t>
      </w:r>
      <w:r>
        <w:t xml:space="preserve">their name to.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Cover the whole denominator.</w:t>
      </w:r>
      <w:r>
        <w:t xml:space="preserve"> </w:t>
      </w:r>
      <w:r>
        <w:t xml:space="preserve">Non-Windows, BYOD, and guest surfaces are</w:t>
      </w:r>
      <w:r>
        <w:t xml:space="preserve"> </w:t>
      </w:r>
      <w:r>
        <w:t xml:space="preserve">driven through Intune-first onboarding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ADR-071</w:t>
        </w:r>
      </w:hyperlink>
      <w:r>
        <w:t xml:space="preserve">) so the</w:t>
      </w:r>
      <w:r>
        <w:t xml:space="preserve"> </w:t>
      </w:r>
      <w:r>
        <w:t xml:space="preserve">control is satisfied for its real population, not just the Windows slice.</w:t>
      </w:r>
    </w:p>
    <w:p>
      <w:pPr>
        <w:pStyle w:val="FirstParagraph"/>
      </w:pPr>
      <w:r>
        <w:t xml:space="preserve">The end state is the same as the ungoverned flip. The difference is that every one</w:t>
      </w:r>
      <w:r>
        <w:t xml:space="preserve"> </w:t>
      </w:r>
      <w:r>
        <w:t xml:space="preserve">of the 50,000 changes is</w:t>
      </w:r>
      <w:r>
        <w:t xml:space="preserve"> </w:t>
      </w:r>
      <w:r>
        <w:rPr>
          <w:b/>
          <w:bCs/>
        </w:rPr>
        <w:t xml:space="preserve">owned, addressable, attributable, reversible, and</w:t>
      </w:r>
      <w:r>
        <w:rPr>
          <w:b/>
          <w:bCs/>
        </w:rPr>
        <w:t xml:space="preserve"> </w:t>
      </w:r>
      <w:r>
        <w:rPr>
          <w:b/>
          <w:bCs/>
        </w:rPr>
        <w:t xml:space="preserve">accredited</w:t>
      </w:r>
      <w:r>
        <w:t xml:space="preserve"> </w:t>
      </w:r>
      <w:r>
        <w:t xml:space="preserve">— the loss ledger of §3 is paid down rather than run up.</w:t>
      </w:r>
    </w:p>
    <w:p>
      <w:r>
        <w:pict>
          <ns5:rect style="width:0;height:1.5pt" ns6:hralign="center" ns6:hrstd="t" ns6:hr="t"/>
        </w:pict>
      </w:r>
    </w:p>
    <w:bookmarkEnd w:id="43"/>
    <w:bookmarkStart w:id="48" w:name="the-two-paths-side-by-side"/>
    <w:p>
      <w:pPr>
        <w:pStyle w:val="Heading2"/>
      </w:pPr>
      <w:r>
        <w:t xml:space="preserve">6. The two paths side by side</w:t>
      </w:r>
    </w:p>
    <w:p>
      <w:pPr>
        <w:pStyle w:val="FirstParagraph"/>
      </w:pPr>
      <w:r>
        <w:t xml:space="preserve">§2 named the exact provider mechanism that flips the fleet unattended — SCP,</w:t>
      </w:r>
      <w:r>
        <w:t xml:space="preserve"> </w:t>
      </w:r>
      <w:r>
        <w:t xml:space="preserve">GPO, the</w:t>
      </w:r>
      <w:r>
        <w:t xml:space="preserve"> </w:t>
      </w:r>
      <w:r>
        <w:rPr>
          <w:rStyle w:val="VerbatimChar"/>
        </w:rPr>
        <w:t xml:space="preserve">Automatic-Device-Join</w:t>
      </w:r>
      <w:r>
        <w:t xml:space="preserve"> </w:t>
      </w:r>
      <w:r>
        <w:t xml:space="preserve">scheduled task,</w:t>
      </w:r>
      <w:r>
        <w:t xml:space="preserve"> </w:t>
      </w:r>
      <w:r>
        <w:rPr>
          <w:rStyle w:val="VerbatimChar"/>
        </w:rPr>
        <w:t xml:space="preserve">dsregcmd /status</w:t>
      </w:r>
      <w:r>
        <w:t xml:space="preserve">. §5 names</w:t>
      </w:r>
      <w:r>
        <w:t xml:space="preserve"> </w:t>
      </w:r>
      <w:r>
        <w:t xml:space="preserve">the equivalent governed mechanism at the same level of specificity —</w:t>
      </w:r>
      <w:r>
        <w:t xml:space="preserve"> </w:t>
      </w:r>
      <w:r>
        <w:rPr>
          <w:rStyle w:val="VerbatimChar"/>
        </w:rPr>
        <w:t xml:space="preserve">EntraDynamicGroupAdapter.plan()</w:t>
      </w:r>
      <w:r>
        <w:t xml:space="preserve"> </w:t>
      </w:r>
      <w:r>
        <w:t xml:space="preserve">computing the wave’s operations,</w:t>
      </w:r>
      <w:r>
        <w:t xml:space="preserve"> </w:t>
      </w:r>
      <w:r>
        <w:rPr>
          <w:rStyle w:val="VerbatimChar"/>
        </w:rPr>
        <w:t xml:space="preserve">apply(dry_run=True)</w:t>
      </w:r>
      <w:r>
        <w:t xml:space="preserve"> </w:t>
      </w:r>
      <w:r>
        <w:t xml:space="preserve">as the default report-only execution, an explicit</w:t>
      </w:r>
      <w:r>
        <w:t xml:space="preserve"> </w:t>
      </w:r>
      <w:r>
        <w:rPr>
          <w:rStyle w:val="VerbatimChar"/>
        </w:rPr>
        <w:t xml:space="preserve">dry_run=False</w:t>
      </w:r>
      <w:r>
        <w:t xml:space="preserve"> </w:t>
      </w:r>
      <w:r>
        <w:t xml:space="preserve">promotion as the L3 gate, and</w:t>
      </w:r>
      <w:r>
        <w:t xml:space="preserve"> </w:t>
      </w:r>
      <w:r>
        <w:rPr>
          <w:rStyle w:val="VerbatimChar"/>
        </w:rPr>
        <w:t xml:space="preserve">governance_review_ops</w:t>
      </w:r>
      <w:r>
        <w:t xml:space="preserve"> </w:t>
      </w:r>
      <w:r>
        <w:t xml:space="preserve">as the</w:t>
      </w:r>
      <w:r>
        <w:t xml:space="preserve"> </w:t>
      </w:r>
      <w:r>
        <w:t xml:space="preserve">operations that stay human-gated no matter what. Both are real code paths in</w:t>
      </w:r>
      <w:r>
        <w:t xml:space="preserve"> </w:t>
      </w:r>
      <w:r>
        <w:t xml:space="preserve">this repository, not aspirational description. Same end state; the entire</w:t>
      </w:r>
      <w:r>
        <w:t xml:space="preserve"> </w:t>
      </w:r>
      <w:r>
        <w:t xml:space="preserve">difference is what stands between the plan and the write.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two-paths"/>
          <w:p>
            <w:pPr>
              <w:pStyle w:val="Compact"/>
              <w:jc w:val="center"/>
            </w:pPr>
            <w:r>
              <w:drawing>
                <ns1:inline>
                  <ns1:extent cx="5334000" cy="3000375"/>
                  <ns1:effectExtent b="0" l="0" r="0" t="0"/>
                  <ns1:docPr descr="" title="" id="45" name="Picture"/>
                  <ns2:graphic>
                    <ns2:graphicData uri="http://schemas.openxmlformats.org/drawingml/2006/picture">
                      <ns3:pic>
                        <ns3:nvPicPr>
                          <ns3:cNvPr descr="images/hybrid-join-without-governance-diagram-03-two-paths.png" id="46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44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5334000" cy="3000375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Both paths reach the same end state — devices hybrid-joined with Conditional Access enforcing — but the ungoverned flip spends the loss ledger while the governed wave pipeline pays it down</w:t>
            </w:r>
          </w:p>
          <w:bookmarkEnd w:id="4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Ungoverned flip</w:t>
            </w:r>
          </w:p>
        </w:tc>
        <w:tc>
          <w:tcPr/>
          <w:p>
            <w:pPr>
              <w:pStyle w:val="Compact"/>
            </w:pPr>
            <w:r>
              <w:t xml:space="preserve">Governed reconciliation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Effort to start</w:t>
            </w:r>
          </w:p>
        </w:tc>
        <w:tc>
          <w:tcPr/>
          <w:p>
            <w:pPr>
              <w:pStyle w:val="Compact"/>
            </w:pPr>
            <w:r>
              <w:t xml:space="preserve">Two settings (SCP + GPO)</w:t>
            </w:r>
          </w:p>
        </w:tc>
        <w:tc>
          <w:tcPr/>
          <w:p>
            <w:pPr>
              <w:pStyle w:val="Compact"/>
            </w:pPr>
            <w:r>
              <w:t xml:space="preserve">A program, scoped by OrgPath waves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 decides, per device</w:t>
            </w:r>
          </w:p>
        </w:tc>
        <w:tc>
          <w:tcPr/>
          <w:p>
            <w:pPr>
              <w:pStyle w:val="Compact"/>
            </w:pPr>
            <w:r>
              <w:t xml:space="preserve">No one — auto-registration</w:t>
            </w:r>
          </w:p>
        </w:tc>
        <w:tc>
          <w:tcPr/>
          <w:p>
            <w:pPr>
              <w:pStyle w:val="Compact"/>
            </w:pPr>
            <w:r>
              <w:t xml:space="preserve">Canon target + human-approved waves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Pre-enforcement safety</w:t>
            </w:r>
          </w:p>
        </w:tc>
        <w:tc>
          <w:tcPr/>
          <w:p>
            <w:pPr>
              <w:pStyle w:val="Compact"/>
            </w:pPr>
            <w:r>
              <w:t xml:space="preserve">CA can lock out the fleet</w:t>
            </w:r>
          </w:p>
        </w:tc>
        <w:tc>
          <w:tcPr/>
          <w:p>
            <w:pPr>
              <w:pStyle w:val="Compact"/>
            </w:pPr>
            <w:r>
              <w:t xml:space="preserve">Report-only baked against coverage first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Duplicate / stale objects</w:t>
            </w:r>
          </w:p>
        </w:tc>
        <w:tc>
          <w:tcPr/>
          <w:p>
            <w:pPr>
              <w:pStyle w:val="Compact"/>
            </w:pPr>
            <w:r>
              <w:t xml:space="preserve">Accumulate as phantom</w:t>
            </w:r>
            <w:r>
              <w:t xml:space="preserve"> </w:t>
            </w:r>
            <w:r>
              <w:t xml:space="preserve">“managed”</w:t>
            </w:r>
            <w:r>
              <w:t xml:space="preserve"> </w:t>
            </w:r>
            <w:r>
              <w:t xml:space="preserve">devices</w:t>
            </w:r>
          </w:p>
        </w:tc>
        <w:tc>
          <w:tcPr/>
          <w:p>
            <w:pPr>
              <w:pStyle w:val="Compact"/>
            </w:pPr>
            <w:r>
              <w:t xml:space="preserve">Classified as drift, reconciled to canon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Non-Windows / BYOD / guests</w:t>
            </w:r>
          </w:p>
        </w:tc>
        <w:tc>
          <w:tcPr/>
          <w:p>
            <w:pPr>
              <w:pStyle w:val="Compact"/>
            </w:pPr>
            <w:r>
              <w:t xml:space="preserve">Invisible — false green</w:t>
            </w:r>
          </w:p>
        </w:tc>
        <w:tc>
          <w:tcPr/>
          <w:p>
            <w:pPr>
              <w:pStyle w:val="Compact"/>
            </w:pPr>
            <w:r>
              <w:t xml:space="preserve">Surfaced as gap; Intune-first onboarding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Accountability</w:t>
            </w:r>
          </w:p>
        </w:tc>
        <w:tc>
          <w:tcPr/>
          <w:p>
            <w:pPr>
              <w:pStyle w:val="Compact"/>
            </w:pPr>
            <w:r>
              <w:t xml:space="preserve">50,000 unattributable changes</w:t>
            </w:r>
          </w:p>
        </w:tc>
        <w:tc>
          <w:tcPr/>
          <w:p>
            <w:pPr>
              <w:pStyle w:val="Compact"/>
            </w:pPr>
            <w:r>
              <w:t xml:space="preserve">Signed</w:t>
            </w:r>
            <w:r>
              <w:t xml:space="preserve"> </w:t>
            </w:r>
            <w:r>
              <w:rPr>
                <w:rStyle w:val="VerbatimChar"/>
              </w:rPr>
              <w:t xml:space="preserve">plan/apply/reconcile</w:t>
            </w:r>
            <w:r>
              <w:t xml:space="preserve"> </w:t>
            </w: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AO sign-off</w:t>
            </w:r>
          </w:p>
        </w:tc>
        <w:tc>
          <w:tcPr/>
          <w:p>
            <w:pPr>
              <w:pStyle w:val="Compact"/>
            </w:pPr>
            <w:r>
              <w:t xml:space="preserve">“It’s enabled”</w:t>
            </w:r>
          </w:p>
        </w:tc>
        <w:tc>
          <w:tcPr/>
          <w:p>
            <w:pPr>
              <w:pStyle w:val="Compact"/>
            </w:pPr>
            <w:r>
              <w:t xml:space="preserve">“This class is L3-gated, dry-run, rollback-capable”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Reversibility</w:t>
            </w:r>
          </w:p>
        </w:tc>
        <w:tc>
          <w:tcPr/>
          <w:p>
            <w:pPr>
              <w:pStyle w:val="Compact"/>
            </w:pPr>
            <w:r>
              <w:t xml:space="preserve">No rollback plane</w:t>
            </w:r>
          </w:p>
        </w:tc>
        <w:tc>
          <w:tcPr/>
          <w:p>
            <w:pPr>
              <w:pStyle w:val="Compact"/>
            </w:pPr>
            <w:r>
              <w:t xml:space="preserve">Rollback-capable, evidence-backed</w:t>
            </w:r>
          </w:p>
        </w:tc>
      </w:tr>
    </w:tbl>
    <w:p>
      <w:r>
        <w:pict>
          <ns5:rect style="width:0;height:1.5pt" ns6:hralign="center" ns6:hrstd="t" ns6:hr="t"/>
        </w:pict>
      </w:r>
    </w:p>
    <w:bookmarkEnd w:id="48"/>
    <w:bookmarkStart w:id="52" w:name="how-this-maps-to-uiao-canon"/>
    <w:p>
      <w:pPr>
        <w:pStyle w:val="Heading2"/>
      </w:pPr>
      <w:r>
        <w:t xml:space="preserve">7. How this maps to UIAO canon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Claim in this paper</w:t>
            </w:r>
          </w:p>
        </w:tc>
        <w:tc>
          <w:tcPr/>
          <w:p>
            <w:pPr>
              <w:pStyle w:val="Compact"/>
            </w:pPr>
            <w:r>
              <w:t xml:space="preserve">Canon anchor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control is a multi-quarter program, not a toggle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crosswalk T3 row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The 🔴 / T3 score is the starting point this paper expands.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Governance is the part the mechanism doesn’t require</w:t>
            </w:r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ADR-092 §1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AD conflated truth with the in-path enforcer; the data plane makes bulk change effortless and ungoverned.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Every governed device carries OrgPath; decisions compose against it</w:t>
            </w:r>
          </w:p>
        </w:tc>
        <w:tc>
          <w:tcPr/>
          <w:p>
            <w:pPr>
              <w:pStyle w:val="Compact"/>
            </w:pPr>
            <w:hyperlink r:id="rId32">
              <w:r>
                <w:rPr>
                  <w:rStyle w:val="Hyperlink"/>
                </w:rPr>
                <w:t xml:space="preserve">UIAO_151</w:t>
              </w:r>
            </w:hyperlink>
            <w:r>
              <w:t xml:space="preserve">,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ADR-092 §2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OrgPath is an</w:t>
            </w:r>
            <w:r>
              <w:t xml:space="preserve"> </w:t>
            </w:r>
            <w:r>
              <w:rPr>
                <w:i/>
                <w:iCs/>
              </w:rPr>
              <w:t xml:space="preserve">addressing attribute</w:t>
            </w:r>
            <w:r>
              <w:t xml:space="preserve">, not a token; scoping/AU/CA/Intune compose against 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Tenant-wide device/CA change is L3-capped</w:t>
            </w:r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ADR-092 §3–4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High-blast-radius classes are permanently human-gated at the federal L3 ceiling.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wave’s plan/apply mechanism, and its permanent human-review set</w:t>
            </w:r>
          </w:p>
        </w:tc>
        <w:tc>
          <w:tcPr/>
          <w:p>
            <w:pPr>
              <w:pStyle w:val="Compact"/>
            </w:pPr>
            <w:hyperlink r:id="rId42">
              <w:r>
                <w:rPr>
                  <w:rStyle w:val="Hyperlink"/>
                </w:rPr>
                <w:t xml:space="preserve">ADR-084 §C4–C5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EntraDynamicGroupAdapter.plan()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apply(dry_run=...)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governance_review_ops</w:t>
            </w:r>
            <w:r>
              <w:t xml:space="preserve"> </w:t>
            </w:r>
            <w:r>
              <w:t xml:space="preserve">are the code-level shape of the L1/L2/L3 rungs above.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Duplicate/stale device objects are drift</w:t>
            </w:r>
          </w:p>
        </w:tc>
        <w:tc>
          <w:tcPr/>
          <w:p>
            <w:pPr>
              <w:pStyle w:val="Compact"/>
            </w:pPr>
            <w:hyperlink r:id="rId33">
              <w:r>
                <w:rPr>
                  <w:rStyle w:val="Hyperlink"/>
                </w:rPr>
                <w:t xml:space="preserve">ADR-074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DRIFT-SSOT-CONTENTION</w:t>
            </w:r>
            <w:r>
              <w:t xml:space="preserve"> </w:t>
            </w:r>
            <w:r>
              <w:t xml:space="preserve">— structurally valid state directed at a record that should no longer be authoritative.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Unattributable state changes are a provenance gap</w:t>
            </w:r>
          </w:p>
        </w:tc>
        <w:tc>
          <w:tcPr/>
          <w:p>
            <w:pPr>
              <w:pStyle w:val="Compact"/>
            </w:pPr>
            <w:hyperlink r:id="rId34">
              <w:r>
                <w:rPr>
                  <w:rStyle w:val="Hyperlink"/>
                </w:rPr>
                <w:t xml:space="preserve">ADR-040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DRIFT-PROVENANCE</w:t>
            </w:r>
            <w:r>
              <w:t xml:space="preserve"> </w:t>
            </w:r>
            <w:r>
              <w:t xml:space="preserve">— activity that cannot be traced to a declared, authorized source.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Whole-denominator coverage via endpoint onboarding</w:t>
            </w:r>
          </w:p>
        </w:tc>
        <w:tc>
          <w:tcPr/>
          <w:p>
            <w:pPr>
              <w:pStyle w:val="Compact"/>
            </w:pPr>
            <w:hyperlink r:id="rId36">
              <w:r>
                <w:rPr>
                  <w:rStyle w:val="Hyperlink"/>
                </w:rPr>
                <w:t xml:space="preserve">ADR-071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Intune-first asset onboarding across surfaces, not Windows-only.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Control-plane / data-plane separation as the spine</w:t>
            </w:r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ADR-092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This paper is one worked operation inside that larger arc (the</w:t>
            </w:r>
            <w:r>
              <w:t xml:space="preserve"> </w:t>
            </w:r>
            <w:hyperlink r:id="rId49">
              <w:r>
                <w:rPr>
                  <w:rStyle w:val="Hyperlink"/>
                  <w:i/>
                  <w:iCs/>
                </w:rPr>
                <w:t xml:space="preserve">Modernization Journey</w:t>
              </w:r>
            </w:hyperlink>
            <w:r>
              <w:t xml:space="preserve"> </w:t>
            </w:r>
            <w:r>
              <w:t xml:space="preserve">whitepaper tells it end to end).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ns1:inline>
                  <ns1:extent cx="152400" cy="152400"/>
                  <ns1:effectExtent b="0" l="0" r="0" t="0"/>
                  <ns1:docPr descr="" title="" id="50" name="Picture"/>
                  <ns2:graphic>
                    <ns2:graphicData uri="http://schemas.openxmlformats.org/drawingml/2006/picture">
                      <ns3:pic>
                        <ns3:nvPicPr>
                          <ns3:cNvPr descr="/opt/quarto/share/formats/docx/note.png" id="51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12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152400" cy="152400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Provenance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Entra hybrid-join mechanism in §2 is summarized from Microsoft Learn (linked</w:t>
            </w:r>
            <w:r>
              <w:t xml:space="preserve"> </w:t>
            </w:r>
            <w:r>
              <w:t xml:space="preserve">inline) and is provider behavior, not a UIAO canon claim. The loss ledger (§3) and</w:t>
            </w:r>
            <w:r>
              <w:t xml:space="preserve"> </w:t>
            </w:r>
            <w:r>
              <w:t xml:space="preserve">the governed path (§5) are reconciled to canon as tabulated in §7. Draft staged</w:t>
            </w:r>
            <w:r>
              <w:t xml:space="preserve"> </w:t>
            </w:r>
            <w:r>
              <w:t xml:space="preserve">2026-06-08 for review; published to the site as a Draft-status work.</w:t>
            </w:r>
          </w:p>
          <w:p/>
        </w:tc>
      </w:tr>
    </w:tbl>
    <w:bookmarkEnd w:id="52"/>
    <w:bookmarkStart w:id="56" w:name="sources"/>
    <w:p>
      <w:pPr>
        <w:pStyle w:val="Heading2"/>
      </w:pPr>
      <w:r>
        <w:t xml:space="preserve">Sources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Microsoft Entra hybrid join — concept</w:t>
        </w:r>
      </w:hyperlink>
    </w:p>
    <w:p>
      <w:pPr>
        <w:pStyle w:val="Compact"/>
        <w:numPr>
          <w:ilvl w:val="0"/>
          <w:numId w:val="1004"/>
        </w:numPr>
      </w:pPr>
      <w:hyperlink r:id="rId21">
        <w:r>
          <w:rPr>
            <w:rStyle w:val="Hyperlink"/>
          </w:rPr>
          <w:t xml:space="preserve">Plan your hybrid join deployment</w:t>
        </w:r>
      </w:hyperlink>
    </w:p>
    <w:p>
      <w:pPr>
        <w:pStyle w:val="Compact"/>
        <w:numPr>
          <w:ilvl w:val="0"/>
          <w:numId w:val="1004"/>
        </w:numPr>
      </w:pPr>
      <w:hyperlink r:id="rId22">
        <w:r>
          <w:rPr>
            <w:rStyle w:val="Hyperlink"/>
          </w:rPr>
          <w:t xml:space="preserve">How to configure hybrid join</w:t>
        </w:r>
      </w:hyperlink>
    </w:p>
    <w:p>
      <w:pPr>
        <w:pStyle w:val="Compact"/>
        <w:numPr>
          <w:ilvl w:val="0"/>
          <w:numId w:val="1004"/>
        </w:numPr>
      </w:pPr>
      <w:r>
        <w:t xml:space="preserve">Companion crosswalk:</w:t>
      </w:r>
      <w:r>
        <w:t xml:space="preserve"> </w:t>
      </w:r>
      <w:hyperlink r:id="rId15">
        <w:r>
          <w:rPr>
            <w:rStyle w:val="Hyperlink"/>
          </w:rPr>
          <w:t xml:space="preserve">Entra Security Baseline — A Federal AD-to-Entra Crosswalk</w:t>
        </w:r>
      </w:hyperlink>
      <w:r>
        <w:t xml:space="preserve"> </w:t>
      </w:r>
      <w:r>
        <w:t xml:space="preserve">(the T3 row this paper expands).</w:t>
      </w:r>
    </w:p>
    <w:p>
      <w:pPr>
        <w:pStyle w:val="Compact"/>
        <w:numPr>
          <w:ilvl w:val="0"/>
          <w:numId w:val="1004"/>
        </w:numPr>
      </w:pPr>
      <w:r>
        <w:t xml:space="preserve">Companion narrative:</w:t>
      </w:r>
      <w:r>
        <w:t xml:space="preserve"> </w:t>
      </w:r>
      <w:hyperlink r:id="rId49">
        <w:r>
          <w:rPr>
            <w:rStyle w:val="Hyperlink"/>
            <w:i/>
            <w:iCs/>
          </w:rPr>
          <w:t xml:space="preserve">Modernization Journey</w:t>
        </w:r>
      </w:hyperlink>
      <w:r>
        <w:t xml:space="preserve"> </w:t>
      </w:r>
      <w:r>
        <w:t xml:space="preserve">— the control-plane/data-plane arc this paper sits inside.</w:t>
      </w:r>
    </w:p>
    <w:p>
      <w:pPr>
        <w:pStyle w:val="Compact"/>
        <w:numPr>
          <w:ilvl w:val="0"/>
          <w:numId w:val="1004"/>
        </w:numPr>
      </w:pPr>
      <w:r>
        <w:t xml:space="preserve">Series treatment of the device plane:</w:t>
      </w:r>
      <w:r>
        <w:t xml:space="preserve"> </w:t>
      </w:r>
      <w:hyperlink r:id="rId54">
        <w:r>
          <w:rPr>
            <w:rStyle w:val="Hyperlink"/>
          </w:rPr>
          <w:t xml:space="preserve">OrgPath narrative Book 05 — OrgPath and Microsoft Intune</w:t>
        </w:r>
      </w:hyperlink>
      <w:r>
        <w:t xml:space="preserve"> </w:t>
      </w:r>
      <w:r>
        <w:t xml:space="preserve">(the dynamic device-group library and compliance/CA bridge the governed path assumes), curated with the rest of the modernization surfaces at the</w:t>
      </w:r>
      <w:r>
        <w:t xml:space="preserve"> </w:t>
      </w:r>
      <w:hyperlink r:id="rId55">
        <w:r>
          <w:rPr>
            <w:rStyle w:val="Hyperlink"/>
          </w:rPr>
          <w:t xml:space="preserve">OrgMod hub</w:t>
        </w:r>
      </w:hyperlink>
      <w:r>
        <w:t xml:space="preserve">.</w:t>
      </w:r>
    </w:p>
    <w:bookmarkEnd w:id="56"/>
    <w:bookmarkStart w:id="59" w:name="call-to-action"/>
    <w:p>
      <w:pPr>
        <w:pStyle w:val="Heading2"/>
      </w:pPr>
      <w:r>
        <w:t xml:space="preserve">Call to Action</w:t>
      </w:r>
    </w:p>
    <w:p>
      <w:pPr>
        <w:pStyle w:val="FirstParagraph"/>
      </w:pPr>
      <w:r>
        <w:t xml:space="preserve">The two paths in §6 reach the same technical end state. The only</w:t>
      </w:r>
      <w:r>
        <w:t xml:space="preserve"> </w:t>
      </w:r>
      <w:r>
        <w:t xml:space="preserve">question this paper actually poses is which one your agency is already</w:t>
      </w:r>
      <w:r>
        <w:t xml:space="preserve"> </w:t>
      </w:r>
      <w:r>
        <w:t xml:space="preserve">on — and whether anyone decided that on purpose.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ns1:inline>
                  <ns1:extent cx="152400" cy="152400"/>
                  <ns1:effectExtent b="0" l="0" r="0" t="0"/>
                  <ns1:docPr descr="" title="" id="57" name="Picture"/>
                  <ns2:graphic>
                    <ns2:graphicData uri="http://schemas.openxmlformats.org/drawingml/2006/picture">
                      <ns3:pic>
                        <ns3:nvPicPr>
                          <ns3:cNvPr descr="/opt/quarto/share/formats/docx/important.png" id="58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9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152400" cy="152400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Four steps before the next tenant switch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Check whether the ungoverned path is already live.</w:t>
            </w:r>
            <w:r>
              <w:t xml:space="preserve"> </w:t>
            </w:r>
            <w:r>
              <w:t xml:space="preserve">Confirm</w:t>
            </w:r>
            <w:r>
              <w:t xml:space="preserve"> </w:t>
            </w:r>
            <w:r>
              <w:t xml:space="preserve">whether hybrid-join auto-registration (SCP + GPO) is enabled in your</w:t>
            </w:r>
            <w:r>
              <w:t xml:space="preserve"> </w:t>
            </w:r>
            <w:r>
              <w:t xml:space="preserve">tenant today, and if so, since when. A control that</w:t>
            </w:r>
            <w:r>
              <w:t xml:space="preserve"> </w:t>
            </w:r>
            <w:r>
              <w:t xml:space="preserve">“shipped itself”</w:t>
            </w:r>
            <w:r>
              <w:t xml:space="preserve"> </w:t>
            </w:r>
            <w:r>
              <w:t xml:space="preserve">the moment the settings were flipped is drift, not policy — it needs</w:t>
            </w:r>
            <w:r>
              <w:t xml:space="preserve"> </w:t>
            </w:r>
            <w:r>
              <w:t xml:space="preserve">to be found before it can be governed.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Inventory before you enforce.</w:t>
            </w:r>
            <w:r>
              <w:t xml:space="preserve"> </w:t>
            </w:r>
            <w:r>
              <w:t xml:space="preserve">Run the ungoverned fleet against</w:t>
            </w:r>
            <w:r>
              <w:t xml:space="preserve"> </w:t>
            </w:r>
            <w:r>
              <w:t xml:space="preserve">the loss ledger in §3 — count the duplicate objects, the</w:t>
            </w:r>
            <w:r>
              <w:t xml:space="preserve"> </w:t>
            </w:r>
            <w:r>
              <w:t xml:space="preserve">unattributable device-state changes, the non-Windows/BYOD devices</w:t>
            </w:r>
            <w:r>
              <w:t xml:space="preserve"> </w:t>
            </w:r>
            <w:r>
              <w:t xml:space="preserve">Conditional Access can’t see. This inventory is the input to every</w:t>
            </w:r>
            <w:r>
              <w:t xml:space="preserve"> </w:t>
            </w:r>
            <w:r>
              <w:t xml:space="preserve">later wave, not a formality.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Enter at L1 Observe, report-only, before any CA policy can lock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out the fleet.</w:t>
            </w:r>
            <w:r>
              <w:t xml:space="preserve"> </w:t>
            </w:r>
            <w:r>
              <w:t xml:space="preserve">The governed path in §5 exists precisely so</w:t>
            </w:r>
            <w:r>
              <w:t xml:space="preserve"> </w:t>
            </w:r>
            <w:r>
              <w:t xml:space="preserve">enforcement never runs ahead of coverage data. Skipping straight to</w:t>
            </w:r>
            <w:r>
              <w:t xml:space="preserve"> </w:t>
            </w:r>
            <w:r>
              <w:t xml:space="preserve">L3 is how a well-intentioned rollout becomes an outage.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Assign the wave owner.</w:t>
            </w:r>
            <w:r>
              <w:t xml:space="preserve"> </w:t>
            </w:r>
            <w:r>
              <w:t xml:space="preserve">Someone needs to own the OrgPath-scoped</w:t>
            </w:r>
            <w:r>
              <w:t xml:space="preserve"> </w:t>
            </w:r>
            <w:r>
              <w:t xml:space="preserve">wave plan, the AO sign-off on each L3-gated class, and the rollback</w:t>
            </w:r>
            <w:r>
              <w:t xml:space="preserve"> </w:t>
            </w:r>
            <w:r>
              <w:t xml:space="preserve">path. If no one owns it, the tenant setting is the plan — which is</w:t>
            </w:r>
            <w:r>
              <w:t xml:space="preserve"> </w:t>
            </w:r>
            <w:r>
              <w:t xml:space="preserve">the failure mode this paper describes.</w:t>
            </w:r>
          </w:p>
          <w:p/>
        </w:tc>
      </w:tr>
    </w:tbl>
    <w:p>
      <w:pPr>
        <w:pStyle w:val="FirstParagraph"/>
      </w:pPr>
      <w:r>
        <w:t xml:space="preserve">This is a single control, not a program — which is exactly why it’s</w:t>
      </w:r>
      <w:r>
        <w:t xml:space="preserve"> </w:t>
      </w:r>
      <w:r>
        <w:t xml:space="preserve">worth getting right before the next 50,000-device decision arrives on a</w:t>
      </w:r>
      <w:r>
        <w:t xml:space="preserve"> </w:t>
      </w:r>
      <w:r>
        <w:t xml:space="preserve">shorter deadline.</w:t>
      </w:r>
    </w:p>
    <w:bookmarkEnd w:id="59"/>
    <w:bookmarkEnd w:id="60"/>
    <w:sectPr>
      <w:headerReference w:type="first" r:id="rIdHdr1"/>
      <w:footnotePr>
        <w:numRestart w:val="eachSect"/>
      </w:footnotePr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!-- uiao-docx-header-stamp -->
<w:hdr xmlns:w="http://schemas.openxmlformats.org/wordprocessingml/2006/main">
  <w:p>
    <w:pPr>
      <w:jc w:val="right"/>
      <w:spacing w:after="0"/>
      <w:rPr>
        <w:sz w:val="16"/>
        <w:szCs w:val="16"/>
        <w:color w:val="6E7781"/>
      </w:rPr>
    </w:pPr>
    <w:r>
      <w:rPr>
        <w:sz w:val="16"/>
        <w:szCs w:val="16"/>
        <w:color w:val="6E7781"/>
      </w:rPr>
      <w:t xml:space="preserve">Rendered 2026-09-16 14:56 UTC  ·  Rev e1a72fa8 (2026-09-16)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/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keepLines/>
    </w:p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iPriority w:val="59"/>
    <w:qFormat/>
    <w:tblPr>
      <w:tblInd w:type="dxa" w:w="0"/>
      <w:tblBorders>
        <w:top w:color="0078D4" w:space="0" w:sz="12" w:val="single"/>
        <w:bottom w:color="0078D4" w:space="0" w:sz="12" w:val="single"/>
        <w:left w:val="nil"/>
        <w:right w:val="nil"/>
        <w:insideH w:color="D1D5DA" w:space="0" w:sz="4" w:val="single"/>
        <w:insideV w:val="nil"/>
      </w:tblBorders>
      <w:tblCellMar>
        <w:top w:type="dxa" w:w="80"/>
        <w:left w:type="dxa" w:w="108"/>
        <w:bottom w:type="dxa" w:w="80"/>
        <w:right w:type="dxa" w:w="108"/>
      </w:tblCellMar>
    </w:tblPr>
    <w:tblStylePr w:type="firstRow">
      <w:rPr>
        <w:b/>
      </w:rPr>
      <w:tcPr>
        <w:tcBorders>
          <w:bottom w:color="0078D4" w:space="0" w:sz="8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ourceCode" w:type="paragraph">
    <w:name w:val="Source Code"/>
    <w:basedOn w:val="Normal"/>
    <w:link w:val="VerbatimChar"/>
    <w:pPr>
      <w:pBdr>
        <w:top w:color="D1D5DA" w:space="6" w:sz="6" w:val="single"/>
        <w:left w:color="D1D5DA" w:space="6" w:sz="6" w:val="single"/>
        <w:bottom w:color="D1D5DA" w:space="6" w:sz="6" w:val="single"/>
        <w:right w:color="D1D5DA" w:space="6" w:sz="6" w:val="single"/>
      </w:pBdr>
      <w:shd w:fill="F6F8FA" w:val="clear"/>
      <w:wordWrap w:val="off"/>
      <w:spacing w:after="0" w:before="0" w:line="240" w:lineRule="auto"/>
      <w:ind w:left="144" w:right="144"/>
      <w:contextualSpacing/>
    </w:pPr>
    <w:rPr>
      <w:rFonts w:ascii="Consolas" w:hAnsi="Consolas"/>
      <w:color w:val="24292E"/>
      <w:sz w:val="18"/>
    </w:rPr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Relationship Type="http://schemas.openxmlformats.org/officeDocument/2006/relationships/image" Id="rId16" Target="media/rId16.png" /><Relationship Type="http://schemas.openxmlformats.org/officeDocument/2006/relationships/image" Id="rId23" Target="media/rId23.png" /><Relationship Type="http://schemas.openxmlformats.org/officeDocument/2006/relationships/image" Id="rId28" Target="media/rId28.png" /><Relationship Type="http://schemas.openxmlformats.org/officeDocument/2006/relationships/image" Id="rId44" Target="media/rId44.png" /><Relationship Type="http://schemas.openxmlformats.org/officeDocument/2006/relationships/image" Id="rId38" Target="media/rId38.png" /><Relationship Type="http://schemas.openxmlformats.org/officeDocument/2006/relationships/hyperlink" Id="rId32" Target="https://github.com/WhalerMike/uiao/blob/main/src/uiao/canon/UIAO_151_OrgPath_Codebook.md" TargetMode="External" /><Relationship Type="http://schemas.openxmlformats.org/officeDocument/2006/relationships/hyperlink" Id="rId53" Target="https://learn.microsoft.com/en-us/entra/identity/devices/concept-hybrid-join" TargetMode="External" /><Relationship Type="http://schemas.openxmlformats.org/officeDocument/2006/relationships/hyperlink" Id="rId22" Target="https://learn.microsoft.com/en-us/entra/identity/devices/how-to-hybrid-join" TargetMode="External" /><Relationship Type="http://schemas.openxmlformats.org/officeDocument/2006/relationships/hyperlink" Id="rId21" Target="https://learn.microsoft.com/en-us/entra/identity/devices/hybrid-join-plan" TargetMode="External" /><Relationship Type="http://schemas.openxmlformats.org/officeDocument/2006/relationships/hyperlink" Id="rId34" Target="https://whalermike.github.io/uiao/adr/adr-040-drift-engine.html" TargetMode="External" /><Relationship Type="http://schemas.openxmlformats.org/officeDocument/2006/relationships/hyperlink" Id="rId36" Target="https://whalermike.github.io/uiao/adr/adr-071-intune-first-asset-onboarding.html" TargetMode="External" /><Relationship Type="http://schemas.openxmlformats.org/officeDocument/2006/relationships/hyperlink" Id="rId33" Target="https://whalermike.github.io/uiao/adr/adr-074-drift-ssot-contention.html" TargetMode="External" /><Relationship Type="http://schemas.openxmlformats.org/officeDocument/2006/relationships/hyperlink" Id="rId42" Target="https://whalermike.github.io/uiao/adr/adr-084-phase5-consumer-architecture.html" TargetMode="External" /><Relationship Type="http://schemas.openxmlformats.org/officeDocument/2006/relationships/hyperlink" Id="rId19" Target="https://whalermike.github.io/uiao/adr/adr-092-active-governance.html" TargetMode="External" /><Relationship Type="http://schemas.openxmlformats.org/officeDocument/2006/relationships/hyperlink" Id="rId15" Target="https://whalermike.github.io/uiao/customer-documents/learning/entra-security-baseline-federal-crosswalk.html" TargetMode="External" /><Relationship Type="http://schemas.openxmlformats.org/officeDocument/2006/relationships/hyperlink" Id="rId54" Target="https://whalermike.github.io/uiao/customer-documents/orgpath-narrative/Book_05.html" TargetMode="External" /><Relationship Type="http://schemas.openxmlformats.org/officeDocument/2006/relationships/hyperlink" Id="rId49" Target="https://whalermike.github.io/uiao/customer-documents/whitepapers/modernization-journey.html" TargetMode="External" /><Relationship Type="http://schemas.openxmlformats.org/officeDocument/2006/relationships/hyperlink" Id="rId55" Target="https://whalermike.github.io/uiao/orgmod/index.html" TargetMode="External" /><Relationship Id="rIdHdr1" Type="http://schemas.openxmlformats.org/officeDocument/2006/relationships/header" Target="header1.xm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github.com/WhalerMike/uiao/blob/main/src/uiao/canon/UIAO_151_OrgPath_Codebook.md" TargetMode="External" /><Relationship Type="http://schemas.openxmlformats.org/officeDocument/2006/relationships/hyperlink" Id="rId53" Target="https://learn.microsoft.com/en-us/entra/identity/devices/concept-hybrid-join" TargetMode="External" /><Relationship Type="http://schemas.openxmlformats.org/officeDocument/2006/relationships/hyperlink" Id="rId22" Target="https://learn.microsoft.com/en-us/entra/identity/devices/how-to-hybrid-join" TargetMode="External" /><Relationship Type="http://schemas.openxmlformats.org/officeDocument/2006/relationships/hyperlink" Id="rId21" Target="https://learn.microsoft.com/en-us/entra/identity/devices/hybrid-join-plan" TargetMode="External" /><Relationship Type="http://schemas.openxmlformats.org/officeDocument/2006/relationships/hyperlink" Id="rId34" Target="https://whalermike.github.io/uiao/adr/adr-040-drift-engine.html" TargetMode="External" /><Relationship Type="http://schemas.openxmlformats.org/officeDocument/2006/relationships/hyperlink" Id="rId36" Target="https://whalermike.github.io/uiao/adr/adr-071-intune-first-asset-onboarding.html" TargetMode="External" /><Relationship Type="http://schemas.openxmlformats.org/officeDocument/2006/relationships/hyperlink" Id="rId33" Target="https://whalermike.github.io/uiao/adr/adr-074-drift-ssot-contention.html" TargetMode="External" /><Relationship Type="http://schemas.openxmlformats.org/officeDocument/2006/relationships/hyperlink" Id="rId42" Target="https://whalermike.github.io/uiao/adr/adr-084-phase5-consumer-architecture.html" TargetMode="External" /><Relationship Type="http://schemas.openxmlformats.org/officeDocument/2006/relationships/hyperlink" Id="rId19" Target="https://whalermike.github.io/uiao/adr/adr-092-active-governance.html" TargetMode="External" /><Relationship Type="http://schemas.openxmlformats.org/officeDocument/2006/relationships/hyperlink" Id="rId15" Target="https://whalermike.github.io/uiao/customer-documents/learning/entra-security-baseline-federal-crosswalk.html" TargetMode="External" /><Relationship Type="http://schemas.openxmlformats.org/officeDocument/2006/relationships/hyperlink" Id="rId54" Target="https://whalermike.github.io/uiao/customer-documents/orgpath-narrative/Book_05.html" TargetMode="External" /><Relationship Type="http://schemas.openxmlformats.org/officeDocument/2006/relationships/hyperlink" Id="rId49" Target="https://whalermike.github.io/uiao/customer-documents/whitepapers/modernization-journey.html" TargetMode="External" /><Relationship Type="http://schemas.openxmlformats.org/officeDocument/2006/relationships/hyperlink" Id="rId55" Target="https://whalermike.github.io/uiao/orgmod/index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Flipping 50,000 Devices to Hybrid Join — The Governed and Ungoverned Paths</dc:title>
  <dc:creator>Michael Stratton</dc:creator>
  <cp:keywords/>
  <dcterms:created xsi:type="dcterms:W3CDTF">2026-09-16T14:56:17Z</dcterms:created>
  <dcterms:modified xsi:type="dcterms:W3CDTF">2026-09-16T14:56:17Z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dience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uthor">
    <vt:lpwstr/>
  </property>
  <property fmtid="{D5CDD505-2E9C-101B-9397-08002B2CF9AE}" pid="6" name="canon-source">
    <vt:lpwstr>src/uiao/canon/</vt:lpwstr>
  </property>
  <property fmtid="{D5CDD505-2E9C-101B-9397-08002B2CF9AE}" pid="7" name="created-at">
    <vt:lpwstr>2026-06-08</vt:lpwstr>
  </property>
  <property fmtid="{D5CDD505-2E9C-101B-9397-08002B2CF9AE}" pid="8" name="date">
    <vt:lpwstr>2026-06-01</vt:lpwstr>
  </property>
  <property fmtid="{D5CDD505-2E9C-101B-9397-08002B2CF9AE}" pid="9" name="derived-from">
    <vt:lpwstr>Expansion of the entra-security-baseline-federal-crosswalk T3 row “All sign-in activity comes from managed devices”, reconciled to UIAO canon (ADR-092 Active Governance, ADR-071 Intune-First Asset Onboarding, ADR-074 Drift/SSOT Contention, ADR-040 Drift Engine, UIAO_151 OrgPath Codebook)</vt:lpwstr>
  </property>
  <property fmtid="{D5CDD505-2E9C-101B-9397-08002B2CF9AE}" pid="10" name="doc-type">
    <vt:lpwstr>whitepaper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fecycle">
    <vt:lpwstr>adopted</vt:lpwstr>
  </property>
  <property fmtid="{D5CDD505-2E9C-101B-9397-08002B2CF9AE}" pid="16" name="lifecycle_review">
    <vt:lpwstr>2026-12-08</vt:lpwstr>
  </property>
  <property fmtid="{D5CDD505-2E9C-101B-9397-08002B2CF9AE}" pid="17" name="mermaid">
    <vt:lpwstr/>
  </property>
  <property fmtid="{D5CDD505-2E9C-101B-9397-08002B2CF9AE}" pid="18" name="repo-path">
    <vt:lpwstr>docs/customer-documents/whitepapers/hybrid-join-without-governance.qmd</vt:lpwstr>
  </property>
  <property fmtid="{D5CDD505-2E9C-101B-9397-08002B2CF9AE}" pid="19" name="status">
    <vt:lpwstr>Draft</vt:lpwstr>
  </property>
  <property fmtid="{D5CDD505-2E9C-101B-9397-08002B2CF9AE}" pid="20" name="subtitle">
    <vt:lpwstr>Why “all sign-in activity comes from managed devices” is a near-effortless tenant switch — and a loss ledger if you take the switch without governance</vt:lpwstr>
  </property>
  <property fmtid="{D5CDD505-2E9C-101B-9397-08002B2CF9AE}" pid="21" name="tiers_adopted">
    <vt:lpwstr/>
  </property>
  <property fmtid="{D5CDD505-2E9C-101B-9397-08002B2CF9AE}" pid="22" name="toc-title">
    <vt:lpwstr>Table of contents</vt:lpwstr>
  </property>
  <property fmtid="{D5CDD505-2E9C-101B-9397-08002B2CF9AE}" pid="23" name="updated-at">
    <vt:lpwstr>2026-09-16</vt:lpwstr>
  </property>
  <property fmtid="{D5CDD505-2E9C-101B-9397-08002B2CF9AE}" pid="24" name="version">
    <vt:lpwstr>1.5</vt:lpwstr>
  </property>
</Properties>
</file>