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media/rId21.png" ContentType="image/png"/>
  <Override PartName="/word/media/rId24.png" ContentType="image/png"/>
  <Override PartName="/word/media/rId29.png" ContentType="image/png"/>
  <Override PartName="/word/media/rId34.png" ContentType="image/png"/>
  <Override PartName="/word/media/rId39.png" ContentType="image/png"/>
  <Override PartName="/word/media/rId49.png" ContentType="image/png"/>
  <Override PartName="/word/media/rId54.png" ContentType="image/png"/>
  <Override PartName="/word/media/rId62.png" ContentType="image/png"/>
  <Override PartName="/word/media/rId68.png" ContentType="image/png"/>
  <Override PartName="/word/media/rId87.png" ContentType="image/png"/>
  <Override PartName="/word/media/rId91.png" ContentType="image/png"/>
  <Override PartName="/word/media/rId97.png" ContentType="image/png"/>
  <Override PartName="/word/media/rId110.png" ContentType="image/png"/>
  <Override PartName="/word/media/rId114.png" ContentType="image/png"/>
  <Override PartName="/word/media/rId128.png" ContentType="image/png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5="urn:schemas-microsoft-com:vml" xmlns:ns6="urn:schemas-microsoft-com:office:office" xmlns:r="http://schemas.openxmlformats.org/officeDocument/2006/relationships" xmlns:w="http://schemas.openxmlformats.org/wordprocessingml/2006/main">
  <w:body>
    <w:p>
      <w:pPr>
        <w:pStyle w:val="Title"/>
      </w:pPr>
      <w:r>
        <w:t xml:space="preserve">Modernization Journey</w:t>
      </w:r>
    </w:p>
    <w:p>
      <w:pPr>
        <w:pStyle w:val="Subtitle"/>
      </w:pPr>
      <w:r>
        <w:t xml:space="preserve">From Mainframe to FedRAMP 20x — what forty years of federal architecture cost, and which mandates actually bind the agency</w:t>
      </w:r>
    </w:p>
    <w:p>
      <w:pPr>
        <w:pStyle w:val="Author"/>
      </w:pPr>
      <w:r>
        <w:t xml:space="preserve">Michael Stratton</w:t>
      </w:r>
    </w:p>
    <w:p>
      <w:pPr>
        <w:pStyle w:val="Date"/>
      </w:pPr>
      <w:r>
        <w:t xml:space="preserve">2026-09-09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63" w:name="modernization-journey"/>
    <w:p>
      <w:pPr>
        <w:pStyle w:val="Heading1"/>
      </w:pPr>
      <w:r>
        <w:t xml:space="preserve">Modernization Journey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ns1:inline>
                  <ns1:extent cx="152400" cy="152400"/>
                  <ns1:effectExtent b="0" l="0" r="0" t="0"/>
                  <ns1:docPr descr="" title="" id="10" name="Picture"/>
                  <ns2:graphic>
                    <ns2:graphicData uri="http://schemas.openxmlformats.org/drawingml/2006/picture">
                      <ns3:pic>
                        <ns3:nvPicPr>
                          <ns3:cNvPr descr="/opt/quarto/share/formats/docx/important.png" id="11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9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152400" cy="1524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Problem, solution, ask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Problem.</w:t>
            </w:r>
            <w:r>
              <w:t xml:space="preserve"> </w:t>
            </w:r>
            <w:r>
              <w:t xml:space="preserve">Forty years of federal architecture — the mainframe,</w:t>
            </w:r>
            <w:r>
              <w:t xml:space="preserve"> </w:t>
            </w:r>
            <w:r>
              <w:t xml:space="preserve">decentralization, the security era, the breaking point — conflated the system</w:t>
            </w:r>
            <w:r>
              <w:t xml:space="preserve"> </w:t>
            </w:r>
            <w:r>
              <w:t xml:space="preserve">of record with the in-path enforcer, first in the mainframe and then in Active</w:t>
            </w:r>
            <w:r>
              <w:t xml:space="preserve"> </w:t>
            </w:r>
            <w:r>
              <w:t xml:space="preserve">Directory. Today’s estates run session-based identity over hairpinned WANs</w:t>
            </w:r>
            <w:r>
              <w:t xml:space="preserve"> </w:t>
            </w:r>
            <w:r>
              <w:t xml:space="preserve">across four environments, and the cost shows up as duplicate payments and</w:t>
            </w:r>
            <w:r>
              <w:t xml:space="preserve"> </w:t>
            </w:r>
            <w:r>
              <w:t xml:space="preserve">unreconcilable records, not slow screens. The commercial sector made this</w:t>
            </w:r>
            <w:r>
              <w:t xml:space="preserve"> </w:t>
            </w:r>
            <w:r>
              <w:t xml:space="preserve">transition in 2015–2020; the agency’s own clocks — M-22-09, BOD 25-01, CA-7</w:t>
            </w:r>
            <w:r>
              <w:t xml:space="preserve"> </w:t>
            </w:r>
            <w:r>
              <w:t xml:space="preserve">under A-130 — have already run.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Solution.</w:t>
            </w:r>
            <w:r>
              <w:t xml:space="preserve"> </w:t>
            </w:r>
            <w:r>
              <w:t xml:space="preserve">Rebuild the foundation around one structural move — separate</w:t>
            </w:r>
            <w:r>
              <w:t xml:space="preserve"> </w:t>
            </w:r>
            <w:r>
              <w:t xml:space="preserve">truth from enforcement, as NIST SP 800-207 and OMB M-22-09 require — and the</w:t>
            </w:r>
            <w:r>
              <w:t xml:space="preserve"> </w:t>
            </w:r>
            <w:r>
              <w:t xml:space="preserve">five principles that follow: a single source of truth, application-aware</w:t>
            </w:r>
            <w:r>
              <w:t xml:space="preserve"> </w:t>
            </w:r>
            <w:r>
              <w:t xml:space="preserve">networking, token-based identity, active governance, and fewer synchronous</w:t>
            </w:r>
            <w:r>
              <w:t xml:space="preserve"> </w:t>
            </w:r>
            <w:r>
              <w:t xml:space="preserve">round-trips; with a PassTicket/Identity Propagation token bridge for the</w:t>
            </w:r>
            <w:r>
              <w:t xml:space="preserve"> </w:t>
            </w:r>
            <w:r>
              <w:t xml:space="preserve">mainframe.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Ask.</w:t>
            </w:r>
            <w:r>
              <w:t xml:space="preserve"> </w:t>
            </w:r>
            <w:r>
              <w:t xml:space="preserve">Six steps this quarter: inventory the actual architecture, run a</w:t>
            </w:r>
            <w:r>
              <w:t xml:space="preserve"> </w:t>
            </w:r>
            <w:r>
              <w:t xml:space="preserve">physics-based latency audit before the next migration decision, assign an</w:t>
            </w:r>
            <w:r>
              <w:t xml:space="preserve"> </w:t>
            </w:r>
            <w:r>
              <w:t xml:space="preserve">owner to each principle, put the agency’s own deadlines on the calendar, pilot</w:t>
            </w:r>
            <w:r>
              <w:t xml:space="preserve"> </w:t>
            </w:r>
            <w:r>
              <w:t xml:space="preserve">the mainframe token bridge on one low-risk transaction class, and hand this</w:t>
            </w:r>
            <w:r>
              <w:t xml:space="preserve"> </w:t>
            </w:r>
            <w:r>
              <w:t xml:space="preserve">paper unchanged to the CIO/CISO, network, identity, and mainframe teams. The</w:t>
            </w:r>
            <w:r>
              <w:t xml:space="preserve"> </w:t>
            </w:r>
            <w:r>
              <w:t xml:space="preserve">full list is in the Call to Action.</w:t>
            </w:r>
          </w:p>
          <w:p/>
        </w:tc>
      </w:tr>
    </w:tbl>
    <w:bookmarkStart w:id="28" w:name="executive-summary"/>
    <w:p>
      <w:pPr>
        <w:pStyle w:val="Heading2"/>
      </w:pPr>
      <w:r>
        <w:t xml:space="preserve">Executive Summary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ns1:inline>
                  <ns1:extent cx="152400" cy="152400"/>
                  <ns1:effectExtent b="0" l="0" r="0" t="0"/>
                  <ns1:docPr descr="" title="" id="13" name="Picture"/>
                  <ns2:graphic>
                    <ns2:graphicData uri="http://schemas.openxmlformats.org/drawingml/2006/picture">
                      <ns3:pic>
                        <ns3:nvPicPr>
                          <ns3:cNvPr descr="/opt/quarto/share/formats/docx/note.png" id="14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12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152400" cy="1524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One narrative, one paper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Version 2.1 (2026-09-09) consolidates two earlier editions of this same</w:t>
            </w:r>
            <w:r>
              <w:t xml:space="preserve"> </w:t>
            </w:r>
            <w:r>
              <w:t xml:space="preserve">forty-year arc into a single paper and applies a review pass. Federal</w:t>
            </w:r>
            <w:r>
              <w:t xml:space="preserve"> </w:t>
            </w:r>
            <w:r>
              <w:t xml:space="preserve">requirements are cited to NIST, OMB, CISA and FedRAMP.</w:t>
            </w:r>
            <w:r>
              <w:t xml:space="preserve"> </w:t>
            </w:r>
            <w:r>
              <w:rPr>
                <w:b/>
                <w:bCs/>
              </w:rPr>
              <w:t xml:space="preserve">Named products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appear as concrete illustrations of a role</w:t>
            </w:r>
            <w:r>
              <w:t xml:space="preserve"> </w:t>
            </w:r>
            <w:r>
              <w:t xml:space="preserve">— an identity provider, a DDI</w:t>
            </w:r>
            <w:r>
              <w:t xml:space="preserve"> </w:t>
            </w:r>
            <w:r>
              <w:t xml:space="preserve">platform, an SD-WAN fabric — and any equivalent in the same role substitutes</w:t>
            </w:r>
            <w:r>
              <w:t xml:space="preserve"> </w:t>
            </w:r>
            <w:r>
              <w:t xml:space="preserve">cleanly; the architecture does not depend on the specific names. The</w:t>
            </w:r>
            <w:r>
              <w:t xml:space="preserve"> </w:t>
            </w:r>
            <w:r>
              <w:t xml:space="preserve">canon-anchored edition contributed the closing</w:t>
            </w:r>
            <w:r>
              <w:t xml:space="preserve"> </w:t>
            </w:r>
            <w:hyperlink w:anchor="X8d4bb7b76cb01f2c464c72a0ba536f19827c4af">
              <w:r>
                <w:rPr>
                  <w:rStyle w:val="Hyperlink"/>
                </w:rPr>
                <w:t xml:space="preserve">provenance appendix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maps Act 4’s claims to the UIAO ADRs behind them — it sits after the</w:t>
            </w:r>
            <w:r>
              <w:t xml:space="preserve"> </w:t>
            </w:r>
            <w:r>
              <w:t xml:space="preserve">Call to Action and is separable, so the paper can still be handed on without a</w:t>
            </w:r>
            <w:r>
              <w:t xml:space="preserve"> </w:t>
            </w:r>
            <w:r>
              <w:t xml:space="preserve">platform commitment attached.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ns1:inline>
                  <ns1:extent cx="152400" cy="152400"/>
                  <ns1:effectExtent b="0" l="0" r="0" t="0"/>
                  <ns1:docPr descr="" title="" id="15" name="Picture"/>
                  <ns2:graphic>
                    <ns2:graphicData uri="http://schemas.openxmlformats.org/drawingml/2006/picture">
                      <ns3:pic>
                        <ns3:nvPicPr>
                          <ns3:cNvPr descr="/opt/quarto/share/formats/docx/note.png" id="16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12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152400" cy="1524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Provenance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</w:t>
            </w:r>
            <w:r>
              <w:t xml:space="preserve"> </w:t>
            </w:r>
            <w:r>
              <w:t xml:space="preserve">“your agency”</w:t>
            </w:r>
            <w:r>
              <w:t xml:space="preserve"> </w:t>
            </w:r>
            <w:r>
              <w:t xml:space="preserve">narrative running through this paper — twelve regional</w:t>
            </w:r>
            <w:r>
              <w:t xml:space="preserve"> </w:t>
            </w:r>
            <w:r>
              <w:t xml:space="preserve">offices, the named employee Jane Smith, the named systems and environments —</w:t>
            </w:r>
            <w:r>
              <w:t xml:space="preserve"> </w:t>
            </w:r>
            <w:r>
              <w:t xml:space="preserve">is a composite illustration, a narrative synthesis of a common federal</w:t>
            </w:r>
            <w:r>
              <w:t xml:space="preserve"> </w:t>
            </w:r>
            <w:r>
              <w:t xml:space="preserve">agency modernization arc. It is not a documented case study of any specific</w:t>
            </w:r>
            <w:r>
              <w:t xml:space="preserve"> </w:t>
            </w:r>
            <w:r>
              <w:t xml:space="preserve">agency.</w:t>
            </w:r>
          </w:p>
          <w:p/>
        </w:tc>
      </w:tr>
    </w:tbl>
    <w:p>
      <w:pPr>
        <w:pStyle w:val="BodyText"/>
      </w:pPr>
      <w:r>
        <w:t xml:space="preserve">Federal agency IT architecture has evolved through four historical eras —</w:t>
      </w:r>
      <w:r>
        <w:t xml:space="preserve"> </w:t>
      </w:r>
      <w:r>
        <w:t xml:space="preserve">stark mainframe centralization, distributed decentralization, security-driven</w:t>
      </w:r>
      <w:r>
        <w:t xml:space="preserve"> </w:t>
      </w:r>
      <w:r>
        <w:t xml:space="preserve">complexity, and cloud-forced fragmentation — without ever replacing the single</w:t>
      </w:r>
      <w:r>
        <w:t xml:space="preserve"> </w:t>
      </w:r>
      <w:r>
        <w:t xml:space="preserve">source of truth the mainframe originally provided. The result: regional</w:t>
      </w:r>
      <w:r>
        <w:t xml:space="preserve"> </w:t>
      </w:r>
      <w:r>
        <w:t xml:space="preserve">identity domains that never reconciled, duplicate payments, records that</w:t>
      </w:r>
      <w:r>
        <w:t xml:space="preserve"> </w:t>
      </w:r>
      <w:r>
        <w:t xml:space="preserve">cannot be traced to an authoritative source, and a session-based</w:t>
      </w:r>
      <w:r>
        <w:t xml:space="preserve"> </w:t>
      </w:r>
      <w:r>
        <w:t xml:space="preserve">authentication model (Kerberos/Active Directory) that breaks under the</w:t>
      </w:r>
      <w:r>
        <w:t xml:space="preserve"> </w:t>
      </w:r>
      <w:r>
        <w:t xml:space="preserve">physics of distance and the security architecture layered on top of it.</w:t>
      </w:r>
    </w:p>
    <w:p>
      <w:pPr>
        <w:pStyle w:val="BodyText"/>
      </w:pPr>
      <w:r>
        <w:t xml:space="preserve">This is not a technology gap. It is an architecture gap, and it is well</w:t>
      </w:r>
      <w:r>
        <w:t xml:space="preserve"> </w:t>
      </w:r>
      <w:r>
        <w:t xml:space="preserve">understood: commercial industries — banking, healthcare, manufacturing — hit</w:t>
      </w:r>
      <w:r>
        <w:t xml:space="preserve"> </w:t>
      </w:r>
      <w:r>
        <w:t xml:space="preserve">and solved this same problem between roughly 2014 and 2022. The physics is</w:t>
      </w:r>
      <w:r>
        <w:t xml:space="preserve"> </w:t>
      </w:r>
      <w:r>
        <w:t xml:space="preserve">fixed: bandwidth does not reduce latency, and no amount of infrastructure</w:t>
      </w:r>
      <w:r>
        <w:t xml:space="preserve"> </w:t>
      </w:r>
      <w:r>
        <w:t xml:space="preserve">spend changes the propagation floor of light through fiber. What changes the</w:t>
      </w:r>
      <w:r>
        <w:t xml:space="preserve"> </w:t>
      </w:r>
      <w:r>
        <w:t xml:space="preserve">outcome is architecture — separating the system of record from the in-path</w:t>
      </w:r>
      <w:r>
        <w:t xml:space="preserve"> </w:t>
      </w:r>
      <w:r>
        <w:t xml:space="preserve">enforcer, making the network application-aware rather than packet-aware,</w:t>
      </w:r>
      <w:r>
        <w:t xml:space="preserve"> </w:t>
      </w:r>
      <w:r>
        <w:t xml:space="preserve">replacing session-based identity with token-based identity, governing</w:t>
      </w:r>
      <w:r>
        <w:t xml:space="preserve"> </w:t>
      </w:r>
      <w:r>
        <w:t xml:space="preserve">infrastructure actively rather than assessing it periodically, and reducing</w:t>
      </w:r>
      <w:r>
        <w:t xml:space="preserve"> </w:t>
      </w:r>
      <w:r>
        <w:t xml:space="preserve">the number of synchronous round-trips an application makes to its data,</w:t>
      </w:r>
      <w:r>
        <w:t xml:space="preserve"> </w:t>
      </w:r>
      <w:r>
        <w:t xml:space="preserve">including at the mainframe boundary itself.</w:t>
      </w:r>
    </w:p>
    <w:p>
      <w:pPr>
        <w:pStyle w:val="BodyText"/>
      </w:pPr>
      <w:r>
        <w:t xml:space="preserve">The agency-side deadlines are already behind us.</w:t>
      </w:r>
      <w:r>
        <w:t xml:space="preserve"> </w:t>
      </w:r>
      <w:r>
        <w:rPr>
          <w:b/>
          <w:bCs/>
        </w:rPr>
        <w:t xml:space="preserve">OMB M-22-09</w:t>
      </w:r>
      <w:r>
        <w:t xml:space="preserve"> </w:t>
      </w:r>
      <w:r>
        <w:t xml:space="preserve">set</w:t>
      </w:r>
      <w:r>
        <w:t xml:space="preserve"> </w:t>
      </w:r>
      <w:r>
        <w:t xml:space="preserve">government-wide zero-trust targets whose milestones came due in FY24;</w:t>
      </w:r>
      <w:r>
        <w:t xml:space="preserve"> </w:t>
      </w:r>
      <w:r>
        <w:rPr>
          <w:b/>
          <w:bCs/>
        </w:rPr>
        <w:t xml:space="preserve">CISA BOD 25-01</w:t>
      </w:r>
      <w:r>
        <w:t xml:space="preserve"> </w:t>
      </w:r>
      <w:r>
        <w:t xml:space="preserve">binds agencies directly for Microsoft 365 secure</w:t>
      </w:r>
      <w:r>
        <w:t xml:space="preserve"> </w:t>
      </w:r>
      <w:r>
        <w:t xml:space="preserve">configuration; and</w:t>
      </w:r>
      <w:r>
        <w:t xml:space="preserve"> </w:t>
      </w:r>
      <w:r>
        <w:rPr>
          <w:b/>
          <w:bCs/>
        </w:rPr>
        <w:t xml:space="preserve">NIST SP 800-53 CA-7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OMB Circular A-130</w:t>
      </w:r>
      <w:r>
        <w:t xml:space="preserve"> </w:t>
      </w:r>
      <w:r>
        <w:t xml:space="preserve">has</w:t>
      </w:r>
      <w:r>
        <w:t xml:space="preserve"> </w:t>
      </w:r>
      <w:r>
        <w:t xml:space="preserve">required continuous monitoring of the agency’s own authorized systems all</w:t>
      </w:r>
      <w:r>
        <w:t xml:space="preserve"> </w:t>
      </w:r>
      <w:r>
        <w:t xml:space="preserve">along. What</w:t>
      </w:r>
      <w:r>
        <w:t xml:space="preserve"> </w:t>
      </w:r>
      <w:r>
        <w:rPr>
          <w:b/>
          <w:bCs/>
        </w:rPr>
        <w:t xml:space="preserve">FedRAMP 20x</w:t>
      </w:r>
      <w:r>
        <w:t xml:space="preserve"> </w:t>
      </w:r>
      <w:r>
        <w:t xml:space="preserve">adds is direction of travel rather than a new</w:t>
      </w:r>
      <w:r>
        <w:t xml:space="preserve"> </w:t>
      </w:r>
      <w:r>
        <w:t xml:space="preserve">agency deadline: it obligates</w:t>
      </w:r>
      <w:r>
        <w:t xml:space="preserve"> </w:t>
      </w:r>
      <w:r>
        <w:rPr>
          <w:i/>
          <w:iCs/>
        </w:rPr>
        <w:t xml:space="preserve">cloud service providers</w:t>
      </w:r>
      <w:r>
        <w:t xml:space="preserve">, and it establishes</w:t>
      </w:r>
      <w:r>
        <w:t xml:space="preserve"> </w:t>
      </w:r>
      <w:r>
        <w:t xml:space="preserve">that machine-readable, continuously-verified evidence is what federal</w:t>
      </w:r>
      <w:r>
        <w:t xml:space="preserve"> </w:t>
      </w:r>
      <w:r>
        <w:t xml:space="preserve">authorization now means. Agency ATOs are where that standard lands next, and</w:t>
      </w:r>
      <w:r>
        <w:t xml:space="preserve"> </w:t>
      </w:r>
      <w:r>
        <w:t xml:space="preserve">an architecture that cannot emit evidence continuously will meet it badly.</w:t>
      </w:r>
      <w:r>
        <w:t xml:space="preserve"> </w:t>
      </w:r>
      <w:r>
        <w:t xml:space="preserve">The path forward is five principles, each traced to a specific NIST, OMB,</w:t>
      </w:r>
      <w:r>
        <w:t xml:space="preserve"> </w:t>
      </w:r>
      <w:r>
        <w:t xml:space="preserve">CISA, or FedRAMP requirement. Concrete next steps are laid out in the</w:t>
      </w:r>
      <w:r>
        <w:t xml:space="preserve"> </w:t>
      </w:r>
      <w:r>
        <w:rPr>
          <w:b/>
          <w:bCs/>
        </w:rPr>
        <w:t xml:space="preserve">Call to Action</w:t>
      </w:r>
      <w:r>
        <w:t xml:space="preserve"> </w:t>
      </w:r>
      <w:r>
        <w:t xml:space="preserve">at the end of this document.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ns1:inline>
                  <ns1:extent cx="152400" cy="152400"/>
                  <ns1:effectExtent b="0" l="0" r="0" t="0"/>
                  <ns1:docPr descr="" title="" id="17" name="Picture"/>
                  <ns2:graphic>
                    <ns2:graphicData uri="http://schemas.openxmlformats.org/drawingml/2006/picture">
                      <ns3:pic>
                        <ns3:nvPicPr>
                          <ns3:cNvPr descr="/opt/quarto/share/formats/docx/note.png" id="18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12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152400" cy="1524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For decision makers: read this page first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document tells the story of how a federal agency’s IT architecture</w:t>
            </w:r>
            <w:r>
              <w:t xml:space="preserve"> </w:t>
            </w:r>
            <w:r>
              <w:t xml:space="preserve">evolved across forty years — and why the architecture that served it well</w:t>
            </w:r>
            <w:r>
              <w:t xml:space="preserve"> </w:t>
            </w:r>
            <w:r>
              <w:t xml:space="preserve">through 2010 is now working against its mission. The first three acts are</w:t>
            </w:r>
            <w:r>
              <w:t xml:space="preserve"> </w:t>
            </w:r>
            <w:r>
              <w:t xml:space="preserve">history. The fourth act is the path forward.</w:t>
            </w:r>
            <w:r>
              <w:t xml:space="preserve"> </w:t>
            </w:r>
            <w:r>
              <w:rPr>
                <w:b/>
                <w:bCs/>
              </w:rPr>
              <w:t xml:space="preserve">Federal requirements are cited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to NIST, OMB, CISA, or FedRAMP, and where a requirement binds someone other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than the agency this paper says so.</w:t>
            </w:r>
            <w:r>
              <w:t xml:space="preserve"> </w:t>
            </w:r>
            <w:r>
              <w:t xml:space="preserve">Named products appear as concrete</w:t>
            </w:r>
            <w:r>
              <w:t xml:space="preserve"> </w:t>
            </w:r>
            <w:r>
              <w:t xml:space="preserve">illustrations of a role — an identity provider, a DDI platform, an SD-WAN</w:t>
            </w:r>
            <w:r>
              <w:t xml:space="preserve"> </w:t>
            </w:r>
            <w:r>
              <w:t xml:space="preserve">fabric — and any equivalent in that role substitutes cleanly.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The core problem is not a technology shortage.</w:t>
            </w:r>
            <w:r>
              <w:t xml:space="preserve"> </w:t>
            </w:r>
            <w:r>
              <w:t xml:space="preserve">Federal agencies have</w:t>
            </w:r>
            <w:r>
              <w:t xml:space="preserve"> </w:t>
            </w:r>
            <w:r>
              <w:t xml:space="preserve">invested heavily in security tools, network capacity, and cloud migration.</w:t>
            </w:r>
            <w:r>
              <w:t xml:space="preserve"> </w:t>
            </w:r>
            <w:r>
              <w:t xml:space="preserve">The problem is that the foundational services beneath those investments — the</w:t>
            </w:r>
            <w:r>
              <w:t xml:space="preserve"> </w:t>
            </w:r>
            <w:r>
              <w:t xml:space="preserve">network, the directory, the address management, the access control model —</w:t>
            </w:r>
            <w:r>
              <w:t xml:space="preserve"> </w:t>
            </w:r>
            <w:r>
              <w:t xml:space="preserve">were designed for a world that no longer exists.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Five things every decision maker needs to understand: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High bandwidth does not mean low latency.</w:t>
            </w:r>
            <w:r>
              <w:t xml:space="preserve"> </w:t>
            </w:r>
            <w:r>
              <w:t xml:space="preserve">Large private circuits</w:t>
            </w:r>
            <w:r>
              <w:t xml:space="preserve"> </w:t>
            </w:r>
            <w:r>
              <w:t xml:space="preserve">connecting field offices to regional data centers provide guaranteed</w:t>
            </w:r>
            <w:r>
              <w:t xml:space="preserve"> </w:t>
            </w:r>
            <w:r>
              <w:t xml:space="preserve">bandwidth. They do not change the physics of distance.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The federal government is five to ten years behind the commercial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sector on this transition.</w:t>
            </w:r>
            <w:r>
              <w:t xml:space="preserve"> </w:t>
            </w:r>
            <w:r>
              <w:t xml:space="preserve">Major banks, healthcare networks, and</w:t>
            </w:r>
            <w:r>
              <w:t xml:space="preserve"> </w:t>
            </w:r>
            <w:r>
              <w:t xml:space="preserve">manufacturers hit these same breaking points between 2015 and 2020 and</w:t>
            </w:r>
            <w:r>
              <w:t xml:space="preserve"> </w:t>
            </w:r>
            <w:r>
              <w:t xml:space="preserve">modernized. The path is known. The delay has a cost measured in program</w:t>
            </w:r>
            <w:r>
              <w:t xml:space="preserve"> </w:t>
            </w:r>
            <w:r>
              <w:t xml:space="preserve">integrity, not just performance.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DNS, DHCP, and IP address management were not designed to be security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controls — but they now are.</w:t>
            </w:r>
            <w:r>
              <w:t xml:space="preserve"> </w:t>
            </w:r>
            <w:r>
              <w:t xml:space="preserve">Zero Trust policy is written against named</w:t>
            </w:r>
            <w:r>
              <w:t xml:space="preserve"> </w:t>
            </w:r>
            <w:r>
              <w:t xml:space="preserve">services rather than addresses, so name resolution becomes a policy</w:t>
            </w:r>
            <w:r>
              <w:t xml:space="preserve"> </w:t>
            </w:r>
            <w:r>
              <w:t xml:space="preserve">surface; where enforcement is still expressed as IP or CIDR ranges, the</w:t>
            </w:r>
            <w:r>
              <w:t xml:space="preserve"> </w:t>
            </w:r>
            <w:r>
              <w:t xml:space="preserve">address-management system is what makes those ranges meaningful and</w:t>
            </w:r>
            <w:r>
              <w:t xml:space="preserve"> </w:t>
            </w:r>
            <w:r>
              <w:t xml:space="preserve">current. Either way the device and address inventory federal compliance</w:t>
            </w:r>
            <w:r>
              <w:t xml:space="preserve"> </w:t>
            </w:r>
            <w:r>
              <w:t xml:space="preserve">requires is produced by DDI, not surveyed alongside it.</w:t>
            </w:r>
            <w:r>
              <w:rPr>
                <w:rStyle w:val="FootnoteReference"/>
              </w:rPr>
              <w:footnoteReference w:id="19"/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VPN is not Zero Trust.</w:t>
            </w:r>
            <w:r>
              <w:t xml:space="preserve"> </w:t>
            </w:r>
            <w:r>
              <w:t xml:space="preserve">A VPN tunnel extends trust to everyone inside</w:t>
            </w:r>
            <w:r>
              <w:t xml:space="preserve"> </w:t>
            </w:r>
            <w:r>
              <w:t xml:space="preserve">it. A compromised endpoint inside the tunnel has the same access as a</w:t>
            </w:r>
            <w:r>
              <w:t xml:space="preserve"> </w:t>
            </w:r>
            <w:r>
              <w:t xml:space="preserve">trusted administrator. You cannot fully implement Zero Trust while VPN is</w:t>
            </w:r>
            <w:r>
              <w:t xml:space="preserve"> </w:t>
            </w:r>
            <w:r>
              <w:t xml:space="preserve">the primary access mechanism.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The cost of not modernizing is not abstract.</w:t>
            </w:r>
            <w:r>
              <w:t xml:space="preserve"> </w:t>
            </w:r>
            <w:r>
              <w:t xml:space="preserve">Duplicate payments,</w:t>
            </w:r>
            <w:r>
              <w:t xml:space="preserve"> </w:t>
            </w:r>
            <w:r>
              <w:t xml:space="preserve">records that cannot be reconciled, benefits issued against data that</w:t>
            </w:r>
            <w:r>
              <w:t xml:space="preserve"> </w:t>
            </w:r>
            <w:r>
              <w:t xml:space="preserve">cannot be traced to an authoritative source — these are the downstream</w:t>
            </w:r>
            <w:r>
              <w:t xml:space="preserve"> </w:t>
            </w:r>
            <w:r>
              <w:t xml:space="preserve">consequences of accumulated architectural debt.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ns1:inline>
                  <ns1:extent cx="152400" cy="152400"/>
                  <ns1:effectExtent b="0" l="0" r="0" t="0"/>
                  <ns1:docPr descr="" title="" id="22" name="Picture"/>
                  <ns2:graphic>
                    <ns2:graphicData uri="http://schemas.openxmlformats.org/drawingml/2006/picture">
                      <ns3:pic>
                        <ns3:nvPicPr>
                          <ns3:cNvPr descr="/opt/quarto/share/formats/docx/tip.png" id="23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21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152400" cy="1524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one sentence the whole story turns 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lockText"/>
            </w:pPr>
            <w:r>
              <w:t xml:space="preserve">Every era conflates the system of record with the in-path enforcer — the</w:t>
            </w:r>
            <w:r>
              <w:t xml:space="preserve"> </w:t>
            </w:r>
            <w:r>
              <w:t xml:space="preserve">mainframe first, then Active Directory. NIST SP 800-207 and OMB M-22-09</w:t>
            </w:r>
            <w:r>
              <w:t xml:space="preserve"> </w:t>
            </w:r>
            <w:r>
              <w:t xml:space="preserve">require agencies to separate these roles: a governance layer holds and</w:t>
            </w:r>
            <w:r>
              <w:t xml:space="preserve"> </w:t>
            </w:r>
            <w:r>
              <w:t xml:space="preserve">reconciles authoritative state; identity providers, network enforcement</w:t>
            </w:r>
            <w:r>
              <w:t xml:space="preserve"> </w:t>
            </w:r>
            <w:r>
              <w:t xml:space="preserve">points, and data platforms remain the runtime data planes beneath it.</w:t>
            </w:r>
          </w:p>
          <w:p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four-acts"/>
          <w:p>
            <w:pPr>
              <w:pStyle w:val="Compact"/>
              <w:jc w:val="center"/>
            </w:pPr>
            <w:r>
              <w:drawing>
                <ns1:inline>
                  <ns1:extent cx="5334000" cy="2844800"/>
                  <ns1:effectExtent b="0" l="0" r="0" t="0"/>
                  <ns1:docPr descr="" title="" id="25" name="Picture"/>
                  <ns2:graphic>
                    <ns2:graphicData uri="http://schemas.openxmlformats.org/drawingml/2006/picture">
                      <ns3:pic>
                        <ns3:nvPicPr>
                          <ns3:cNvPr descr="images/federal-application-aware-networking-architecture-image-01-four-acts.png" id="26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24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5334000" cy="28448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Forty years of federal IT architecture in one view — from the mainframe’s stark single source of truth, through decentralization, the security era, and the breaking point, to the way forward</w:t>
            </w:r>
          </w:p>
          <w:bookmarkEnd w:id="27"/>
        </w:tc>
      </w:tr>
    </w:tbl>
    <w:p>
      <w:r>
        <w:pict>
          <ns5:rect style="width:0;height:1.5pt" ns6:hralign="center" ns6:hrstd="t" ns6:hr="t"/>
        </w:pict>
      </w:r>
    </w:p>
    <w:bookmarkEnd w:id="28"/>
    <w:bookmarkStart w:id="33" w:name="prologue-the-mainframe-era-1940s1990s"/>
    <w:p>
      <w:pPr>
        <w:pStyle w:val="Heading2"/>
      </w:pPr>
      <w:r>
        <w:t xml:space="preserve">Prologue — The Mainframe Era (1940s–1990s)</w:t>
      </w:r>
    </w:p>
    <w:p>
      <w:pPr>
        <w:pStyle w:val="FirstParagraph"/>
      </w:pPr>
      <w:r>
        <w:t xml:space="preserve">Your agency’s entire operation ran on mainframes. IBM systems, mostly. One</w:t>
      </w:r>
      <w:r>
        <w:t xml:space="preserve"> </w:t>
      </w:r>
      <w:r>
        <w:t xml:space="preserve">massive computer in a locked room. Everything happened there: all the data,</w:t>
      </w:r>
      <w:r>
        <w:t xml:space="preserve"> </w:t>
      </w:r>
      <w:r>
        <w:t xml:space="preserve">all the logic, all the state.</w:t>
      </w:r>
    </w:p>
    <w:p>
      <w:pPr>
        <w:pStyle w:val="BodyText"/>
      </w:pPr>
      <w:r>
        <w:t xml:space="preserve">Users didn’t have computers. They had</w:t>
      </w:r>
      <w:r>
        <w:t xml:space="preserve"> </w:t>
      </w:r>
      <w:r>
        <w:rPr>
          <w:b/>
          <w:bCs/>
        </w:rPr>
        <w:t xml:space="preserve">terminals</w:t>
      </w:r>
      <w:r>
        <w:t xml:space="preserve"> </w:t>
      </w:r>
      <w:r>
        <w:t xml:space="preserve">— green screens,</w:t>
      </w:r>
      <w:r>
        <w:t xml:space="preserve"> </w:t>
      </w:r>
      <w:r>
        <w:t xml:space="preserve">keyboards. A terminal was a dumb device that sent keystrokes to the mainframe</w:t>
      </w:r>
      <w:r>
        <w:t xml:space="preserve"> </w:t>
      </w:r>
      <w:r>
        <w:t xml:space="preserve">and received screen refreshes back. Text-based, synchronous, simple.</w:t>
      </w:r>
    </w:p>
    <w:p>
      <w:pPr>
        <w:pStyle w:val="BodyText"/>
      </w:pPr>
      <w:r>
        <w:t xml:space="preserve">The model was starkly elegant:</w:t>
      </w:r>
      <w:r>
        <w:t xml:space="preserve"> </w:t>
      </w:r>
      <w:r>
        <w:rPr>
          <w:b/>
          <w:bCs/>
        </w:rPr>
        <w:t xml:space="preserve">one source of truth.</w:t>
      </w:r>
      <w:r>
        <w:t xml:space="preserve"> </w:t>
      </w:r>
      <w:r>
        <w:t xml:space="preserve">The mainframe</w:t>
      </w:r>
      <w:r>
        <w:t xml:space="preserve"> </w:t>
      </w:r>
      <w:r>
        <w:rPr>
          <w:i/>
          <w:iCs/>
        </w:rPr>
        <w:t xml:space="preserve">was</w:t>
      </w:r>
      <w:r>
        <w:t xml:space="preserve"> </w:t>
      </w:r>
      <w:r>
        <w:t xml:space="preserve">the truth. When you asked</w:t>
      </w:r>
      <w:r>
        <w:t xml:space="preserve"> </w:t>
      </w:r>
      <w:r>
        <w:t xml:space="preserve">“how many people received benefits this month,”</w:t>
      </w:r>
      <w:r>
        <w:t xml:space="preserve"> </w:t>
      </w:r>
      <w:r>
        <w:t xml:space="preserve">there was one answer, and it came from one place. No ambiguity. No regional</w:t>
      </w:r>
      <w:r>
        <w:t xml:space="preserve"> </w:t>
      </w:r>
      <w:r>
        <w:t xml:space="preserve">variations. No hidden discrepancies.</w:t>
      </w:r>
    </w:p>
    <w:p>
      <w:pPr>
        <w:pStyle w:val="BodyText"/>
      </w:pPr>
      <w:r>
        <w:t xml:space="preserve">Security was implicit. If you weren’t sitting at a terminal physically</w:t>
      </w:r>
      <w:r>
        <w:t xml:space="preserve"> </w:t>
      </w:r>
      <w:r>
        <w:t xml:space="preserve">connected to that mainframe room, you couldn’t access anything.</w:t>
      </w:r>
      <w:r>
        <w:t xml:space="preserve"> </w:t>
      </w:r>
      <w:r>
        <w:rPr>
          <w:b/>
          <w:bCs/>
        </w:rPr>
        <w:t xml:space="preserve">The network</w:t>
      </w:r>
      <w:r>
        <w:rPr>
          <w:b/>
          <w:bCs/>
        </w:rPr>
        <w:t xml:space="preserve"> </w:t>
      </w:r>
      <w:r>
        <w:rPr>
          <w:b/>
          <w:bCs/>
        </w:rPr>
        <w:t xml:space="preserve">was the security perimeter.</w:t>
      </w:r>
      <w:r>
        <w:t xml:space="preserve"> </w:t>
      </w:r>
      <w:r>
        <w:t xml:space="preserve">Control physical access, and you controlled</w:t>
      </w:r>
      <w:r>
        <w:t xml:space="preserve"> </w:t>
      </w:r>
      <w:r>
        <w:t xml:space="preserve">everything.</w:t>
      </w:r>
    </w:p>
    <w:p>
      <w:pPr>
        <w:pStyle w:val="BodyText"/>
      </w:pPr>
      <w:r>
        <w:t xml:space="preserve">And crucially: the machine that</w:t>
      </w:r>
      <w:r>
        <w:t xml:space="preserve"> </w:t>
      </w:r>
      <w:r>
        <w:rPr>
          <w:i/>
          <w:iCs/>
        </w:rPr>
        <w:t xml:space="preserve">held</w:t>
      </w:r>
      <w:r>
        <w:t xml:space="preserve"> </w:t>
      </w:r>
      <w:r>
        <w:t xml:space="preserve">the truth was the same machine that</w:t>
      </w:r>
      <w:r>
        <w:t xml:space="preserve"> </w:t>
      </w:r>
      <w:r>
        <w:rPr>
          <w:i/>
          <w:iCs/>
        </w:rPr>
        <w:t xml:space="preserve">enforced</w:t>
      </w:r>
      <w:r>
        <w:t xml:space="preserve"> </w:t>
      </w:r>
      <w:r>
        <w:t xml:space="preserve">access to it. Truth and enforcement lived in one box. Remember</w:t>
      </w:r>
      <w:r>
        <w:t xml:space="preserve"> </w:t>
      </w:r>
      <w:r>
        <w:t xml:space="preserve">that; it is the seed of everything that follows.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mainframe-scene"/>
          <w:p>
            <w:pPr>
              <w:pStyle w:val="Compact"/>
              <w:jc w:val="center"/>
            </w:pPr>
            <w:r>
              <w:drawing>
                <ns1:inline>
                  <ns1:extent cx="5334000" cy="2844800"/>
                  <ns1:effectExtent b="0" l="0" r="0" t="0"/>
                  <ns1:docPr descr="" title="" id="30" name="Picture"/>
                  <ns2:graphic>
                    <ns2:graphicData uri="http://schemas.openxmlformats.org/drawingml/2006/picture">
                      <ns3:pic>
                        <ns3:nvPicPr>
                          <ns3:cNvPr descr="images/federal-application-aware-networking-architecture-image-02-mainframe-scene.png" id="31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29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5334000" cy="28448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Mainframe Era: stark elegance of centralized truth — an IBM System/360 with three terminals wired to a single SSOT database cylinder, plus the four benefits centralized architecture delivered</w:t>
            </w:r>
          </w:p>
          <w:bookmarkEnd w:id="32"/>
        </w:tc>
      </w:tr>
    </w:tbl>
    <w:p>
      <w:r>
        <w:pict>
          <ns5:rect style="width:0;height:1.5pt" ns6:hralign="center" ns6:hrstd="t" ns6:hr="t"/>
        </w:pict>
      </w:r>
    </w:p>
    <w:bookmarkEnd w:id="33"/>
    <w:bookmarkStart w:id="38" w:name="X18873164e95a4d6a646bc97ec64d4bf5115d173"/>
    <w:p>
      <w:pPr>
        <w:pStyle w:val="Heading2"/>
      </w:pPr>
      <w:r>
        <w:t xml:space="preserve">Act 1 — The Great Decentralization (Late 1980s–2000)</w:t>
      </w:r>
    </w:p>
    <w:p>
      <w:pPr>
        <w:pStyle w:val="FirstParagraph"/>
      </w:pPr>
      <w:r>
        <w:t xml:space="preserve">By the late 1980s, the entire world was rejecting the mainframe model — not</w:t>
      </w:r>
      <w:r>
        <w:t xml:space="preserve"> </w:t>
      </w:r>
      <w:r>
        <w:t xml:space="preserve">because mainframes stopped working, but because the economics broke and the</w:t>
      </w:r>
      <w:r>
        <w:t xml:space="preserve"> </w:t>
      </w:r>
      <w:r>
        <w:t xml:space="preserve">technology changed.</w:t>
      </w:r>
    </w:p>
    <w:p>
      <w:pPr>
        <w:pStyle w:val="BodyText"/>
      </w:pPr>
      <w:r>
        <w:t xml:space="preserve">Minicomputers had already proven you didn’t need one godlike machine. Then PCs</w:t>
      </w:r>
      <w:r>
        <w:t xml:space="preserve"> </w:t>
      </w:r>
      <w:r>
        <w:t xml:space="preserve">arrived. Networks got faster. The vision became irresistible: put a SQL Server</w:t>
      </w:r>
      <w:r>
        <w:t xml:space="preserve"> </w:t>
      </w:r>
      <w:r>
        <w:t xml:space="preserve">in every region. Put applications in every office. Spread programming</w:t>
      </w:r>
      <w:r>
        <w:t xml:space="preserve"> </w:t>
      </w:r>
      <w:r>
        <w:t xml:space="preserve">expertise to the edges. Let local teams build solutions for their local</w:t>
      </w:r>
      <w:r>
        <w:t xml:space="preserve"> </w:t>
      </w:r>
      <w:r>
        <w:t xml:space="preserve">problems — because they understood those problems better than Washington</w:t>
      </w:r>
      <w:r>
        <w:t xml:space="preserve"> </w:t>
      </w:r>
      <w:r>
        <w:t xml:space="preserve">ever could.</w:t>
      </w:r>
    </w:p>
    <w:p>
      <w:pPr>
        <w:pStyle w:val="BodyText"/>
      </w:pPr>
      <w:r>
        <w:t xml:space="preserve">For your agency, this was revolutionary. Twelve regional offices could each</w:t>
      </w:r>
      <w:r>
        <w:t xml:space="preserve"> </w:t>
      </w:r>
      <w:r>
        <w:t xml:space="preserve">have their own database administrators, their own application developers,</w:t>
      </w:r>
      <w:r>
        <w:t xml:space="preserve"> </w:t>
      </w:r>
      <w:r>
        <w:t xml:space="preserve">their own tools tailored to how their states and territories worked.</w:t>
      </w:r>
    </w:p>
    <w:p>
      <w:pPr>
        <w:pStyle w:val="BodyText"/>
      </w:pPr>
      <w:r>
        <w:rPr>
          <w:b/>
          <w:bCs/>
        </w:rPr>
        <w:t xml:space="preserve">But here is where the architecture broke.</w:t>
      </w:r>
    </w:p>
    <w:p>
      <w:pPr>
        <w:pStyle w:val="BodyText"/>
      </w:pPr>
      <w:r>
        <w:t xml:space="preserve">With the mainframe, there was one source of truth. One database. One version</w:t>
      </w:r>
      <w:r>
        <w:t xml:space="preserve"> </w:t>
      </w:r>
      <w:r>
        <w:t xml:space="preserve">of the record. The moment you put SQL Servers in twelve regions, you lost</w:t>
      </w:r>
      <w:r>
        <w:t xml:space="preserve"> </w:t>
      </w:r>
      <w:r>
        <w:t xml:space="preserve">that. Now California had its own database. Massachusetts had its own. New</w:t>
      </w:r>
      <w:r>
        <w:t xml:space="preserve"> </w:t>
      </w:r>
      <w:r>
        <w:t xml:space="preserve">York had its own. And they didn’t always talk to each other — or they did,</w:t>
      </w:r>
      <w:r>
        <w:t xml:space="preserve"> </w:t>
      </w:r>
      <w:r>
        <w:t xml:space="preserve">but inconsistently. Regional systems evolved their own schemas, their own</w:t>
      </w:r>
      <w:r>
        <w:t xml:space="preserve"> </w:t>
      </w:r>
      <w:r>
        <w:t xml:space="preserve">business logic, their own definitions of what a</w:t>
      </w:r>
      <w:r>
        <w:t xml:space="preserve"> </w:t>
      </w:r>
      <w:r>
        <w:t xml:space="preserve">“benefit”</w:t>
      </w:r>
      <w:r>
        <w:t xml:space="preserve"> </w:t>
      </w:r>
      <w:r>
        <w:t xml:space="preserve">even meant.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decentralization"/>
          <w:p>
            <w:pPr>
              <w:pStyle w:val="Compact"/>
              <w:jc w:val="center"/>
            </w:pPr>
            <w:r>
              <w:drawing>
                <ns1:inline>
                  <ns1:extent cx="5334000" cy="2844800"/>
                  <ns1:effectExtent b="0" l="0" r="0" t="0"/>
                  <ns1:docPr descr="" title="" id="35" name="Picture"/>
                  <ns2:graphic>
                    <ns2:graphicData uri="http://schemas.openxmlformats.org/drawingml/2006/picture">
                      <ns3:pic>
                        <ns3:nvPicPr>
                          <ns3:cNvPr descr="images/federal-application-aware-networking-architecture-image-03-decentralization.png" id="36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34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5334000" cy="28448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Act 1 — The Great Decentralization: one mainframe became twelve regional databases, with schema drift appearing between adjacent silos and the original sin of distributed truth called out below</w:t>
            </w:r>
          </w:p>
          <w:bookmarkEnd w:id="37"/>
        </w:tc>
      </w:tr>
    </w:tbl>
    <w:p>
      <w:pPr>
        <w:pStyle w:val="BodyText"/>
      </w:pPr>
      <w:r>
        <w:t xml:space="preserve">The vision of distributed intelligence was real and good. But it came at a</w:t>
      </w:r>
      <w:r>
        <w:t xml:space="preserve"> </w:t>
      </w:r>
      <w:r>
        <w:t xml:space="preserve">cost:</w:t>
      </w:r>
      <w:r>
        <w:t xml:space="preserve"> </w:t>
      </w:r>
      <w:r>
        <w:rPr>
          <w:b/>
          <w:bCs/>
        </w:rPr>
        <w:t xml:space="preserve">distributed truth.</w:t>
      </w:r>
      <w:r>
        <w:t xml:space="preserve"> </w:t>
      </w:r>
      <w:r>
        <w:t xml:space="preserve">And nobody replaced the single source of truth</w:t>
      </w:r>
      <w:r>
        <w:t xml:space="preserve"> </w:t>
      </w:r>
      <w:r>
        <w:t xml:space="preserve">that the mainframe had given you.</w:t>
      </w:r>
    </w:p>
    <w:p>
      <w:pPr>
        <w:pStyle w:val="BodyText"/>
      </w:pPr>
      <w:r>
        <w:t xml:space="preserve">That became the original sin — the moment the architecture started to drift.</w:t>
      </w:r>
    </w:p>
    <w:p>
      <w:pPr>
        <w:pStyle w:val="BodyText"/>
      </w:pPr>
      <w:r>
        <w:t xml:space="preserve">It is worth being precise about what was lost, because the usual telling gets</w:t>
      </w:r>
      <w:r>
        <w:t xml:space="preserve"> </w:t>
      </w:r>
      <w:r>
        <w:t xml:space="preserve">it backwards.</w:t>
      </w:r>
      <w:r>
        <w:t xml:space="preserve"> </w:t>
      </w:r>
      <w:r>
        <w:rPr>
          <w:b/>
          <w:bCs/>
        </w:rPr>
        <w:t xml:space="preserve">Active Directory was never the system of record for identity.</w:t>
      </w:r>
      <w:r>
        <w:rPr>
          <w:b/>
          <w:bCs/>
        </w:rPr>
        <w:t xml:space="preserve"> </w:t>
      </w:r>
      <w:r>
        <w:rPr>
          <w:b/>
          <w:bCs/>
        </w:rPr>
        <w:t xml:space="preserve">HR was.</w:t>
      </w:r>
      <w:r>
        <w:t xml:space="preserve"> </w:t>
      </w:r>
      <w:r>
        <w:t xml:space="preserve">AD became the de facto authority only because nothing upstream was</w:t>
      </w:r>
      <w:r>
        <w:t xml:space="preserve"> </w:t>
      </w:r>
      <w:r>
        <w:t xml:space="preserve">authoritative enough to reconcile against: with twelve regional databases and</w:t>
      </w:r>
      <w:r>
        <w:t xml:space="preserve"> </w:t>
      </w:r>
      <w:r>
        <w:t xml:space="preserve">no arbiter among them, the directory that every system happened to query</w:t>
      </w:r>
      <w:r>
        <w:t xml:space="preserve"> </w:t>
      </w:r>
      <w:r>
        <w:t xml:space="preserve">became the truth by default. That is the thread Principle 1 picks up — not</w:t>
      </w:r>
      <w:r>
        <w:t xml:space="preserve"> </w:t>
      </w:r>
      <w:r>
        <w:t xml:space="preserve">“replace AD with something better”</w:t>
      </w:r>
      <w:r>
        <w:t xml:space="preserve">, but</w:t>
      </w:r>
      <w:r>
        <w:t xml:space="preserve"> </w:t>
      </w:r>
      <w:r>
        <w:rPr>
          <w:i/>
          <w:iCs/>
        </w:rPr>
        <w:t xml:space="preserve">give the estate an upstream authority</w:t>
      </w:r>
      <w:r>
        <w:rPr>
          <w:i/>
          <w:iCs/>
        </w:rPr>
        <w:t xml:space="preserve"> </w:t>
      </w:r>
      <w:r>
        <w:rPr>
          <w:i/>
          <w:iCs/>
        </w:rPr>
        <w:t xml:space="preserve">it never had</w:t>
      </w:r>
      <w:r>
        <w:t xml:space="preserve">, so the directory can go back to being an enforcement surface</w:t>
      </w:r>
      <w:r>
        <w:t xml:space="preserve"> </w:t>
      </w:r>
      <w:r>
        <w:t xml:space="preserve">instead of an accidental system of record.</w:t>
      </w:r>
      <w:r>
        <w:t xml:space="preserve"> </w:t>
      </w:r>
      <w:r>
        <w:t xml:space="preserve">The regional variations that seemed like flexibility in 1993 would calcify</w:t>
      </w:r>
      <w:r>
        <w:t xml:space="preserve"> </w:t>
      </w:r>
      <w:r>
        <w:t xml:space="preserve">into incompatible silos by 2020.</w:t>
      </w:r>
    </w:p>
    <w:p>
      <w:r>
        <w:pict>
          <ns5:rect style="width:0;height:1.5pt" ns6:hralign="center" ns6:hrstd="t" ns6:hr="t"/>
        </w:pict>
      </w:r>
    </w:p>
    <w:bookmarkEnd w:id="38"/>
    <w:bookmarkStart w:id="48" w:name="Xb9f4f49106e22e9923206a734d937b1e21f97f3"/>
    <w:p>
      <w:pPr>
        <w:pStyle w:val="Heading2"/>
      </w:pPr>
      <w:r>
        <w:t xml:space="preserve">Act 2 — When Security Ate the Architecture (2000s–2020)</w:t>
      </w:r>
    </w:p>
    <w:p>
      <w:pPr>
        <w:pStyle w:val="FirstParagraph"/>
      </w:pPr>
      <w:r>
        <w:t xml:space="preserve">Around 2010, your agency started consolidating compute. Simultaneously — and</w:t>
      </w:r>
      <w:r>
        <w:t xml:space="preserve"> </w:t>
      </w:r>
      <w:r>
        <w:t xml:space="preserve">this is the critical inflection —</w:t>
      </w:r>
      <w:r>
        <w:t xml:space="preserve"> </w:t>
      </w:r>
      <w:r>
        <w:rPr>
          <w:b/>
          <w:bCs/>
        </w:rPr>
        <w:t xml:space="preserve">cybersecurity became a board-level</w:t>
      </w:r>
      <w:r>
        <w:rPr>
          <w:b/>
          <w:bCs/>
        </w:rPr>
        <w:t xml:space="preserve"> </w:t>
      </w:r>
      <w:r>
        <w:rPr>
          <w:b/>
          <w:bCs/>
        </w:rPr>
        <w:t xml:space="preserve">imperative.</w:t>
      </w:r>
      <w:r>
        <w:t xml:space="preserve"> </w:t>
      </w:r>
      <w:r>
        <w:t xml:space="preserve">Not just</w:t>
      </w:r>
      <w:r>
        <w:t xml:space="preserve"> </w:t>
      </w:r>
      <w:r>
        <w:t xml:space="preserve">“have a firewall.”</w:t>
      </w:r>
      <w:r>
        <w:t xml:space="preserve"> </w:t>
      </w:r>
      <w:r>
        <w:t xml:space="preserve">Defense-in-depth. Layered security.</w:t>
      </w:r>
      <w:r>
        <w:t xml:space="preserve"> </w:t>
      </w:r>
      <w:r>
        <w:t xml:space="preserve">Multiple inspection points.</w:t>
      </w:r>
    </w:p>
    <w:p>
      <w:pPr>
        <w:pStyle w:val="BodyText"/>
      </w:pPr>
      <w:r>
        <w:rPr>
          <w:b/>
          <w:bCs/>
        </w:rPr>
        <w:t xml:space="preserve">But here is the problem:</w:t>
      </w:r>
      <w:r>
        <w:t xml:space="preserve"> </w:t>
      </w:r>
      <w:r>
        <w:t xml:space="preserve">the tools chosen to enforce security were</w:t>
      </w:r>
      <w:r>
        <w:t xml:space="preserve"> </w:t>
      </w:r>
      <w:r>
        <w:t xml:space="preserve">fundamentally incompatible with the session-based client-server model your</w:t>
      </w:r>
      <w:r>
        <w:t xml:space="preserve"> </w:t>
      </w:r>
      <w:r>
        <w:t xml:space="preserve">entire infrastructure depended on.</w:t>
      </w:r>
    </w:p>
    <w:p>
      <w:pPr>
        <w:pStyle w:val="BodyText"/>
      </w:pPr>
      <w:r>
        <w:t xml:space="preserve">Load balancers became inline proxies. Intrusion detection systems were</w:t>
      </w:r>
      <w:r>
        <w:t xml:space="preserve"> </w:t>
      </w:r>
      <w:r>
        <w:t xml:space="preserve">inserted into the traffic path. Multiple NAT sessions. Firewalls stacked on</w:t>
      </w:r>
      <w:r>
        <w:t xml:space="preserve"> </w:t>
      </w:r>
      <w:r>
        <w:t xml:space="preserve">firewalls. Every packet from a field office to a regional data center had to</w:t>
      </w:r>
      <w:r>
        <w:t xml:space="preserve"> </w:t>
      </w:r>
      <w:r>
        <w:t xml:space="preserve">traverse security devices designed to</w:t>
      </w:r>
      <w:r>
        <w:t xml:space="preserve"> </w:t>
      </w:r>
      <w:r>
        <w:rPr>
          <w:i/>
          <w:iCs/>
        </w:rPr>
        <w:t xml:space="preserve">break</w:t>
      </w:r>
      <w:r>
        <w:t xml:space="preserve"> </w:t>
      </w:r>
      <w:r>
        <w:t xml:space="preserve">sessions — to inspect, decrypt,</w:t>
      </w:r>
      <w:r>
        <w:t xml:space="preserve"> </w:t>
      </w:r>
      <w:r>
        <w:t xml:space="preserve">re-encrypt, verify, block.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security-stacking"/>
          <w:p>
            <w:pPr>
              <w:pStyle w:val="Compact"/>
              <w:jc w:val="center"/>
            </w:pPr>
            <w:r>
              <w:drawing>
                <ns1:inline>
                  <ns1:extent cx="5334000" cy="3000375"/>
                  <ns1:effectExtent b="0" l="0" r="0" t="0"/>
                  <ns1:docPr descr="" title="" id="40" name="Picture"/>
                  <ns2:graphic>
                    <ns2:graphicData uri="http://schemas.openxmlformats.org/drawingml/2006/picture">
                      <ns3:pic>
                        <ns3:nvPicPr>
                          <ns3:cNvPr descr="images/federal-application-aware-networking-architecture-image-04-security-stacking.png" id="41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39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5334000" cy="3000375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Act 2 — When Security Ate the Architecture: the geographic detour, not the inline devices, is where the latency comes from, and the added round-trip cost lands on the four operations that must reach a domain controller</w:t>
            </w:r>
          </w:p>
          <w:bookmarkEnd w:id="42"/>
        </w:tc>
      </w:tr>
    </w:tbl>
    <w:p>
      <w:pPr>
        <w:pStyle w:val="BodyText"/>
      </w:pPr>
      <w:r>
        <w:t xml:space="preserve">Active Directory Kerberos tickets have a lifespan — a default TGT lives ten</w:t>
      </w:r>
      <w:r>
        <w:t xml:space="preserve"> </w:t>
      </w:r>
      <w:r>
        <w:t xml:space="preserve">hours with seven-day renewal, and service tickets 600 minutes. They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bound to a network path. Windows KILE ships</w:t>
      </w:r>
      <w:r>
        <w:t xml:space="preserve"> </w:t>
      </w:r>
      <w:r>
        <w:rPr>
          <w:rStyle w:val="VerbatimChar"/>
        </w:rPr>
        <w:t xml:space="preserve">ClientIpAddresses = 0</w:t>
      </w:r>
      <w:r>
        <w:t xml:space="preserve">, so client</w:t>
      </w:r>
      <w:r>
        <w:t xml:space="preserve"> </w:t>
      </w:r>
      <w:r>
        <w:t xml:space="preserve">addresses are not written into the ticket at all, and Microsoft’s stated reason</w:t>
      </w:r>
      <w:r>
        <w:t xml:space="preserve"> </w:t>
      </w:r>
      <w:r>
        <w:t xml:space="preserve">is verbatim</w:t>
      </w:r>
      <w:r>
        <w:t xml:space="preserve"> </w:t>
      </w:r>
      <w:r>
        <w:rPr>
          <w:i/>
          <w:iCs/>
        </w:rPr>
        <w:t xml:space="preserve">“because of Dynamic Host Configuration Protocol and network address</w:t>
      </w:r>
      <w:r>
        <w:rPr>
          <w:i/>
          <w:iCs/>
        </w:rPr>
        <w:t xml:space="preserve"> </w:t>
      </w:r>
      <w:r>
        <w:rPr>
          <w:i/>
          <w:iCs/>
        </w:rPr>
        <w:t xml:space="preserve">translation issues”</w:t>
      </w:r>
      <w:r>
        <w:rPr>
          <w:rStyle w:val="FootnoteReference"/>
        </w:rPr>
        <w:footnoteReference w:id="43"/>
      </w:r>
      <w:r>
        <w:t xml:space="preserve"> </w:t>
      </w:r>
      <w:r>
        <w:t xml:space="preserve">— tolerating a changed source address is a design property</w:t>
      </w:r>
      <w:r>
        <w:t xml:space="preserve"> </w:t>
      </w:r>
      <w:r>
        <w:t xml:space="preserve">of the deployed protocol. Where RFC 4120’s optional</w:t>
      </w:r>
      <w:r>
        <w:t xml:space="preserve"> </w:t>
      </w:r>
      <w:r>
        <w:rPr>
          <w:rStyle w:val="VerbatimChar"/>
        </w:rPr>
        <w:t xml:space="preserve">caddr</w:t>
      </w:r>
      <w:r>
        <w:t xml:space="preserve"> </w:t>
      </w:r>
      <w:r>
        <w:t xml:space="preserve">field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populated,</w:t>
      </w:r>
      <w:r>
        <w:t xml:space="preserve"> </w:t>
      </w:r>
      <w:r>
        <w:t xml:space="preserve">it carries addresses the</w:t>
      </w:r>
      <w:r>
        <w:t xml:space="preserve"> </w:t>
      </w:r>
      <w:r>
        <w:rPr>
          <w:b/>
          <w:bCs/>
        </w:rPr>
        <w:t xml:space="preserve">client</w:t>
      </w:r>
      <w:r>
        <w:t xml:space="preserve"> </w:t>
      </w:r>
      <w:r>
        <w:t xml:space="preserve">supplies in the AS-REQ rather than the source</w:t>
      </w:r>
      <w:r>
        <w:t xml:space="preserve"> </w:t>
      </w:r>
      <w:r>
        <w:t xml:space="preserve">IP the KDC observes, and the check is performed by the</w:t>
      </w:r>
      <w:r>
        <w:t xml:space="preserve"> </w:t>
      </w:r>
      <w:r>
        <w:rPr>
          <w:b/>
          <w:bCs/>
        </w:rPr>
        <w:t xml:space="preserve">application server</w:t>
      </w:r>
      <w:r>
        <w:t xml:space="preserve"> </w:t>
      </w:r>
      <w:r>
        <w:t xml:space="preserve">(</w:t>
      </w:r>
      <w:r>
        <w:rPr>
          <w:rStyle w:val="VerbatimChar"/>
        </w:rPr>
        <w:t xml:space="preserve">KRB_AP_ERR_BADADDR</w:t>
      </w:r>
      <w:r>
        <w:t xml:space="preserve">), not by the KDC on a TGS-REQ. SNAT at a PoP writes</w:t>
      </w:r>
      <w:r>
        <w:t xml:space="preserve"> </w:t>
      </w:r>
      <w:r>
        <w:t xml:space="preserve">nothing into a ticket, and Kerberos FAST (RFC 6113) is pre-authentication</w:t>
      </w:r>
      <w:r>
        <w:t xml:space="preserve"> </w:t>
      </w:r>
      <w:r>
        <w:t xml:space="preserve">armouring, unrelated to source-IP binding.</w:t>
      </w:r>
    </w:p>
    <w:p>
      <w:pPr>
        <w:pStyle w:val="BodyText"/>
      </w:pPr>
      <w:r>
        <w:t xml:space="preserve">What distance actually costs is narrower, and the argument is stronger for being</w:t>
      </w:r>
      <w:r>
        <w:t xml:space="preserve"> </w:t>
      </w:r>
      <w:r>
        <w:t xml:space="preserve">stated correctly: the</w:t>
      </w:r>
      <w:r>
        <w:t xml:space="preserve"> </w:t>
      </w:r>
      <w:r>
        <w:rPr>
          <w:b/>
          <w:bCs/>
        </w:rPr>
        <w:t xml:space="preserve">DC-dependent operations</w:t>
      </w:r>
      <w:r>
        <w:t xml:space="preserve">. Initial TGT acquisition at</w:t>
      </w:r>
      <w:r>
        <w:t xml:space="preserve"> </w:t>
      </w:r>
      <w:r>
        <w:t xml:space="preserve">logon, SYSVOL/GPO retrieval, password changes, and hybrid Entra join</w:t>
      </w:r>
      <w:r>
        <w:t xml:space="preserve"> </w:t>
      </w:r>
      <w:r>
        <w:t xml:space="preserve">registration all require reaching a domain controller, and Microsoft documents</w:t>
      </w:r>
      <w:r>
        <w:t xml:space="preserve"> </w:t>
      </w:r>
      <w:r>
        <w:t xml:space="preserve">the last of these as needing line-of-sight to an on-premises DC. Stack enough</w:t>
      </w:r>
      <w:r>
        <w:t xml:space="preserve"> </w:t>
      </w:r>
      <w:r>
        <w:t xml:space="preserve">inline latency in front of those and logons crawl, GPO processing stalls, and</w:t>
      </w:r>
      <w:r>
        <w:t xml:space="preserve"> </w:t>
      </w:r>
      <w:r>
        <w:t xml:space="preserve">the estate feels exactly the pain this paper describes — without any ticket</w:t>
      </w:r>
      <w:r>
        <w:t xml:space="preserve"> </w:t>
      </w:r>
      <w:r>
        <w:t xml:space="preserve">being invalidated by NAT.</w:t>
      </w:r>
    </w:p>
    <w:p>
      <w:pPr>
        <w:pStyle w:val="BlockText"/>
      </w:pPr>
      <w:r>
        <w:rPr>
          <w:b/>
          <w:bCs/>
        </w:rPr>
        <w:t xml:space="preserve">The physics that cannot be negotiated:</w:t>
      </w:r>
      <w:r>
        <w:t xml:space="preserve"> </w:t>
      </w:r>
      <w:r>
        <w:t xml:space="preserve">Portland to Washington is</w:t>
      </w:r>
      <w:r>
        <w:t xml:space="preserve"> </w:t>
      </w:r>
      <w:r>
        <w:t xml:space="preserve">approximately 3,800 km great-circle. Real fiber routes are not straight;</w:t>
      </w:r>
      <w:r>
        <w:t xml:space="preserve"> </w:t>
      </w:r>
      <w:r>
        <w:t xml:space="preserve">a routing factor of 20–40% puts the actual glass path at roughly</w:t>
      </w:r>
      <w:r>
        <w:t xml:space="preserve"> </w:t>
      </w:r>
      <w:r>
        <w:t xml:space="preserve">4,500–5,300 km. At 200,000 km/second — the speed of light through glass</w:t>
      </w:r>
      <w:r>
        <w:t xml:space="preserve"> </w:t>
      </w:r>
      <w:r>
        <w:t xml:space="preserve">fiber — that sets an unavoidable propagation floor of</w:t>
      </w:r>
      <w:r>
        <w:t xml:space="preserve"> </w:t>
      </w:r>
      <w:r>
        <w:rPr>
          <w:b/>
          <w:bCs/>
        </w:rPr>
        <w:t xml:space="preserve">23–26 ms one-way,</w:t>
      </w:r>
      <w:r>
        <w:rPr>
          <w:b/>
          <w:bCs/>
        </w:rPr>
        <w:t xml:space="preserve"> </w:t>
      </w:r>
      <w:r>
        <w:rPr>
          <w:b/>
          <w:bCs/>
        </w:rPr>
        <w:t xml:space="preserve">45–53 ms round-trip</w:t>
      </w:r>
      <w:r>
        <w:t xml:space="preserve">, before any queue delay, security inspection, or</w:t>
      </w:r>
      <w:r>
        <w:t xml:space="preserve"> </w:t>
      </w:r>
      <w:r>
        <w:t xml:space="preserve">application processing. Active Directory has</w:t>
      </w:r>
      <w:r>
        <w:t xml:space="preserve"> </w:t>
      </w:r>
      <w:r>
        <w:rPr>
          <w:b/>
          <w:bCs/>
        </w:rPr>
        <w:t xml:space="preserve">no millisecond latency</w:t>
      </w:r>
      <w:r>
        <w:rPr>
          <w:b/>
          <w:bCs/>
        </w:rPr>
        <w:t xml:space="preserve"> </w:t>
      </w:r>
      <w:r>
        <w:rPr>
          <w:b/>
          <w:bCs/>
        </w:rPr>
        <w:t xml:space="preserve">requirement</w:t>
      </w:r>
      <w:r>
        <w:t xml:space="preserve"> </w:t>
      </w:r>
      <w:r>
        <w:t xml:space="preserve">— the widely-quoted five-minute Kerberos figure is clock-skew</w:t>
      </w:r>
      <w:r>
        <w:t xml:space="preserve"> </w:t>
      </w:r>
      <w:r>
        <w:t xml:space="preserve">tolerance, not a latency budget</w:t>
      </w:r>
      <w:r>
        <w:rPr>
          <w:rStyle w:val="FootnoteReference"/>
        </w:rPr>
        <w:footnoteReference w:id="45"/>
      </w:r>
      <w:r>
        <w:t xml:space="preserve"> </w:t>
      </w:r>
      <w:r>
        <w:t xml:space="preserve">— but the DC-dependent operations are the ones</w:t>
      </w:r>
      <w:r>
        <w:t xml:space="preserve"> </w:t>
      </w:r>
      <w:r>
        <w:t xml:space="preserve">that feel this distance: initial TGT acquisition at logon, SYSVOL/GPO</w:t>
      </w:r>
      <w:r>
        <w:t xml:space="preserve"> </w:t>
      </w:r>
      <w:r>
        <w:t xml:space="preserve">retrieval, password changes, and hybrid Entra join registration, each of which</w:t>
      </w:r>
      <w:r>
        <w:t xml:space="preserve"> </w:t>
      </w:r>
      <w:r>
        <w:t xml:space="preserve">Microsoft documents as requiring line-of-sight to an on-premises domain</w:t>
      </w:r>
      <w:r>
        <w:t xml:space="preserve"> </w:t>
      </w:r>
      <w:r>
        <w:t xml:space="preserve">controller.</w:t>
      </w:r>
      <w:r>
        <w:t xml:space="preserve"> </w:t>
      </w:r>
      <w:r>
        <w:rPr>
          <w:b/>
          <w:bCs/>
        </w:rPr>
        <w:t xml:space="preserve">No amount of bandwidth changes this.</w:t>
      </w:r>
      <w:r>
        <w:rPr>
          <w:b/>
          <w:bCs/>
        </w:rPr>
        <w:t xml:space="preserve"> </w:t>
      </w:r>
      <w:r>
        <w:rPr>
          <w:b/>
          <w:bCs/>
        </w:rPr>
        <w:t xml:space="preserve">Bandwidth is volume. Latency is distance. You cannot buy your way out of</w:t>
      </w:r>
      <w:r>
        <w:rPr>
          <w:b/>
          <w:bCs/>
        </w:rPr>
        <w:t xml:space="preserve"> </w:t>
      </w:r>
      <w:r>
        <w:rPr>
          <w:b/>
          <w:bCs/>
        </w:rPr>
        <w:t xml:space="preserve">geography.</w:t>
      </w:r>
    </w:p>
    <w:bookmarkStart w:id="47" w:name="X1d61b71b197144df5c1017d94a8b4db9bf91fc0"/>
    <w:p>
      <w:pPr>
        <w:pStyle w:val="Heading3"/>
      </w:pPr>
      <w:r>
        <w:t xml:space="preserve">Asymmetric routing: the second session killer</w:t>
      </w:r>
    </w:p>
    <w:p>
      <w:pPr>
        <w:pStyle w:val="FirstParagraph"/>
      </w:pPr>
      <w:r>
        <w:t xml:space="preserve">Latency kills sessions by exceeding protocol timeouts. A second mechanism,</w:t>
      </w:r>
      <w:r>
        <w:t xml:space="preserve"> </w:t>
      </w:r>
      <w:r>
        <w:t xml:space="preserve">equally destructive and entirely independent of latency, operated</w:t>
      </w:r>
      <w:r>
        <w:t xml:space="preserve"> </w:t>
      </w:r>
      <w:r>
        <w:t xml:space="preserve">simultaneously:</w:t>
      </w:r>
      <w:r>
        <w:t xml:space="preserve"> </w:t>
      </w:r>
      <w:r>
        <w:rPr>
          <w:b/>
          <w:bCs/>
        </w:rPr>
        <w:t xml:space="preserve">asymmetric routing.</w:t>
      </w:r>
      <w:r>
        <w:t xml:space="preserve"> </w:t>
      </w:r>
      <w:r>
        <w:t xml:space="preserve">It occurs when the outbound path of a</w:t>
      </w:r>
      <w:r>
        <w:t xml:space="preserve"> </w:t>
      </w:r>
      <w:r>
        <w:t xml:space="preserve">session and the return path traverse different physical or logical routes</w:t>
      </w:r>
      <w:r>
        <w:t xml:space="preserve"> </w:t>
      </w:r>
      <w:r>
        <w:t xml:space="preserve">through stateful network devices. A stateful firewall maintains a session</w:t>
      </w:r>
      <w:r>
        <w:t xml:space="preserve"> </w:t>
      </w:r>
      <w:r>
        <w:t xml:space="preserve">table keyed on the five-tuple. When a SYN packet arrives, the device creates</w:t>
      </w:r>
      <w:r>
        <w:t xml:space="preserve"> </w:t>
      </w:r>
      <w:r>
        <w:t xml:space="preserve">an entry expecting the SYN-ACK to return through it. When the SYN-ACK returns</w:t>
      </w:r>
      <w:r>
        <w:t xml:space="preserve"> </w:t>
      </w:r>
      <w:r>
        <w:t xml:space="preserve">via a different path, that second device sees a SYN-ACK with no corresponding</w:t>
      </w:r>
      <w:r>
        <w:t xml:space="preserve"> </w:t>
      </w:r>
      <w:r>
        <w:t xml:space="preserve">session entry — it drops it as unsolicited. The TCP three-way handshake never</w:t>
      </w:r>
      <w:r>
        <w:t xml:space="preserve"> </w:t>
      </w:r>
      <w:r>
        <w:t xml:space="preserve">completes.</w:t>
      </w:r>
    </w:p>
    <w:p>
      <w:pPr>
        <w:pStyle w:val="BodyText"/>
      </w:pPr>
      <w:r>
        <w:rPr>
          <w:b/>
          <w:bCs/>
        </w:rPr>
        <w:t xml:space="preserve">Asymmetric routing vs. latency: independent killers that compound.</w:t>
      </w:r>
      <w:r>
        <w:t xml:space="preserve"> </w:t>
      </w:r>
      <w:r>
        <w:t xml:space="preserve">Latency kills sessions by exceeding protocol timeouts. Asymmetric routing</w:t>
      </w:r>
      <w:r>
        <w:t xml:space="preserve"> </w:t>
      </w:r>
      <w:r>
        <w:t xml:space="preserve">kills sessions by preventing TCP from completing its three-way handshake at</w:t>
      </w:r>
      <w:r>
        <w:t xml:space="preserve"> </w:t>
      </w:r>
      <w:r>
        <w:t xml:space="preserve">all — even with perfect, sub-millisecond latency on both paths. In</w:t>
      </w:r>
      <w:r>
        <w:t xml:space="preserve"> </w:t>
      </w:r>
      <w:r>
        <w:t xml:space="preserve">environments where both conditions exist simultaneously — the federal</w:t>
      </w:r>
      <w:r>
        <w:t xml:space="preserve"> </w:t>
      </w:r>
      <w:r>
        <w:t xml:space="preserve">standard — they compound.</w:t>
      </w:r>
    </w:p>
    <w:p>
      <w:pPr>
        <w:pStyle w:val="BodyText"/>
      </w:pPr>
      <w:r>
        <w:rPr>
          <w:b/>
          <w:bCs/>
        </w:rPr>
        <w:t xml:space="preserve">How SD-WAN overlay eliminates asymmetric routing:</w:t>
      </w:r>
      <w:r>
        <w:t xml:space="preserve"> </w:t>
      </w:r>
      <w:r>
        <w:t xml:space="preserve">The SD-WAN overlay</w:t>
      </w:r>
      <w:r>
        <w:t xml:space="preserve"> </w:t>
      </w:r>
      <w:r>
        <w:t xml:space="preserve">tunnel is established between two edge devices as a single logical</w:t>
      </w:r>
      <w:r>
        <w:t xml:space="preserve"> </w:t>
      </w:r>
      <w:r>
        <w:t xml:space="preserve">connection. Inside the tunnel, individual packets may physically traverse any</w:t>
      </w:r>
      <w:r>
        <w:t xml:space="preserve"> </w:t>
      </w:r>
      <w:r>
        <w:t xml:space="preserve">available path. But at the application layer, both directions of every</w:t>
      </w:r>
      <w:r>
        <w:t xml:space="preserve"> </w:t>
      </w:r>
      <w:r>
        <w:t xml:space="preserve">session enter and exit the same SD-WAN edge device. The stateful inspection</w:t>
      </w:r>
      <w:r>
        <w:t xml:space="preserve"> </w:t>
      </w:r>
      <w:r>
        <w:t xml:space="preserve">happens at the tunnel endpoint, which sees both directions. Asymmetric</w:t>
      </w:r>
      <w:r>
        <w:t xml:space="preserve"> </w:t>
      </w:r>
      <w:r>
        <w:t xml:space="preserve">physical routing below the tunnel is structurally removed.</w:t>
      </w:r>
    </w:p>
    <w:p>
      <w:r>
        <w:pict>
          <ns5:rect style="width:0;height:1.5pt" ns6:hralign="center" ns6:hrstd="t" ns6:hr="t"/>
        </w:pict>
      </w:r>
    </w:p>
    <w:bookmarkEnd w:id="47"/>
    <w:bookmarkEnd w:id="48"/>
    <w:bookmarkStart w:id="53" w:name="act-3-the-breaking-point-20202026"/>
    <w:p>
      <w:pPr>
        <w:pStyle w:val="Heading2"/>
      </w:pPr>
      <w:r>
        <w:t xml:space="preserve">Act 3 — The Breaking Point (2020–2026)</w:t>
      </w:r>
    </w:p>
    <w:p>
      <w:pPr>
        <w:pStyle w:val="FirstParagraph"/>
      </w:pPr>
      <w:r>
        <w:t xml:space="preserve">Then M365 happened. Microsoft forced the issue. Your agency migrated to</w:t>
      </w:r>
      <w:r>
        <w:t xml:space="preserve"> </w:t>
      </w:r>
      <w:r>
        <w:t xml:space="preserve">Microsoft 365 — Exchange Online, Teams, SharePoint. Suddenly your email and</w:t>
      </w:r>
      <w:r>
        <w:t xml:space="preserve"> </w:t>
      </w:r>
      <w:r>
        <w:t xml:space="preserve">collaboration lived in Azure, managed by Microsoft, unreachable by your</w:t>
      </w:r>
      <w:r>
        <w:t xml:space="preserve"> </w:t>
      </w:r>
      <w:r>
        <w:t xml:space="preserve">session-based authentication model.</w:t>
      </w:r>
    </w:p>
    <w:p>
      <w:pPr>
        <w:pStyle w:val="BodyText"/>
      </w:pPr>
      <w:r>
        <w:t xml:space="preserve">And here is the critical moment: the agency still had</w:t>
      </w:r>
      <w:r>
        <w:t xml:space="preserve"> </w:t>
      </w:r>
      <w:r>
        <w:rPr>
          <w:b/>
          <w:bCs/>
        </w:rPr>
        <w:t xml:space="preserve">twelve regional</w:t>
      </w:r>
      <w:r>
        <w:rPr>
          <w:b/>
          <w:bCs/>
        </w:rPr>
        <w:t xml:space="preserve"> </w:t>
      </w:r>
      <w:r>
        <w:rPr>
          <w:b/>
          <w:bCs/>
        </w:rPr>
        <w:t xml:space="preserve">Active Directory domains.</w:t>
      </w:r>
      <w:r>
        <w:t xml:space="preserve"> </w:t>
      </w:r>
      <w:r>
        <w:t xml:space="preserve">Still had the OU tree structure designed for when</w:t>
      </w:r>
      <w:r>
        <w:t xml:space="preserve"> </w:t>
      </w:r>
      <w:r>
        <w:t xml:space="preserve">compute lived regionally. Still had MPLS circuits connecting field offices to</w:t>
      </w:r>
      <w:r>
        <w:t xml:space="preserve"> </w:t>
      </w:r>
      <w:r>
        <w:t xml:space="preserve">regional data centers that were increasingly just logical boundaries, not</w:t>
      </w:r>
      <w:r>
        <w:t xml:space="preserve"> </w:t>
      </w:r>
      <w:r>
        <w:t xml:space="preserve">physical anchors.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four-environments"/>
          <w:p>
            <w:pPr>
              <w:pStyle w:val="Compact"/>
              <w:jc w:val="center"/>
            </w:pPr>
            <w:r>
              <w:drawing>
                <ns1:inline>
                  <ns1:extent cx="5334000" cy="2844800"/>
                  <ns1:effectExtent b="0" l="0" r="0" t="0"/>
                  <ns1:docPr descr="" title="" id="50" name="Picture"/>
                  <ns2:graphic>
                    <ns2:graphicData uri="http://schemas.openxmlformats.org/drawingml/2006/picture">
                      <ns3:pic>
                        <ns3:nvPicPr>
                          <ns3:cNvPr descr="images/federal-application-aware-networking-architecture-image-05-four-environments.png" id="51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49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5334000" cy="28448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Act 3 — The Breaking Point: the same employee, Jane Smith, shows four contradictory records across VMware on-prem AD, Azure M365 GCC, AWS GovCloud IAM, and Oracle OCI HR-Benefits platform, converging on a red question mark asking which is authoritative</w:t>
            </w:r>
          </w:p>
          <w:bookmarkEnd w:id="52"/>
        </w:tc>
      </w:tr>
    </w:tbl>
    <w:p>
      <w:pPr>
        <w:pStyle w:val="BodyText"/>
      </w:pPr>
      <w:r>
        <w:t xml:space="preserve">Now a field office in Portland authenticates to a regional DC physically in</w:t>
      </w:r>
      <w:r>
        <w:t xml:space="preserve"> </w:t>
      </w:r>
      <w:r>
        <w:t xml:space="preserve">Washington. An application running on VMware queries a service in AWS. Email</w:t>
      </w:r>
      <w:r>
        <w:t xml:space="preserve"> </w:t>
      </w:r>
      <w:r>
        <w:t xml:space="preserve">lives in Azure. The session-based contract — the assumption that client and</w:t>
      </w:r>
      <w:r>
        <w:t xml:space="preserve"> </w:t>
      </w:r>
      <w:r>
        <w:t xml:space="preserve">server are talking synchronously over a trusted link — is fracturing across</w:t>
      </w:r>
      <w:r>
        <w:t xml:space="preserve"> </w:t>
      </w:r>
      <w:r>
        <w:t xml:space="preserve">three environments and an upcoming fourth.</w:t>
      </w:r>
    </w:p>
    <w:p>
      <w:pPr>
        <w:pStyle w:val="BlockText"/>
      </w:pPr>
      <w:r>
        <w:rPr>
          <w:b/>
          <w:bCs/>
        </w:rPr>
        <w:t xml:space="preserve">The hard realization.</w:t>
      </w:r>
      <w:r>
        <w:t xml:space="preserve"> </w:t>
      </w:r>
      <w:r>
        <w:t xml:space="preserve">The bulk of mission compute still runs on VMware</w:t>
      </w:r>
      <w:r>
        <w:t xml:space="preserve"> </w:t>
      </w:r>
      <w:r>
        <w:t xml:space="preserve">on-premises. Red Hat workloads are moving to AWS GovCloud. Email and</w:t>
      </w:r>
      <w:r>
        <w:t xml:space="preserve"> </w:t>
      </w:r>
      <w:r>
        <w:t xml:space="preserve">collaboration are in Azure. A government-wide HR platform on Oracle OCI is</w:t>
      </w:r>
      <w:r>
        <w:t xml:space="preserve"> </w:t>
      </w:r>
      <w:r>
        <w:t xml:space="preserve">the next boundary arriving. Identity is still in twelve regional AD domains designed for a</w:t>
      </w:r>
      <w:r>
        <w:t xml:space="preserve"> </w:t>
      </w:r>
      <w:r>
        <w:t xml:space="preserve">world where all four of those environments were the same room. The</w:t>
      </w:r>
      <w:r>
        <w:t xml:space="preserve"> </w:t>
      </w:r>
      <w:r>
        <w:t xml:space="preserve">infrastructure could</w:t>
      </w:r>
      <w:r>
        <w:t xml:space="preserve"> </w:t>
      </w:r>
      <w:r>
        <w:rPr>
          <w:i/>
          <w:iCs/>
        </w:rPr>
        <w:t xml:space="preserve">do</w:t>
      </w:r>
      <w:r>
        <w:t xml:space="preserve"> </w:t>
      </w:r>
      <w:r>
        <w:t xml:space="preserve">things but could not</w:t>
      </w:r>
      <w:r>
        <w:t xml:space="preserve"> </w:t>
      </w:r>
      <w:r>
        <w:rPr>
          <w:i/>
          <w:iCs/>
        </w:rPr>
        <w:t xml:space="preserve">verify</w:t>
      </w:r>
      <w:r>
        <w:t xml:space="preserve"> </w:t>
      </w:r>
      <w:r>
        <w:t xml:space="preserve">them across that</w:t>
      </w:r>
      <w:r>
        <w:t xml:space="preserve"> </w:t>
      </w:r>
      <w:r>
        <w:t xml:space="preserve">boundary. With program integrity now a national imperative, that is no</w:t>
      </w:r>
      <w:r>
        <w:t xml:space="preserve"> </w:t>
      </w:r>
      <w:r>
        <w:t xml:space="preserve">longer acceptable.</w:t>
      </w:r>
    </w:p>
    <w:p>
      <w:pPr>
        <w:pStyle w:val="FirstParagraph"/>
      </w:pPr>
      <w:r>
        <w:t xml:space="preserve">Meanwhile, the regional variations that started in Act 1 had calcified into</w:t>
      </w:r>
      <w:r>
        <w:t xml:space="preserve"> </w:t>
      </w:r>
      <w:r>
        <w:t xml:space="preserve">institutional silos. California’s benefit calculation differed from</w:t>
      </w:r>
      <w:r>
        <w:t xml:space="preserve"> </w:t>
      </w:r>
      <w:r>
        <w:t xml:space="preserve">Massachusetts’s. Regional databases had evolved incompatible schemas. And</w:t>
      </w:r>
      <w:r>
        <w:t xml:space="preserve"> </w:t>
      </w:r>
      <w:r>
        <w:t xml:space="preserve">because single source of truth had never been restored,</w:t>
      </w:r>
      <w:r>
        <w:t xml:space="preserve"> </w:t>
      </w:r>
      <w:r>
        <w:rPr>
          <w:b/>
          <w:bCs/>
        </w:rPr>
        <w:t xml:space="preserve">nobody could see</w:t>
      </w:r>
      <w:r>
        <w:rPr>
          <w:b/>
          <w:bCs/>
        </w:rPr>
        <w:t xml:space="preserve"> </w:t>
      </w:r>
      <w:r>
        <w:rPr>
          <w:b/>
          <w:bCs/>
        </w:rPr>
        <w:t xml:space="preserve">the discrepancies.</w:t>
      </w:r>
      <w:r>
        <w:t xml:space="preserve"> </w:t>
      </w:r>
      <w:r>
        <w:t xml:space="preserve">The fragmentation that made the system agile in 1995 had</w:t>
      </w:r>
      <w:r>
        <w:t xml:space="preserve"> </w:t>
      </w:r>
      <w:r>
        <w:t xml:space="preserve">become the hiding place for systemic error — duplicate payments across</w:t>
      </w:r>
      <w:r>
        <w:t xml:space="preserve"> </w:t>
      </w:r>
      <w:r>
        <w:t xml:space="preserve">states, records that should have been closed years ago, reconciliations</w:t>
      </w:r>
      <w:r>
        <w:t xml:space="preserve"> </w:t>
      </w:r>
      <w:r>
        <w:t xml:space="preserve">nobody could complete.</w:t>
      </w:r>
    </w:p>
    <w:p>
      <w:r>
        <w:pict>
          <ns5:rect style="width:0;height:1.5pt" ns6:hralign="center" ns6:hrstd="t" ns6:hr="t"/>
        </w:pict>
      </w:r>
    </w:p>
    <w:bookmarkEnd w:id="53"/>
    <w:bookmarkStart w:id="61" w:name="X4b5505421db170a3086556578fd2300fc212abc"/>
    <w:p>
      <w:pPr>
        <w:pStyle w:val="Heading2"/>
      </w:pPr>
      <w:r>
        <w:t xml:space="preserve">The Physics Argument Decision Makers Have Not Heard</w:t>
      </w:r>
    </w:p>
    <w:p>
      <w:pPr>
        <w:pStyle w:val="FirstParagraph"/>
      </w:pPr>
      <w:r>
        <w:t xml:space="preserve">When a decision maker hears</w:t>
      </w:r>
      <w:r>
        <w:t xml:space="preserve"> </w:t>
      </w:r>
      <w:r>
        <w:t xml:space="preserve">“the MPLS hairpin is causing latency problems,”</w:t>
      </w:r>
      <w:r>
        <w:t xml:space="preserve"> </w:t>
      </w:r>
      <w:r>
        <w:t xml:space="preserve">the response is almost always:</w:t>
      </w:r>
      <w:r>
        <w:t xml:space="preserve"> </w:t>
      </w:r>
      <w:r>
        <w:t xml:space="preserve">“add a Direct Internet Access circuit at the</w:t>
      </w:r>
      <w:r>
        <w:t xml:space="preserve"> </w:t>
      </w:r>
      <w:r>
        <w:t xml:space="preserve">branch.”</w:t>
      </w:r>
      <w:r>
        <w:t xml:space="preserve"> </w:t>
      </w:r>
      <w:r>
        <w:t xml:space="preserve">DIA eliminates the geographic hairpin. That improvement is real.</w:t>
      </w:r>
    </w:p>
    <w:p>
      <w:pPr>
        <w:pStyle w:val="BodyText"/>
      </w:pPr>
      <w:r>
        <w:t xml:space="preserve">And then leadership will conclude that the network problem is solved.</w:t>
      </w:r>
      <w:r>
        <w:t xml:space="preserve"> </w:t>
      </w:r>
      <w:r>
        <w:rPr>
          <w:b/>
          <w:bCs/>
        </w:rPr>
        <w:t xml:space="preserve">It is</w:t>
      </w:r>
      <w:r>
        <w:rPr>
          <w:b/>
          <w:bCs/>
        </w:rPr>
        <w:t xml:space="preserve"> </w:t>
      </w:r>
      <w:r>
        <w:rPr>
          <w:b/>
          <w:bCs/>
        </w:rPr>
        <w:t xml:space="preserve">not.</w:t>
      </w:r>
      <w:r>
        <w:t xml:space="preserve"> </w:t>
      </w:r>
      <w:r>
        <w:t xml:space="preserve">DIA is a pipe. It is a better-positioned pipe than the MPLS circuit it</w:t>
      </w:r>
      <w:r>
        <w:t xml:space="preserve"> </w:t>
      </w:r>
      <w:r>
        <w:t xml:space="preserve">supplements, but it is still a single, unintelligent pipe with no visibility</w:t>
      </w:r>
      <w:r>
        <w:t xml:space="preserve"> </w:t>
      </w:r>
      <w:r>
        <w:t xml:space="preserve">into what is happening on it, no ability to respond when it degrades, and no</w:t>
      </w:r>
      <w:r>
        <w:t xml:space="preserve"> </w:t>
      </w:r>
      <w:r>
        <w:t xml:space="preserve">way to know whether it is actually the best available path to your</w:t>
      </w:r>
      <w:r>
        <w:t xml:space="preserve"> </w:t>
      </w:r>
      <w:r>
        <w:t xml:space="preserve">destination.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physics-floor"/>
          <w:p>
            <w:pPr>
              <w:pStyle w:val="Compact"/>
              <w:jc w:val="center"/>
            </w:pPr>
            <w:r>
              <w:drawing>
                <ns1:inline>
                  <ns1:extent cx="5334000" cy="2755900"/>
                  <ns1:effectExtent b="0" l="0" r="0" t="0"/>
                  <ns1:docPr descr="" title="" id="55" name="Picture"/>
                  <ns2:graphic>
                    <ns2:graphicData uri="http://schemas.openxmlformats.org/drawingml/2006/picture">
                      <ns3:pic>
                        <ns3:nvPicPr>
                          <ns3:cNvPr descr="images/federal-application-aware-networking-architecture-image-06-physics-floor.png" id="56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54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5334000" cy="27559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Physics the network cannot escape: terrestrial fiber at 200,000 km/s and 27ms one-way propagation versus LEO satellite at the vacuum speed of light, with a one-way latency comparison bar chart across MPLS, DIA, 5G MEC, and Starlink paths, and the 5G architectural advantage explained on the right</w:t>
            </w:r>
          </w:p>
          <w:bookmarkEnd w:id="57"/>
        </w:tc>
      </w:tr>
    </w:tbl>
    <w:bookmarkStart w:id="58" w:name="X9d7df7bedc6624b327225ae3c4e0228b4ada747"/>
    <w:p>
      <w:pPr>
        <w:pStyle w:val="Heading3"/>
      </w:pPr>
      <w:r>
        <w:t xml:space="preserve">Why satellite latency is no longer what you remember</w:t>
      </w:r>
    </w:p>
    <w:p>
      <w:pPr>
        <w:pStyle w:val="FirstParagraph"/>
      </w:pPr>
      <w:r>
        <w:t xml:space="preserve">The satellite internet that federal IT professionals evaluated and rejected</w:t>
      </w:r>
      <w:r>
        <w:t xml:space="preserve"> </w:t>
      </w:r>
      <w:r>
        <w:t xml:space="preserve">for decades was geostationary (GEO) — satellites parked at 35,786 km</w:t>
      </w:r>
      <w:r>
        <w:t xml:space="preserve"> </w:t>
      </w:r>
      <w:r>
        <w:t xml:space="preserve">altitude. The physics are unforgiving: approximately 238 ms of one-way</w:t>
      </w:r>
      <w:r>
        <w:t xml:space="preserve"> </w:t>
      </w:r>
      <w:r>
        <w:t xml:space="preserve">propagation delay. No enterprise application tolerates this gracefully. That</w:t>
      </w:r>
      <w:r>
        <w:t xml:space="preserve"> </w:t>
      </w:r>
      <w:r>
        <w:t xml:space="preserve">ruling does not apply to LEO.</w:t>
      </w:r>
    </w:p>
    <w:p>
      <w:pPr>
        <w:pStyle w:val="BodyText"/>
      </w:pPr>
      <w:r>
        <w:t xml:space="preserve">Starlink and similar Low Earth Orbit constellations operate at approximately</w:t>
      </w:r>
      <w:r>
        <w:t xml:space="preserve"> </w:t>
      </w:r>
      <w:r>
        <w:t xml:space="preserve">550 km altitude. Current practical end-to-end latency:</w:t>
      </w:r>
      <w:r>
        <w:t xml:space="preserve"> </w:t>
      </w:r>
      <w:r>
        <w:rPr>
          <w:b/>
          <w:bCs/>
        </w:rPr>
        <w:t xml:space="preserve">20–40 ms and</w:t>
      </w:r>
      <w:r>
        <w:rPr>
          <w:b/>
          <w:bCs/>
        </w:rPr>
        <w:t xml:space="preserve"> </w:t>
      </w:r>
      <w:r>
        <w:rPr>
          <w:b/>
          <w:bCs/>
        </w:rPr>
        <w:t xml:space="preserve">improving.</w:t>
      </w:r>
      <w:r>
        <w:t xml:space="preserve"> </w:t>
      </w:r>
      <w:r>
        <w:t xml:space="preserve">That places LEO satellite in the same competitive range as</w:t>
      </w:r>
      <w:r>
        <w:t xml:space="preserve"> </w:t>
      </w:r>
      <w:r>
        <w:t xml:space="preserve">broadband DIA circuits.</w:t>
      </w:r>
    </w:p>
    <w:p>
      <w:pPr>
        <w:pStyle w:val="BodyText"/>
      </w:pPr>
      <w:r>
        <w:rPr>
          <w:b/>
          <w:bCs/>
        </w:rPr>
        <w:t xml:space="preserve">The vacuum advantage:</w:t>
      </w:r>
      <w:r>
        <w:t xml:space="preserve"> </w:t>
      </w:r>
      <w:r>
        <w:t xml:space="preserve">Light travels through optical fiber at</w:t>
      </w:r>
      <w:r>
        <w:t xml:space="preserve"> </w:t>
      </w:r>
      <w:r>
        <w:t xml:space="preserve">approximately 200,000 km/second — two-thirds the speed of light in vacuum,</w:t>
      </w:r>
      <w:r>
        <w:t xml:space="preserve"> </w:t>
      </w:r>
      <w:r>
        <w:t xml:space="preserve">due to the refractive index of glass. Light travels through the vacuum of</w:t>
      </w:r>
      <w:r>
        <w:t xml:space="preserve"> </w:t>
      </w:r>
      <w:r>
        <w:t xml:space="preserve">space at 299,792 km/second. Vacuum is</w:t>
      </w:r>
      <w:r>
        <w:t xml:space="preserve"> </w:t>
      </w:r>
      <w:r>
        <w:rPr>
          <w:b/>
          <w:bCs/>
        </w:rPr>
        <w:t xml:space="preserve">50% faster</w:t>
      </w:r>
      <w:r>
        <w:t xml:space="preserve">, which means that over</w:t>
      </w:r>
      <w:r>
        <w:t xml:space="preserve"> </w:t>
      </w:r>
      <w:r>
        <w:t xml:space="preserve">the same physical path length the signal arrives in</w:t>
      </w:r>
      <w:r>
        <w:t xml:space="preserve"> </w:t>
      </w:r>
      <w:r>
        <w:rPr>
          <w:b/>
          <w:bCs/>
        </w:rPr>
        <w:t xml:space="preserve">two-thirds the time —</w:t>
      </w:r>
      <w:r>
        <w:rPr>
          <w:b/>
          <w:bCs/>
        </w:rPr>
        <w:t xml:space="preserve"> </w:t>
      </w:r>
      <w:r>
        <w:rPr>
          <w:b/>
          <w:bCs/>
        </w:rPr>
        <w:t xml:space="preserve">about 33% sooner</w:t>
      </w:r>
      <w:r>
        <w:t xml:space="preserve">. (Speed and time are inverses; it is an easy sentence to</w:t>
      </w:r>
      <w:r>
        <w:t xml:space="preserve"> </w:t>
      </w:r>
      <w:r>
        <w:t xml:space="preserve">get backwards.) This is not a technology gap that better fiber will close.</w:t>
      </w:r>
      <w:r>
        <w:t xml:space="preserve"> </w:t>
      </w:r>
      <w:r>
        <w:t xml:space="preserve">It is physics.</w:t>
      </w:r>
    </w:p>
    <w:p>
      <w:pPr>
        <w:pStyle w:val="BodyText"/>
      </w:pPr>
      <w:r>
        <w:t xml:space="preserve">For the longest domestic paths — Pacific Northwest to mid-Atlantic — the</w:t>
      </w:r>
      <w:r>
        <w:t xml:space="preserve"> </w:t>
      </w:r>
      <w:r>
        <w:t xml:space="preserve">terrestrial fiber route may traverse 4,500 km or more of physical cable. The</w:t>
      </w:r>
      <w:r>
        <w:t xml:space="preserve"> </w:t>
      </w:r>
      <w:r>
        <w:t xml:space="preserve">LEO vacuum path traverses 550 km up, geometrically direct inter-satellite</w:t>
      </w:r>
      <w:r>
        <w:t xml:space="preserve"> </w:t>
      </w:r>
      <w:r>
        <w:t xml:space="preserve">laser link hops through space, and 550 km down at propagation speed 50%</w:t>
      </w:r>
      <w:r>
        <w:t xml:space="preserve"> </w:t>
      </w:r>
      <w:r>
        <w:t xml:space="preserve">higher than fiber.</w:t>
      </w:r>
      <w:r>
        <w:t xml:space="preserve"> </w:t>
      </w:r>
      <w:r>
        <w:rPr>
          <w:b/>
          <w:bCs/>
        </w:rPr>
        <w:t xml:space="preserve">Under the right conditions the satellite path is not a</w:t>
      </w:r>
      <w:r>
        <w:rPr>
          <w:b/>
          <w:bCs/>
        </w:rPr>
        <w:t xml:space="preserve"> </w:t>
      </w:r>
      <w:r>
        <w:rPr>
          <w:b/>
          <w:bCs/>
        </w:rPr>
        <w:t xml:space="preserve">compromise — it is the physics-optimal path.</w:t>
      </w:r>
    </w:p>
    <w:bookmarkEnd w:id="58"/>
    <w:bookmarkStart w:id="60" w:name="X43b2d4d43e261bb53e9a999c6a8467bea143c2c"/>
    <w:p>
      <w:pPr>
        <w:pStyle w:val="Heading3"/>
      </w:pPr>
      <w:r>
        <w:t xml:space="preserve">5G: lower latency through architecture, not just physics</w:t>
      </w:r>
    </w:p>
    <w:p>
      <w:pPr>
        <w:pStyle w:val="FirstParagraph"/>
      </w:pPr>
      <w:r>
        <w:t xml:space="preserve">5G reduces latency through two distinct mechanisms.</w:t>
      </w:r>
    </w:p>
    <w:p>
      <w:pPr>
        <w:pStyle w:val="BodyText"/>
      </w:pPr>
      <w:r>
        <w:rPr>
          <w:b/>
          <w:bCs/>
        </w:rPr>
        <w:t xml:space="preserve">The radio mechanism:</w:t>
      </w:r>
      <w:r>
        <w:t xml:space="preserve"> </w:t>
      </w:r>
      <w:r>
        <w:t xml:space="preserve">5G’s scalable numerology</w:t>
      </w:r>
      <w:r>
        <w:rPr>
          <w:rStyle w:val="FootnoteReference"/>
        </w:rPr>
        <w:footnoteReference w:id="59"/>
      </w:r>
      <w:r>
        <w:t xml:space="preserve"> </w:t>
      </w:r>
      <w:r>
        <w:t xml:space="preserve">shortens the slot as</w:t>
      </w:r>
      <w:r>
        <w:t xml:space="preserve"> </w:t>
      </w:r>
      <w:r>
        <w:t xml:space="preserve">subcarrier spacing rises — 0.5 ms at the 30 kHz spacing typical of mid-band</w:t>
      </w:r>
      <w:r>
        <w:t xml:space="preserve"> </w:t>
      </w:r>
      <w:r>
        <w:t xml:space="preserve">sub-6 GHz deployments, and 0.125 ms only at the 120 kHz spacing used in</w:t>
      </w:r>
      <w:r>
        <w:t xml:space="preserve"> </w:t>
      </w:r>
      <w:r>
        <w:t xml:space="preserve">mmWave — against a fixed 1 ms slot in LTE. Practical mid-band sub-6 GHz 5G</w:t>
      </w:r>
      <w:r>
        <w:t xml:space="preserve"> </w:t>
      </w:r>
      <w:r>
        <w:t xml:space="preserve">achieves 5–10 ms across the air interface.</w:t>
      </w:r>
    </w:p>
    <w:p>
      <w:pPr>
        <w:pStyle w:val="BodyText"/>
      </w:pPr>
      <w:r>
        <w:rPr>
          <w:b/>
          <w:bCs/>
        </w:rPr>
        <w:t xml:space="preserve">The architectural mechanism:</w:t>
      </w:r>
      <w:r>
        <w:t xml:space="preserve"> </w:t>
      </w:r>
      <w:r>
        <w:t xml:space="preserve">5G’s Control and User Plane Separation</w:t>
      </w:r>
      <w:r>
        <w:t xml:space="preserve"> </w:t>
      </w:r>
      <w:r>
        <w:t xml:space="preserve">(CUPS) and Multi-access Edge Computing (MEC) allow traffic to break out of</w:t>
      </w:r>
      <w:r>
        <w:t xml:space="preserve"> </w:t>
      </w:r>
      <w:r>
        <w:t xml:space="preserve">the carrier’s network locally — at the cell tower or a nearby edge node —</w:t>
      </w:r>
      <w:r>
        <w:t xml:space="preserve"> </w:t>
      </w:r>
      <w:r>
        <w:t xml:space="preserve">rather than backhauling to a central core. This is particularly significant</w:t>
      </w:r>
      <w:r>
        <w:t xml:space="preserve"> </w:t>
      </w:r>
      <w:r>
        <w:t xml:space="preserve">for federal field offices in locations where broadband ISP options are</w:t>
      </w:r>
      <w:r>
        <w:t xml:space="preserve"> </w:t>
      </w:r>
      <w:r>
        <w:t xml:space="preserve">limited.</w:t>
      </w:r>
    </w:p>
    <w:p>
      <w:r>
        <w:pict>
          <ns5:rect style="width:0;height:1.5pt" ns6:hralign="center" ns6:hrstd="t" ns6:hr="t"/>
        </w:pict>
      </w:r>
    </w:p>
    <w:bookmarkEnd w:id="60"/>
    <w:bookmarkEnd w:id="61"/>
    <w:bookmarkStart w:id="67" w:name="X1d6bf0764d5dd00823317c255ee2bc814a3d92a"/>
    <w:p>
      <w:pPr>
        <w:pStyle w:val="Heading2"/>
      </w:pPr>
      <w:r>
        <w:t xml:space="preserve">What Application-Aware Networking Actually Means</w:t>
      </w:r>
    </w:p>
    <w:p>
      <w:pPr>
        <w:pStyle w:val="FirstParagraph"/>
      </w:pPr>
      <w:r>
        <w:t xml:space="preserve">The phrase</w:t>
      </w:r>
      <w:r>
        <w:t xml:space="preserve"> </w:t>
      </w:r>
      <w:r>
        <w:t xml:space="preserve">“application-aware networking”</w:t>
      </w:r>
      <w:r>
        <w:t xml:space="preserve"> </w:t>
      </w:r>
      <w:r>
        <w:t xml:space="preserve">appears in policy documents and</w:t>
      </w:r>
      <w:r>
        <w:t xml:space="preserve"> </w:t>
      </w:r>
      <w:r>
        <w:t xml:space="preserve">vendor briefings without ever being explained in plain terms. Here is the</w:t>
      </w:r>
      <w:r>
        <w:t xml:space="preserve"> </w:t>
      </w:r>
      <w:r>
        <w:t xml:space="preserve">plain version.</w:t>
      </w:r>
    </w:p>
    <w:p>
      <w:pPr>
        <w:pStyle w:val="BodyText"/>
      </w:pPr>
      <w:r>
        <w:rPr>
          <w:b/>
          <w:bCs/>
        </w:rPr>
        <w:t xml:space="preserve">Your current network sees a packet.</w:t>
      </w:r>
      <w:r>
        <w:t xml:space="preserve"> </w:t>
      </w:r>
      <w:r>
        <w:t xml:space="preserve">Specifically, it sees: source IP</w:t>
      </w:r>
      <w:r>
        <w:t xml:space="preserve"> </w:t>
      </w:r>
      <w:r>
        <w:t xml:space="preserve">address, destination IP address, source port, destination port, protocol. It</w:t>
      </w:r>
      <w:r>
        <w:t xml:space="preserve"> </w:t>
      </w:r>
      <w:r>
        <w:t xml:space="preserve">has no idea who sent the packet, what application it belongs to, whether the</w:t>
      </w:r>
      <w:r>
        <w:t xml:space="preserve"> </w:t>
      </w:r>
      <w:r>
        <w:t xml:space="preserve">user is who they claim to be, whether the device is managed and compliant, or</w:t>
      </w:r>
      <w:r>
        <w:t xml:space="preserve"> </w:t>
      </w:r>
      <w:r>
        <w:t xml:space="preserve">whether the data being accessed is the data policy says they should access.</w:t>
      </w:r>
      <w:r>
        <w:t xml:space="preserve"> </w:t>
      </w:r>
      <w:r>
        <w:t xml:space="preserve">It sees a packet. It checks a rule. It allows or denies.</w:t>
      </w:r>
    </w:p>
    <w:p>
      <w:pPr>
        <w:pStyle w:val="BodyText"/>
      </w:pPr>
      <w:r>
        <w:rPr>
          <w:b/>
          <w:bCs/>
        </w:rPr>
        <w:t xml:space="preserve">Application-aware networking sees a transaction.</w:t>
      </w:r>
      <w:r>
        <w:t xml:space="preserve"> </w:t>
      </w:r>
      <w:r>
        <w:t xml:space="preserve">Specifically, it sees: a</w:t>
      </w:r>
      <w:r>
        <w:t xml:space="preserve"> </w:t>
      </w:r>
      <w:r>
        <w:t xml:space="preserve">specific employee, on a managed government laptop that passed compliance</w:t>
      </w:r>
      <w:r>
        <w:t xml:space="preserve"> </w:t>
      </w:r>
      <w:r>
        <w:t xml:space="preserve">check this morning, running Microsoft Teams, requesting a SharePoint document</w:t>
      </w:r>
      <w:r>
        <w:t xml:space="preserve"> </w:t>
      </w:r>
      <w:r>
        <w:t xml:space="preserve">classified as internal, from an office location that is consistent with</w:t>
      </w:r>
      <w:r>
        <w:t xml:space="preserve"> </w:t>
      </w:r>
      <w:r>
        <w:t xml:space="preserve">their normal work pattern, at a time of day that is expected, to access a</w:t>
      </w:r>
      <w:r>
        <w:t xml:space="preserve"> </w:t>
      </w:r>
      <w:r>
        <w:t xml:space="preserve">file that their role and organizational attributes authorize them to access.</w:t>
      </w:r>
      <w:r>
        <w:t xml:space="preserve"> </w:t>
      </w:r>
      <w:r>
        <w:t xml:space="preserve">The network enforces policy against the full context of the transaction —</w:t>
      </w:r>
      <w:r>
        <w:t xml:space="preserve"> </w:t>
      </w:r>
      <w:r>
        <w:t xml:space="preserve">not against a packet.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packet-vs-aan"/>
          <w:p>
            <w:pPr>
              <w:pStyle w:val="Compact"/>
              <w:jc w:val="center"/>
            </w:pPr>
            <w:r>
              <w:drawing>
                <ns1:inline>
                  <ns1:extent cx="5334000" cy="2844800"/>
                  <ns1:effectExtent b="0" l="0" r="0" t="0"/>
                  <ns1:docPr descr="" title="" id="63" name="Picture"/>
                  <ns2:graphic>
                    <ns2:graphicData uri="http://schemas.openxmlformats.org/drawingml/2006/picture">
                      <ns3:pic>
                        <ns3:nvPicPr>
                          <ns3:cNvPr descr="images/federal-application-aware-networking-architecture-image-07-packet-vs-aan.png" id="64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62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5334000" cy="28448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Packet-layer network versus application-aware network: the packet-layer side can only answer</w:t>
            </w:r>
            <w:r>
              <w:t xml:space="preserve"> </w:t>
            </w:r>
            <w:r>
              <w:t xml:space="preserve">‘should this IP reach this port?’</w:t>
            </w:r>
            <w:r>
              <w:t xml:space="preserve"> </w:t>
            </w:r>
            <w:r>
              <w:t xml:space="preserve">and lists six questions it cannot answer, while the application-aware side answers the full transaction-context policy question and lists what it can enforce</w:t>
            </w:r>
          </w:p>
          <w:bookmarkEnd w:id="65"/>
        </w:tc>
      </w:tr>
    </w:tbl>
    <w:bookmarkStart w:id="66" w:name="X5d2cc7b1841043b384155f0a81933706e9c6a6f"/>
    <w:p>
      <w:pPr>
        <w:pStyle w:val="Heading3"/>
      </w:pPr>
      <w:r>
        <w:t xml:space="preserve">What SD-WAN overlay does with new transports</w:t>
      </w:r>
    </w:p>
    <w:p>
      <w:pPr>
        <w:pStyle w:val="FirstParagraph"/>
      </w:pPr>
      <w:r>
        <w:t xml:space="preserve">The overlay treats 5G and LEO satellite exactly the same way it treats MPLS</w:t>
      </w:r>
      <w:r>
        <w:t xml:space="preserve"> </w:t>
      </w:r>
      <w:r>
        <w:t xml:space="preserve">and broadband DIA: as transports to probe continuously, measure precisely,</w:t>
      </w:r>
      <w:r>
        <w:t xml:space="preserve"> </w:t>
      </w:r>
      <w:r>
        <w:t xml:space="preserve">and steer traffic across based on what is performing best for each</w:t>
      </w:r>
      <w:r>
        <w:t xml:space="preserve"> </w:t>
      </w:r>
      <w:r>
        <w:t xml:space="preserve">application class at each moment. The agency does not need to decide in</w:t>
      </w:r>
      <w:r>
        <w:t xml:space="preserve"> </w:t>
      </w:r>
      <w:r>
        <w:t xml:space="preserve">advance that Starlink is better than DIA for Teams calls. The overlay makes</w:t>
      </w:r>
      <w:r>
        <w:t xml:space="preserve"> </w:t>
      </w:r>
      <w:r>
        <w:t xml:space="preserve">that determination empirically, in real time, and changes it when conditions</w:t>
      </w:r>
      <w:r>
        <w:t xml:space="preserve"> </w:t>
      </w:r>
      <w:r>
        <w:t xml:space="preserve">change.</w:t>
      </w:r>
    </w:p>
    <w:p>
      <w:r>
        <w:pict>
          <ns5:rect style="width:0;height:1.5pt" ns6:hralign="center" ns6:hrstd="t" ns6:hr="t"/>
        </w:pict>
      </w:r>
    </w:p>
    <w:bookmarkEnd w:id="66"/>
    <w:bookmarkEnd w:id="67"/>
    <w:bookmarkStart w:id="82" w:name="sd-wan-active-active-multipath"/>
    <w:p>
      <w:pPr>
        <w:pStyle w:val="Heading2"/>
      </w:pPr>
      <w:r>
        <w:t xml:space="preserve">SD-WAN Active-Active Multipath</w:t>
      </w:r>
    </w:p>
    <w:p>
      <w:pPr>
        <w:pStyle w:val="FirstParagraph"/>
      </w:pPr>
      <w:r>
        <w:t xml:space="preserve">An SD-WAN overlay runs continuous, simultaneous probes on every available</w:t>
      </w:r>
      <w:r>
        <w:t xml:space="preserve"> </w:t>
      </w:r>
      <w:r>
        <w:t xml:space="preserve">transport using sub-second probe intervals. The probes measure three things</w:t>
      </w:r>
      <w:r>
        <w:t xml:space="preserve"> </w:t>
      </w:r>
      <w:r>
        <w:t xml:space="preserve">on each path independently:</w:t>
      </w:r>
      <w:r>
        <w:t xml:space="preserve"> </w:t>
      </w:r>
      <w:r>
        <w:rPr>
          <w:b/>
          <w:bCs/>
        </w:rPr>
        <w:t xml:space="preserve">latency</w:t>
      </w:r>
      <w:r>
        <w:t xml:space="preserve">,</w:t>
      </w:r>
      <w:r>
        <w:t xml:space="preserve"> </w:t>
      </w:r>
      <w:r>
        <w:rPr>
          <w:b/>
          <w:bCs/>
        </w:rPr>
        <w:t xml:space="preserve">jitter</w:t>
      </w:r>
      <w:r>
        <w:t xml:space="preserve">, and</w:t>
      </w:r>
      <w:r>
        <w:t xml:space="preserve"> </w:t>
      </w:r>
      <w:r>
        <w:rPr>
          <w:b/>
          <w:bCs/>
        </w:rPr>
        <w:t xml:space="preserve">packet loss</w:t>
      </w:r>
      <w:r>
        <w:t xml:space="preserve">.</w:t>
      </w:r>
      <w:r>
        <w:t xml:space="preserve"> </w:t>
      </w:r>
      <w:r>
        <w:t xml:space="preserve">When a path degrades, the overlay knows within seconds.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multipath"/>
          <w:p>
            <w:pPr>
              <w:pStyle w:val="Compact"/>
              <w:jc w:val="center"/>
            </w:pPr>
            <w:r>
              <w:drawing>
                <ns1:inline>
                  <ns1:extent cx="5334000" cy="2844800"/>
                  <ns1:effectExtent b="0" l="0" r="0" t="0"/>
                  <ns1:docPr descr="" title="" id="69" name="Picture"/>
                  <ns2:graphic>
                    <ns2:graphicData uri="http://schemas.openxmlformats.org/drawingml/2006/picture">
                      <ns3:pic>
                        <ns3:nvPicPr>
                          <ns3:cNvPr descr="images/federal-application-aware-networking-architecture-image-08-multipath.png" id="70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68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5334000" cy="28448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SD-WAN active-active multipath: a branch edge distributes sequenced packets across MPLS, DIA broadband, 5G MEC, and Starlink LEO simultaneously into a resequencing buffer with FEC, delivering one ordered byte stream to the application, versus an active-passive DIA-only fallback with a 30-90 second switchover</w:t>
            </w:r>
          </w:p>
          <w:bookmarkEnd w:id="71"/>
        </w:tc>
      </w:tr>
    </w:tbl>
    <w:bookmarkStart w:id="72" w:name="X375c3c0c7c01863ac87bd4c23489e5042dc6a37"/>
    <w:p>
      <w:pPr>
        <w:pStyle w:val="Heading3"/>
      </w:pPr>
      <w:r>
        <w:t xml:space="preserve">Forward Error Correction: recovering toward the physics floor</w:t>
      </w:r>
    </w:p>
    <w:p>
      <w:pPr>
        <w:pStyle w:val="FirstParagraph"/>
      </w:pPr>
      <w:r>
        <w:rPr>
          <w:b/>
          <w:bCs/>
        </w:rPr>
        <w:t xml:space="preserve">Forward Error Correction (FEC)</w:t>
      </w:r>
      <w:r>
        <w:t xml:space="preserve"> </w:t>
      </w:r>
      <w:r>
        <w:t xml:space="preserve">sends redundant data alongside the primary</w:t>
      </w:r>
      <w:r>
        <w:t xml:space="preserve"> </w:t>
      </w:r>
      <w:r>
        <w:t xml:space="preserve">transmission. The receiver can reconstruct a lost packet from the redundant</w:t>
      </w:r>
      <w:r>
        <w:t xml:space="preserve"> </w:t>
      </w:r>
      <w:r>
        <w:t xml:space="preserve">data without any retransmission. The application experiences only the</w:t>
      </w:r>
      <w:r>
        <w:t xml:space="preserve"> </w:t>
      </w:r>
      <w:r>
        <w:t xml:space="preserve">propagation delay — the physics floor — with no retransmission penalty. FEC</w:t>
      </w:r>
      <w:r>
        <w:t xml:space="preserve"> </w:t>
      </w:r>
      <w:r>
        <w:t xml:space="preserve">does not make the signal travel faster. It removes the latency tax that</w:t>
      </w:r>
      <w:r>
        <w:t xml:space="preserve"> </w:t>
      </w:r>
      <w:r>
        <w:t xml:space="preserve">lossy paths impose on top of the physics minimum.</w:t>
      </w:r>
    </w:p>
    <w:bookmarkEnd w:id="72"/>
    <w:bookmarkStart w:id="73" w:name="X7c36cbc0947d3d1b8627c481d917135f952a498"/>
    <w:p>
      <w:pPr>
        <w:pStyle w:val="Heading3"/>
      </w:pPr>
      <w:r>
        <w:t xml:space="preserve">Active-active vs. active-passive: the failover that is not a failover</w:t>
      </w:r>
    </w:p>
    <w:p>
      <w:pPr>
        <w:pStyle w:val="FirstParagraph"/>
      </w:pPr>
      <w:r>
        <w:t xml:space="preserve">Traditional WAN design is</w:t>
      </w:r>
      <w:r>
        <w:t xml:space="preserve"> </w:t>
      </w:r>
      <w:r>
        <w:rPr>
          <w:b/>
          <w:bCs/>
        </w:rPr>
        <w:t xml:space="preserve">active-passive</w:t>
      </w:r>
      <w:r>
        <w:t xml:space="preserve">: MPLS is the primary circuit,</w:t>
      </w:r>
      <w:r>
        <w:t xml:space="preserve"> </w:t>
      </w:r>
      <w:r>
        <w:t xml:space="preserve">DIA broadband is the standby. During switchover — typically 30–90 seconds —</w:t>
      </w:r>
      <w:r>
        <w:t xml:space="preserve"> </w:t>
      </w:r>
      <w:r>
        <w:t xml:space="preserve">authentication sessions time out. VPN tunnels drop. Users re-authenticate.</w:t>
      </w:r>
    </w:p>
    <w:p>
      <w:pPr>
        <w:pStyle w:val="BodyText"/>
      </w:pPr>
      <w:r>
        <w:rPr>
          <w:b/>
          <w:bCs/>
        </w:rPr>
        <w:t xml:space="preserve">Active-active multipath</w:t>
      </w:r>
      <w:r>
        <w:t xml:space="preserve"> </w:t>
      </w:r>
      <w:r>
        <w:t xml:space="preserve">carries traffic on all available paths</w:t>
      </w:r>
      <w:r>
        <w:t xml:space="preserve"> </w:t>
      </w:r>
      <w:r>
        <w:t xml:space="preserve">simultaneously, all the time. When a path fails or degrades, the remaining</w:t>
      </w:r>
      <w:r>
        <w:t xml:space="preserve"> </w:t>
      </w:r>
      <w:r>
        <w:t xml:space="preserve">paths absorb its load within milliseconds. A Kerberos ticket exchange that is</w:t>
      </w:r>
      <w:r>
        <w:t xml:space="preserve"> </w:t>
      </w:r>
      <w:r>
        <w:t xml:space="preserve">mid-flight when a path fails is retransmitted automatically. Under</w:t>
      </w:r>
      <w:r>
        <w:t xml:space="preserve"> </w:t>
      </w:r>
      <w:r>
        <w:t xml:space="preserve">active-passive failover, the client times out after several seconds — this is</w:t>
      </w:r>
      <w:r>
        <w:t xml:space="preserve"> </w:t>
      </w:r>
      <w:r>
        <w:t xml:space="preserve">the</w:t>
      </w:r>
      <w:r>
        <w:t xml:space="preserve"> </w:t>
      </w:r>
      <w:r>
        <w:t xml:space="preserve">“logon takes 45 seconds”</w:t>
      </w:r>
      <w:r>
        <w:t xml:space="preserve"> </w:t>
      </w:r>
      <w:r>
        <w:t xml:space="preserve">symptom field offices report. Under</w:t>
      </w:r>
      <w:r>
        <w:t xml:space="preserve"> </w:t>
      </w:r>
      <w:r>
        <w:t xml:space="preserve">active-active multipath, the request was already distributed across multiple</w:t>
      </w:r>
      <w:r>
        <w:t xml:space="preserve"> </w:t>
      </w:r>
      <w:r>
        <w:t xml:space="preserve">paths. The user experiences a 50 ms pause rather than a 30-second timeout.</w:t>
      </w:r>
    </w:p>
    <w:bookmarkEnd w:id="73"/>
    <w:bookmarkStart w:id="74" w:name="X8655c2a6f1cf7da74d2464aa955677d1198371a"/>
    <w:p>
      <w:pPr>
        <w:pStyle w:val="Heading3"/>
      </w:pPr>
      <w:r>
        <w:t xml:space="preserve">Why</w:t>
      </w:r>
      <w:r>
        <w:t xml:space="preserve"> </w:t>
      </w:r>
      <w:r>
        <w:t xml:space="preserve">“DIA to M365 will solve it”</w:t>
      </w:r>
      <w:r>
        <w:t xml:space="preserve"> </w:t>
      </w:r>
      <w:r>
        <w:t xml:space="preserve">is half the answer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DIA Circuit Only</w:t>
            </w:r>
          </w:p>
        </w:tc>
        <w:tc>
          <w:tcPr/>
          <w:p>
            <w:pPr>
              <w:pStyle w:val="Compact"/>
            </w:pPr>
            <w:r>
              <w:t xml:space="preserve">SD-WAN Intelligent Overlay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Eliminates MPLS geographic hairpin to cloud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Visibility into path quality (latency, jitter, loss)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Continuous, per-transport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Responds to path degradation before users notice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Sub-second reweighting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Splits a single conversation across multiple paths simultaneously</w:t>
            </w:r>
          </w:p>
        </w:tc>
        <w:tc>
          <w:tcPr/>
          <w:p>
            <w:pPr>
              <w:pStyle w:val="Compact"/>
            </w:pPr>
            <w:r>
              <w:t xml:space="preserve">One path only</w:t>
            </w:r>
          </w:p>
        </w:tc>
        <w:tc>
          <w:tcPr/>
          <w:p>
            <w:pPr>
              <w:pStyle w:val="Compact"/>
            </w:pPr>
            <w:r>
              <w:t xml:space="preserve">Active-active multipath with resequencing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Aggregates bandwidth from all transports</w:t>
            </w:r>
          </w:p>
        </w:tc>
        <w:tc>
          <w:tcPr/>
          <w:p>
            <w:pPr>
              <w:pStyle w:val="Compact"/>
            </w:pPr>
            <w:r>
              <w:t xml:space="preserve">One path only</w:t>
            </w:r>
          </w:p>
        </w:tc>
        <w:tc>
          <w:tcPr/>
          <w:p>
            <w:pPr>
              <w:pStyle w:val="Compact"/>
            </w:pPr>
            <w:r>
              <w:t xml:space="preserve">Bonded capacity = sum of all paths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Routes audio, video, and data streams of one call to different paths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Per-stream application steering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Fails over within milliseconds without dropping sessions</w:t>
            </w:r>
          </w:p>
        </w:tc>
        <w:tc>
          <w:tcPr/>
          <w:p>
            <w:pPr>
              <w:pStyle w:val="Compact"/>
            </w:pPr>
            <w:r>
              <w:t xml:space="preserve">30–90 second switchover</w:t>
            </w:r>
          </w:p>
        </w:tc>
        <w:tc>
          <w:tcPr/>
          <w:p>
            <w:pPr>
              <w:pStyle w:val="Compact"/>
            </w:pPr>
            <w:r>
              <w:t xml:space="preserve">Seamless — all paths already 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Uses 5G local breakout when faster than wireline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Measured and included in multipath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Uses LEO satellite vacuum path when faster than fiber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Measured and included in multipath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Applies FEC to recover toward physics minimum on lossy paths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Per-transport FEC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Provides audit trail of path decisions (TIC 3.0 / AU-12)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Every decision is a logged event</w:t>
            </w:r>
          </w:p>
        </w:tc>
      </w:tr>
    </w:tbl>
    <w:bookmarkEnd w:id="74"/>
    <w:bookmarkStart w:id="81" w:name="Xc717aabd4ab02927b7deab34227116e9e7db38d"/>
    <w:p>
      <w:pPr>
        <w:pStyle w:val="Heading3"/>
      </w:pPr>
      <w:r>
        <w:t xml:space="preserve">What the commercial world figured out — and when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 Federal Practice</w:t>
            </w:r>
          </w:p>
        </w:tc>
        <w:tc>
          <w:tcPr/>
          <w:p>
            <w:pPr>
              <w:pStyle w:val="Compact"/>
            </w:pPr>
            <w:r>
              <w:t xml:space="preserve">When Commercial Moved On</w:t>
            </w:r>
          </w:p>
        </w:tc>
        <w:tc>
          <w:tcPr/>
          <w:p>
            <w:pPr>
              <w:pStyle w:val="Compact"/>
            </w:pPr>
            <w:r>
              <w:t xml:space="preserve">What Replaced It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MPLS for all branch connectivity</w:t>
            </w:r>
          </w:p>
        </w:tc>
        <w:tc>
          <w:tcPr/>
          <w:p>
            <w:pPr>
              <w:pStyle w:val="Compact"/>
            </w:pPr>
            <w:r>
              <w:t xml:space="preserve">2014–2018</w:t>
            </w:r>
          </w:p>
        </w:tc>
        <w:tc>
          <w:tcPr/>
          <w:p>
            <w:pPr>
              <w:pStyle w:val="Compact"/>
            </w:pPr>
            <w:r>
              <w:t xml:space="preserve">SD-WAN on broadband + LTE</w:t>
            </w:r>
          </w:p>
        </w:tc>
        <w:tc>
          <w:tcPr/>
          <w:p>
            <w:pPr>
              <w:pStyle w:val="Compact"/>
            </w:pPr>
            <w:r>
              <w:t xml:space="preserve">Cost, flexibility, local breakout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Central internet breakout through DC</w:t>
            </w:r>
          </w:p>
        </w:tc>
        <w:tc>
          <w:tcPr/>
          <w:p>
            <w:pPr>
              <w:pStyle w:val="Compact"/>
            </w:pPr>
            <w:r>
              <w:t xml:space="preserve">2016–2019</w:t>
            </w:r>
          </w:p>
        </w:tc>
        <w:tc>
          <w:tcPr/>
          <w:p>
            <w:pPr>
              <w:pStyle w:val="Compact"/>
            </w:pPr>
            <w:r>
              <w:t xml:space="preserve">Local internet breakout at branch</w:t>
            </w:r>
          </w:p>
        </w:tc>
        <w:tc>
          <w:tcPr/>
          <w:p>
            <w:pPr>
              <w:pStyle w:val="Compact"/>
            </w:pPr>
            <w:r>
              <w:t xml:space="preserve">Cloud apps do not need to go through DC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VPN as primary remote access</w:t>
            </w:r>
          </w:p>
        </w:tc>
        <w:tc>
          <w:tcPr/>
          <w:p>
            <w:pPr>
              <w:pStyle w:val="Compact"/>
            </w:pPr>
            <w:r>
              <w:t xml:space="preserve">2019–2021</w:t>
            </w:r>
          </w:p>
        </w:tc>
        <w:tc>
          <w:tcPr/>
          <w:p>
            <w:pPr>
              <w:pStyle w:val="Compact"/>
            </w:pPr>
            <w:r>
              <w:t xml:space="preserve">ZTNA / SASE overlay</w:t>
            </w:r>
          </w:p>
        </w:tc>
        <w:tc>
          <w:tcPr/>
          <w:p>
            <w:pPr>
              <w:pStyle w:val="Compact"/>
            </w:pPr>
            <w:r>
              <w:t xml:space="preserve">Per-app access replaces per-network trust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DNS / per-site DNS servers</w:t>
            </w:r>
          </w:p>
        </w:tc>
        <w:tc>
          <w:tcPr/>
          <w:p>
            <w:pPr>
              <w:pStyle w:val="Compact"/>
            </w:pPr>
            <w:r>
              <w:t xml:space="preserve">2017–2020</w:t>
            </w:r>
          </w:p>
        </w:tc>
        <w:tc>
          <w:tcPr/>
          <w:p>
            <w:pPr>
              <w:pStyle w:val="Compact"/>
            </w:pPr>
            <w:r>
              <w:t xml:space="preserve">Unified DDI (InfoBlox, BlueCat)</w:t>
            </w:r>
          </w:p>
        </w:tc>
        <w:tc>
          <w:tcPr/>
          <w:p>
            <w:pPr>
              <w:pStyle w:val="Compact"/>
            </w:pPr>
            <w:r>
              <w:t xml:space="preserve">DNS became a security control surface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DHCP as invisible per-site utility</w:t>
            </w:r>
          </w:p>
        </w:tc>
        <w:tc>
          <w:tcPr/>
          <w:p>
            <w:pPr>
              <w:pStyle w:val="Compact"/>
            </w:pPr>
            <w:r>
              <w:t xml:space="preserve">2017–2020</w:t>
            </w:r>
          </w:p>
        </w:tc>
        <w:tc>
          <w:tcPr/>
          <w:p>
            <w:pPr>
              <w:pStyle w:val="Compact"/>
            </w:pPr>
            <w:r>
              <w:t xml:space="preserve">IPAM as inventory and compliance evidence</w:t>
            </w:r>
          </w:p>
        </w:tc>
        <w:tc>
          <w:tcPr/>
          <w:p>
            <w:pPr>
              <w:pStyle w:val="Compact"/>
            </w:pPr>
            <w:r>
              <w:t xml:space="preserve">Zero Trust requires authoritative device inventory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Network-layer firewall as primary security</w:t>
            </w:r>
          </w:p>
        </w:tc>
        <w:tc>
          <w:tcPr/>
          <w:p>
            <w:pPr>
              <w:pStyle w:val="Compact"/>
            </w:pPr>
            <w:r>
              <w:t xml:space="preserve">2018–2022</w:t>
            </w:r>
          </w:p>
        </w:tc>
        <w:tc>
          <w:tcPr/>
          <w:p>
            <w:pPr>
              <w:pStyle w:val="Compact"/>
            </w:pPr>
            <w:r>
              <w:t xml:space="preserve">Application-layer enforcement (SASE, ZTNA)</w:t>
            </w:r>
          </w:p>
        </w:tc>
        <w:tc>
          <w:tcPr/>
          <w:p>
            <w:pPr>
              <w:pStyle w:val="Compact"/>
            </w:pPr>
            <w:r>
              <w:t xml:space="preserve">Packets carry no useful identity or intent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Session-based application authentication</w:t>
            </w:r>
          </w:p>
        </w:tc>
        <w:tc>
          <w:tcPr/>
          <w:p>
            <w:pPr>
              <w:pStyle w:val="Compact"/>
            </w:pPr>
            <w:r>
              <w:t xml:space="preserve">2015–2019</w:t>
            </w:r>
          </w:p>
        </w:tc>
        <w:tc>
          <w:tcPr/>
          <w:p>
            <w:pPr>
              <w:pStyle w:val="Compact"/>
            </w:pPr>
            <w:r>
              <w:t xml:space="preserve">Token-based (OAuth 2.0 / OIDC)</w:t>
            </w:r>
          </w:p>
        </w:tc>
        <w:tc>
          <w:tcPr/>
          <w:p>
            <w:pPr>
              <w:pStyle w:val="Compact"/>
            </w:pPr>
            <w:r>
              <w:t xml:space="preserve">Sessions break across WAN; tokens are stateless</w:t>
            </w:r>
          </w:p>
        </w:tc>
      </w:tr>
    </w:tbl>
    <w:p>
      <w:pPr>
        <w:pStyle w:val="BlockText"/>
      </w:pPr>
      <w:r>
        <w:rPr>
          <w:b/>
          <w:bCs/>
        </w:rPr>
        <w:t xml:space="preserve">This is not a forecast.</w:t>
      </w:r>
      <w:r>
        <w:t xml:space="preserve"> </w:t>
      </w:r>
      <w:r>
        <w:t xml:space="preserve">Every item in this table is a completed</w:t>
      </w:r>
      <w:r>
        <w:t xml:space="preserve"> </w:t>
      </w:r>
      <w:r>
        <w:t xml:space="preserve">transition in the commercial sector. The federal government is executing</w:t>
      </w:r>
      <w:r>
        <w:t xml:space="preserve"> </w:t>
      </w:r>
      <w:r>
        <w:t xml:space="preserve">these transitions now under obligations commercial enterprises never</w:t>
      </w:r>
      <w:r>
        <w:t xml:space="preserve"> </w:t>
      </w:r>
      <w:r>
        <w:t xml:space="preserve">carried —</w:t>
      </w:r>
      <w:r>
        <w:t xml:space="preserve"> </w:t>
      </w:r>
      <w:r>
        <w:rPr>
          <w:b/>
          <w:bCs/>
        </w:rPr>
        <w:t xml:space="preserve">EO 14028</w:t>
      </w:r>
      <w:r>
        <w:t xml:space="preserve">,</w:t>
      </w:r>
      <w:r>
        <w:rPr>
          <w:rStyle w:val="FootnoteReference"/>
        </w:rPr>
        <w:footnoteReference w:id="75"/>
      </w:r>
      <w:r>
        <w:t xml:space="preserve"> </w:t>
      </w:r>
      <w:r>
        <w:rPr>
          <w:b/>
          <w:bCs/>
        </w:rPr>
        <w:t xml:space="preserve">OMB M-22-09</w:t>
      </w:r>
      <w:r>
        <w:t xml:space="preserve">,</w:t>
      </w:r>
      <w:r>
        <w:rPr>
          <w:rStyle w:val="FootnoteReference"/>
        </w:rPr>
        <w:footnoteReference w:id="77"/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CISA BOD</w:t>
      </w:r>
      <w:r>
        <w:rPr>
          <w:b/>
          <w:bCs/>
        </w:rPr>
        <w:t xml:space="preserve"> </w:t>
      </w:r>
      <w:r>
        <w:rPr>
          <w:b/>
          <w:bCs/>
        </w:rPr>
        <w:t xml:space="preserve">25-01</w:t>
      </w:r>
      <w:r>
        <w:rPr>
          <w:rStyle w:val="FootnoteReference"/>
        </w:rPr>
        <w:footnoteReference w:id="79"/>
      </w:r>
      <w:r>
        <w:t xml:space="preserve"> </w:t>
      </w:r>
      <w:r>
        <w:t xml:space="preserve">— each of which binds agencies directly. (TIC 3.0 is</w:t>
      </w:r>
      <w:r>
        <w:t xml:space="preserve"> </w:t>
      </w:r>
      <w:r>
        <w:t xml:space="preserve">guidance rather than a mandate, and FedRAMP 20x binds cloud service</w:t>
      </w:r>
      <w:r>
        <w:t xml:space="preserve"> </w:t>
      </w:r>
      <w:r>
        <w:t xml:space="preserve">providers, not agencies; both are treated that way later in this paper.)</w:t>
      </w:r>
      <w:r>
        <w:t xml:space="preserve"> </w:t>
      </w:r>
      <w:r>
        <w:t xml:space="preserve">That makes the federal transition harder, not easier. The path is known.</w:t>
      </w:r>
      <w:r>
        <w:t xml:space="preserve"> </w:t>
      </w:r>
      <w:r>
        <w:t xml:space="preserve">The delay has a cost.</w:t>
      </w:r>
    </w:p>
    <w:p>
      <w:r>
        <w:pict>
          <ns5:rect style="width:0;height:1.5pt" ns6:hralign="center" ns6:hrstd="t" ns6:hr="t"/>
        </w:pict>
      </w:r>
    </w:p>
    <w:bookmarkEnd w:id="81"/>
    <w:bookmarkEnd w:id="82"/>
    <w:bookmarkStart w:id="83" w:name="X50c43ddecf199ebf91917431a313350dc266772"/>
    <w:p>
      <w:pPr>
        <w:pStyle w:val="Heading2"/>
      </w:pPr>
      <w:r>
        <w:t xml:space="preserve">Why Direct Internet Access Alone Does Not Satisfy NIST Controls</w:t>
      </w:r>
    </w:p>
    <w:p>
      <w:pPr>
        <w:pStyle w:val="FirstParagraph"/>
      </w:pPr>
      <w:r>
        <w:t xml:space="preserve">When agencies present DIA as a modernization achievement, they have solved a</w:t>
      </w:r>
      <w:r>
        <w:t xml:space="preserve"> </w:t>
      </w:r>
      <w:r>
        <w:t xml:space="preserve">connectivity problem. They have not solved a compliance problem. DIA is a</w:t>
      </w:r>
      <w:r>
        <w:t xml:space="preserve"> </w:t>
      </w:r>
      <w:r>
        <w:t xml:space="preserve">transit service — a pipe to the internet. It satisfies exactly one federal</w:t>
      </w:r>
      <w:r>
        <w:t xml:space="preserve"> </w:t>
      </w:r>
      <w:r>
        <w:t xml:space="preserve">requirement: it provides network connectivity to internet-hosted services.</w:t>
      </w:r>
      <w:r>
        <w:t xml:space="preserve"> </w:t>
      </w:r>
      <w:r>
        <w:t xml:space="preserve">Every security control governing what traverses that connectivity must be</w:t>
      </w:r>
      <w:r>
        <w:t xml:space="preserve"> </w:t>
      </w:r>
      <w:r>
        <w:t xml:space="preserve">applied by a separate control stack. The pipe itself contributes nothing to</w:t>
      </w:r>
      <w:r>
        <w:t xml:space="preserve"> </w:t>
      </w:r>
      <w:r>
        <w:t xml:space="preserve">compliance.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NIST Control</w:t>
            </w:r>
          </w:p>
        </w:tc>
        <w:tc>
          <w:tcPr/>
          <w:p>
            <w:pPr>
              <w:pStyle w:val="Compact"/>
            </w:pPr>
            <w:r>
              <w:t xml:space="preserve">What It Requires</w:t>
            </w:r>
          </w:p>
        </w:tc>
        <w:tc>
          <w:tcPr/>
          <w:p>
            <w:pPr>
              <w:pStyle w:val="Compact"/>
            </w:pPr>
            <w:r>
              <w:t xml:space="preserve">What Provides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AC-4 Information Flow Enforcement</w:t>
            </w:r>
          </w:p>
        </w:tc>
        <w:tc>
          <w:tcPr/>
          <w:p>
            <w:pPr>
              <w:pStyle w:val="Compact"/>
            </w:pPr>
            <w:r>
              <w:t xml:space="preserve">Application-layer enforcement identifying the destination application, not just the destination IP</w:t>
            </w:r>
          </w:p>
        </w:tc>
        <w:tc>
          <w:tcPr/>
          <w:p>
            <w:pPr>
              <w:pStyle w:val="Compact"/>
            </w:pPr>
            <w:r>
              <w:t xml:space="preserve">CASB in SASE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SC-7 Boundary Protection</w:t>
            </w:r>
          </w:p>
        </w:tc>
        <w:tc>
          <w:tcPr/>
          <w:p>
            <w:pPr>
              <w:pStyle w:val="Compact"/>
            </w:pPr>
            <w:r>
              <w:t xml:space="preserve">Application-layer inspection; detect C2 on port 443, exfiltration in DNS</w:t>
            </w:r>
          </w:p>
        </w:tc>
        <w:tc>
          <w:tcPr/>
          <w:p>
            <w:pPr>
              <w:pStyle w:val="Compact"/>
            </w:pPr>
            <w:r>
              <w:t xml:space="preserve">SWG / FWaaS in SASE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SC-8 Transmission Confidentiality and Integrity</w:t>
            </w:r>
          </w:p>
        </w:tc>
        <w:tc>
          <w:tcPr/>
          <w:p>
            <w:pPr>
              <w:pStyle w:val="Compact"/>
            </w:pPr>
            <w:r>
              <w:t xml:space="preserve">Network-layer encryption</w:t>
            </w:r>
          </w:p>
        </w:tc>
        <w:tc>
          <w:tcPr/>
          <w:p>
            <w:pPr>
              <w:pStyle w:val="Compact"/>
            </w:pPr>
            <w:r>
              <w:t xml:space="preserve">SD-WAN IPsec tunnel — DIA alone encrypts nothing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SI-3 Malware Protection</w:t>
            </w:r>
          </w:p>
        </w:tc>
        <w:tc>
          <w:tcPr/>
          <w:p>
            <w:pPr>
              <w:pStyle w:val="Compact"/>
            </w:pPr>
            <w:r>
              <w:t xml:space="preserve">Inline malware inspection at appropriate locations</w:t>
            </w:r>
          </w:p>
        </w:tc>
        <w:tc>
          <w:tcPr/>
          <w:p>
            <w:pPr>
              <w:pStyle w:val="Compact"/>
            </w:pPr>
            <w:r>
              <w:t xml:space="preserve">SWG with SSL inspection in SASE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SI-4 System Monitoring</w:t>
            </w:r>
          </w:p>
        </w:tc>
        <w:tc>
          <w:tcPr/>
          <w:p>
            <w:pPr>
              <w:pStyle w:val="Compact"/>
            </w:pPr>
            <w:r>
              <w:t xml:space="preserve">Application-layer telemetry — user, device, app, data, behavioral pattern</w:t>
            </w:r>
          </w:p>
        </w:tc>
        <w:tc>
          <w:tcPr/>
          <w:p>
            <w:pPr>
              <w:pStyle w:val="Compact"/>
            </w:pPr>
            <w:r>
              <w:t xml:space="preserve">AAN application telemetry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AU-2 / AU-12 Audit Events / Audit Record Generation</w:t>
            </w:r>
          </w:p>
        </w:tc>
        <w:tc>
          <w:tcPr/>
          <w:p>
            <w:pPr>
              <w:pStyle w:val="Compact"/>
            </w:pPr>
            <w:r>
              <w:t xml:space="preserve">User Z on device D accessed application A, performed action V on data type C — not just IP flows</w:t>
            </w:r>
          </w:p>
        </w:tc>
        <w:tc>
          <w:tcPr/>
          <w:p>
            <w:pPr>
              <w:pStyle w:val="Compact"/>
            </w:pPr>
            <w:r>
              <w:t xml:space="preserve">Application-layer logging via AAN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CA-7 Continuous Monitoring</w:t>
            </w:r>
          </w:p>
        </w:tc>
        <w:tc>
          <w:tcPr/>
          <w:p>
            <w:pPr>
              <w:pStyle w:val="Compact"/>
            </w:pPr>
            <w:r>
              <w:t xml:space="preserve">Per-session: identity verified, device posture, access consistent with policy — machine-readable</w:t>
            </w:r>
          </w:p>
        </w:tc>
        <w:tc>
          <w:tcPr/>
          <w:p>
            <w:pPr>
              <w:pStyle w:val="Compact"/>
            </w:pPr>
            <w:r>
              <w:t xml:space="preserve">AAN and SASE stack</w:t>
            </w:r>
          </w:p>
        </w:tc>
      </w:tr>
    </w:tbl>
    <w:p>
      <w:pPr>
        <w:pStyle w:val="BlockText"/>
      </w:pPr>
      <w:r>
        <w:rPr>
          <w:b/>
          <w:bCs/>
        </w:rPr>
        <w:t xml:space="preserve">The precise relationship: DIA enables compliance; AAN and SASE achieve</w:t>
      </w:r>
      <w:r>
        <w:rPr>
          <w:b/>
          <w:bCs/>
        </w:rPr>
        <w:t xml:space="preserve"> </w:t>
      </w:r>
      <w:r>
        <w:rPr>
          <w:b/>
          <w:bCs/>
        </w:rPr>
        <w:t xml:space="preserve">it.</w:t>
      </w:r>
      <w:r>
        <w:t xml:space="preserve"> </w:t>
      </w:r>
      <w:r>
        <w:t xml:space="preserve">DIA provides the connectivity that makes cloud-hosted services</w:t>
      </w:r>
      <w:r>
        <w:t xml:space="preserve"> </w:t>
      </w:r>
      <w:r>
        <w:t xml:space="preserve">reachable without the MPLS hairpin. It is necessary. It is not sufficient.</w:t>
      </w:r>
      <w:r>
        <w:t xml:space="preserve"> </w:t>
      </w:r>
      <w:r>
        <w:t xml:space="preserve">When an agency presents</w:t>
      </w:r>
      <w:r>
        <w:t xml:space="preserve"> </w:t>
      </w:r>
      <w:r>
        <w:t xml:space="preserve">“we have DIA”</w:t>
      </w:r>
      <w:r>
        <w:t xml:space="preserve"> </w:t>
      </w:r>
      <w:r>
        <w:t xml:space="preserve">as a compliance achievement, the</w:t>
      </w:r>
      <w:r>
        <w:t xml:space="preserve"> </w:t>
      </w:r>
      <w:r>
        <w:t xml:space="preserve">correct technical response is:</w:t>
      </w:r>
      <w:r>
        <w:t xml:space="preserve"> </w:t>
      </w:r>
      <w:r>
        <w:rPr>
          <w:b/>
          <w:bCs/>
        </w:rPr>
        <w:t xml:space="preserve">you have the pipe. Where is the control</w:t>
      </w:r>
      <w:r>
        <w:rPr>
          <w:b/>
          <w:bCs/>
        </w:rPr>
        <w:t xml:space="preserve"> </w:t>
      </w:r>
      <w:r>
        <w:rPr>
          <w:b/>
          <w:bCs/>
        </w:rPr>
        <w:t xml:space="preserve">stack?</w:t>
      </w:r>
    </w:p>
    <w:p>
      <w:r>
        <w:pict>
          <ns5:rect style="width:0;height:1.5pt" ns6:hralign="center" ns6:hrstd="t" ns6:hr="t"/>
        </w:pict>
      </w:r>
    </w:p>
    <w:bookmarkEnd w:id="83"/>
    <w:bookmarkStart w:id="103" w:name="X1a497c7ea6d83df250265fb5a83ec23fa2fa09e"/>
    <w:p>
      <w:pPr>
        <w:pStyle w:val="Heading2"/>
      </w:pPr>
      <w:r>
        <w:t xml:space="preserve">Act 4 — The Way Forward: Application-Aware Modernization</w:t>
      </w:r>
    </w:p>
    <w:p>
      <w:pPr>
        <w:pStyle w:val="FirstParagraph"/>
      </w:pPr>
      <w:r>
        <w:t xml:space="preserve">You can’t fix this by patching the old model. You can’t bolt Zero Trust onto</w:t>
      </w:r>
      <w:r>
        <w:t xml:space="preserve"> </w:t>
      </w:r>
      <w:r>
        <w:t xml:space="preserve">a Kerberos-in-MPLS architecture. You can’t add more proxies. The only way</w:t>
      </w:r>
      <w:r>
        <w:t xml:space="preserve"> </w:t>
      </w:r>
      <w:r>
        <w:t xml:space="preserve">forward is to rebuild the foundation around one structural move and five</w:t>
      </w:r>
      <w:r>
        <w:t xml:space="preserve"> </w:t>
      </w:r>
      <w:r>
        <w:t xml:space="preserve">principles that follow from it.</w:t>
      </w:r>
    </w:p>
    <w:p>
      <w:pPr>
        <w:pStyle w:val="BodyText"/>
      </w:pPr>
      <w:r>
        <w:t xml:space="preserve">The structural move is the one sentence this whole story turns on. Active</w:t>
      </w:r>
      <w:r>
        <w:t xml:space="preserve"> </w:t>
      </w:r>
      <w:r>
        <w:t xml:space="preserve">Directory conflated</w:t>
      </w:r>
      <w:r>
        <w:t xml:space="preserve"> </w:t>
      </w:r>
      <w:r>
        <w:rPr>
          <w:b/>
          <w:bCs/>
        </w:rPr>
        <w:t xml:space="preserve">the directory (truth)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the domain controller</w:t>
      </w:r>
      <w:r>
        <w:rPr>
          <w:b/>
          <w:bCs/>
        </w:rPr>
        <w:t xml:space="preserve"> </w:t>
      </w:r>
      <w:r>
        <w:rPr>
          <w:b/>
          <w:bCs/>
        </w:rPr>
        <w:t xml:space="preserve">(the in-path enforcer)</w:t>
      </w:r>
      <w:r>
        <w:t xml:space="preserve">. NIST SP 800-207</w:t>
      </w:r>
      <w:r>
        <w:rPr>
          <w:rStyle w:val="FootnoteReference"/>
        </w:rPr>
        <w:footnoteReference w:id="84"/>
      </w:r>
      <w:r>
        <w:t xml:space="preserve"> </w:t>
      </w:r>
      <w:r>
        <w:t xml:space="preserve">and OMB M-22-09</w:t>
      </w:r>
      <w:r>
        <w:rPr>
          <w:rStyle w:val="FootnoteReference"/>
        </w:rPr>
        <w:footnoteReference w:id="86"/>
      </w:r>
      <w:r>
        <w:t xml:space="preserve"> </w:t>
      </w:r>
      <w:r>
        <w:t xml:space="preserve">require the modern</w:t>
      </w:r>
      <w:r>
        <w:t xml:space="preserve"> </w:t>
      </w:r>
      <w:r>
        <w:t xml:space="preserve">architecture to keep these separate: the governance layer holds and</w:t>
      </w:r>
      <w:r>
        <w:t xml:space="preserve"> </w:t>
      </w:r>
      <w:r>
        <w:t xml:space="preserve">reconciles authoritative state, while identity providers, enforcement points,</w:t>
      </w:r>
      <w:r>
        <w:t xml:space="preserve"> </w:t>
      </w:r>
      <w:r>
        <w:t xml:space="preserve">and data platforms remain the runtime data planes.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five-principles"/>
          <w:p>
            <w:pPr>
              <w:pStyle w:val="Compact"/>
              <w:jc w:val="center"/>
            </w:pPr>
            <w:r>
              <w:drawing>
                <ns1:inline>
                  <ns1:extent cx="5334000" cy="3556000"/>
                  <ns1:effectExtent b="0" l="0" r="0" t="0"/>
                  <ns1:docPr descr="" title="" id="88" name="Picture"/>
                  <ns2:graphic>
                    <ns2:graphicData uri="http://schemas.openxmlformats.org/drawingml/2006/picture">
                      <ns3:pic>
                        <ns3:nvPicPr>
                          <ns3:cNvPr descr="images/federal-application-aware-networking-architecture-image-10-five-principles.png" id="89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87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5334000" cy="35560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Act 4: the five principles of application-aware modernization, arranged around a central hub reading</w:t>
            </w:r>
            <w:r>
              <w:t xml:space="preserve"> </w:t>
            </w:r>
            <w:r>
              <w:t xml:space="preserve">‘Separated: Truth from Enforcement’</w:t>
            </w:r>
            <w:r>
              <w:t xml:space="preserve"> </w:t>
            </w:r>
            <w:r>
              <w:t xml:space="preserve">— Single Source of Truth, Application-Aware Networking, Token-Based Identity, Active Governance, and Reduce Synchronous Round-Trips</w:t>
            </w:r>
          </w:p>
          <w:bookmarkEnd w:id="90"/>
        </w:tc>
      </w:tr>
    </w:tbl>
    <w:bookmarkStart w:id="95" w:name="Xbc698cae2942f33fdb0065bde2168bfe6efbd56"/>
    <w:p>
      <w:pPr>
        <w:pStyle w:val="Heading3"/>
      </w:pPr>
      <w:r>
        <w:t xml:space="preserve">Principle 1 — Restore a Single Source of Truth</w:t>
      </w:r>
    </w:p>
    <w:p>
      <w:pPr>
        <w:pStyle w:val="FirstParagraph"/>
      </w:pPr>
      <w:r>
        <w:t xml:space="preserve">Every data type the federal government manages must have</w:t>
      </w:r>
      <w:r>
        <w:t xml:space="preserve"> </w:t>
      </w:r>
      <w:r>
        <w:rPr>
          <w:b/>
          <w:bCs/>
        </w:rPr>
        <w:t xml:space="preserve">one authoritative</w:t>
      </w:r>
      <w:r>
        <w:rPr>
          <w:b/>
          <w:bCs/>
        </w:rPr>
        <w:t xml:space="preserve"> </w:t>
      </w:r>
      <w:r>
        <w:rPr>
          <w:b/>
          <w:bCs/>
        </w:rPr>
        <w:t xml:space="preserve">source.</w:t>
      </w:r>
      <w:r>
        <w:t xml:space="preserve"> </w:t>
      </w:r>
      <w:r>
        <w:t xml:space="preserve">Not twelve regional databases with eventual consistency. Not caches</w:t>
      </w:r>
      <w:r>
        <w:t xml:space="preserve"> </w:t>
      </w:r>
      <w:r>
        <w:t xml:space="preserve">that drift. One source, cryptographically verifiable, auditable: you must</w:t>
      </w:r>
      <w:r>
        <w:t xml:space="preserve"> </w:t>
      </w:r>
      <w:r>
        <w:t xml:space="preserve">know where every piece of data came from, who accessed it, when, and why.</w:t>
      </w:r>
    </w:p>
    <w:p>
      <w:pPr>
        <w:pStyle w:val="BodyText"/>
      </w:pPr>
      <w:r>
        <w:t xml:space="preserve">For your agency, that means collapsing the twelve regional silos into a</w:t>
      </w:r>
      <w:r>
        <w:t xml:space="preserve"> </w:t>
      </w:r>
      <w:r>
        <w:t xml:space="preserve">unified model — not by erasing regional autonomy, but by making it</w:t>
      </w:r>
      <w:r>
        <w:t xml:space="preserve"> </w:t>
      </w:r>
      <w:r>
        <w:rPr>
          <w:b/>
          <w:bCs/>
        </w:rPr>
        <w:t xml:space="preserve">transparent.</w:t>
      </w:r>
      <w:r>
        <w:t xml:space="preserve"> </w:t>
      </w:r>
      <w:r>
        <w:t xml:space="preserve">If California’s benefit calculation differs from</w:t>
      </w:r>
      <w:r>
        <w:t xml:space="preserve"> </w:t>
      </w:r>
      <w:r>
        <w:t xml:space="preserve">Massachusetts’s, that difference is documented, auditable, and traceable back</w:t>
      </w:r>
      <w:r>
        <w:t xml:space="preserve"> </w:t>
      </w:r>
      <w:r>
        <w:t xml:space="preserve">to policy, not hidden in schema variation.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Federal Identity, Credential, and Access Management (FICAM)</w:t>
      </w:r>
      <w:r>
        <w:rPr>
          <w:b/>
          <w:bCs/>
        </w:rPr>
        <w:t xml:space="preserve"> </w:t>
      </w:r>
      <w:r>
        <w:rPr>
          <w:b/>
          <w:bCs/>
        </w:rPr>
        <w:t xml:space="preserve">Architecture</w:t>
      </w:r>
      <w:r>
        <w:t xml:space="preserve"> </w:t>
      </w:r>
      <w:r>
        <w:t xml:space="preserve">and NIST SP 800-63 require that every governed object carry a</w:t>
      </w:r>
      <w:r>
        <w:t xml:space="preserve"> </w:t>
      </w:r>
      <w:r>
        <w:t xml:space="preserve">complete, authoritative set of identity attributes derived from authoritative</w:t>
      </w:r>
      <w:r>
        <w:t xml:space="preserve"> </w:t>
      </w:r>
      <w:r>
        <w:t xml:space="preserve">sources such as HR systems and device management platforms. The</w:t>
      </w:r>
      <w:r>
        <w:t xml:space="preserve"> </w:t>
      </w:r>
      <w:r>
        <w:rPr>
          <w:b/>
          <w:bCs/>
        </w:rPr>
        <w:t xml:space="preserve">Evidence Act (2018)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Federal Data Strategy</w:t>
      </w:r>
      <w:r>
        <w:t xml:space="preserve"> </w:t>
      </w:r>
      <w:r>
        <w:t xml:space="preserve">push in the same direction — toward data that is</w:t>
      </w:r>
      <w:r>
        <w:t xml:space="preserve"> </w:t>
      </w:r>
      <w:r>
        <w:t xml:space="preserve">authoritative, traceable and usable as evidence — though neither mandates a</w:t>
      </w:r>
      <w:r>
        <w:t xml:space="preserve"> </w:t>
      </w:r>
      <w:r>
        <w:t xml:space="preserve">single system of record per data type with documented lineage.</w:t>
      </w:r>
      <w:r>
        <w:t xml:space="preserve"> </w:t>
      </w:r>
      <w:r>
        <w:rPr>
          <w:b/>
          <w:bCs/>
        </w:rPr>
        <w:t xml:space="preserve">That is this</w:t>
      </w:r>
      <w:r>
        <w:rPr>
          <w:b/>
          <w:bCs/>
        </w:rPr>
        <w:t xml:space="preserve"> </w:t>
      </w:r>
      <w:r>
        <w:rPr>
          <w:b/>
          <w:bCs/>
        </w:rPr>
        <w:t xml:space="preserve">paper’s inference from them, and it is stated here as such</w:t>
      </w:r>
      <w:r>
        <w:t xml:space="preserve">; the binding</w:t>
      </w:r>
      <w:r>
        <w:t xml:space="preserve"> </w:t>
      </w:r>
      <w:r>
        <w:t xml:space="preserve">requirements closest to it are NIST SP 800-53 CM-8 (system component</w:t>
      </w:r>
      <w:r>
        <w:t xml:space="preserve"> </w:t>
      </w:r>
      <w:r>
        <w:t xml:space="preserve">inventory) and SI-12 (information management and retention).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ssot-restoration"/>
          <w:p>
            <w:pPr>
              <w:pStyle w:val="Compact"/>
              <w:jc w:val="center"/>
            </w:pPr>
            <w:r>
              <w:drawing>
                <ns1:inline>
                  <ns1:extent cx="5334000" cy="3000375"/>
                  <ns1:effectExtent b="0" l="0" r="0" t="0"/>
                  <ns1:docPr descr="" title="" id="92" name="Picture"/>
                  <ns2:graphic>
                    <ns2:graphicData uri="http://schemas.openxmlformats.org/drawingml/2006/picture">
                      <ns3:pic>
                        <ns3:nvPicPr>
                          <ns3:cNvPr descr="images/federal-application-aware-networking-architecture-image-11-ssot-restoration.png" id="93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91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5334000" cy="3000375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Principle 1 — SSOT restoration: twelve unreconciled regional directories give way to an HR-derived authoritative source above five governed data planes, with the identity provider shown as a data plane rather than as truth</w:t>
            </w:r>
          </w:p>
          <w:bookmarkEnd w:id="94"/>
        </w:tc>
      </w:tr>
    </w:tbl>
    <w:bookmarkEnd w:id="95"/>
    <w:bookmarkStart w:id="96" w:name="Xdfa5d8d43cb38b7775800e99b3c0ea4c41bc9b7"/>
    <w:p>
      <w:pPr>
        <w:pStyle w:val="Heading3"/>
      </w:pPr>
      <w:r>
        <w:t xml:space="preserve">Principle 2 — Application-Aware Networking and Cybersecurity</w:t>
      </w:r>
    </w:p>
    <w:p>
      <w:pPr>
        <w:pStyle w:val="FirstParagraph"/>
      </w:pPr>
      <w:r>
        <w:t xml:space="preserve">You can’t enforce security at the network layer anymore. The network is the</w:t>
      </w:r>
      <w:r>
        <w:t xml:space="preserve"> </w:t>
      </w:r>
      <w:r>
        <w:t xml:space="preserve">Internet now. The only way to know whether a transaction is legitimate is to</w:t>
      </w:r>
      <w:r>
        <w:t xml:space="preserve"> </w:t>
      </w:r>
      <w:r>
        <w:t xml:space="preserve">understand what the application is doing:</w:t>
      </w:r>
      <w:r>
        <w:t xml:space="preserve"> </w:t>
      </w:r>
      <w:r>
        <w:rPr>
          <w:i/>
          <w:iCs/>
        </w:rPr>
        <w:t xml:space="preserve">Is this user authorized to access</w:t>
      </w:r>
      <w:r>
        <w:rPr>
          <w:i/>
          <w:iCs/>
        </w:rPr>
        <w:t xml:space="preserve"> </w:t>
      </w:r>
      <w:r>
        <w:rPr>
          <w:i/>
          <w:iCs/>
        </w:rPr>
        <w:t xml:space="preserve">this data? Is the data being accessed the data policy says they should</w:t>
      </w:r>
      <w:r>
        <w:rPr>
          <w:i/>
          <w:iCs/>
        </w:rPr>
        <w:t xml:space="preserve"> </w:t>
      </w:r>
      <w:r>
        <w:rPr>
          <w:i/>
          <w:iCs/>
        </w:rPr>
        <w:t xml:space="preserve">access? Is the request from a compliant device, from a location that makes</w:t>
      </w:r>
      <w:r>
        <w:rPr>
          <w:i/>
          <w:iCs/>
        </w:rPr>
        <w:t xml:space="preserve"> </w:t>
      </w:r>
      <w:r>
        <w:rPr>
          <w:i/>
          <w:iCs/>
        </w:rPr>
        <w:t xml:space="preserve">sense?</w:t>
      </w:r>
    </w:p>
    <w:p>
      <w:pPr>
        <w:pStyle w:val="BodyText"/>
      </w:pPr>
      <w:r>
        <w:t xml:space="preserve">That is application-aware networking.</w:t>
      </w:r>
      <w:r>
        <w:t xml:space="preserve"> </w:t>
      </w:r>
      <w:r>
        <w:rPr>
          <w:b/>
          <w:bCs/>
        </w:rPr>
        <w:t xml:space="preserve">NIST SP 800-207’s</w:t>
      </w:r>
      <w:r>
        <w:t xml:space="preserve"> </w:t>
      </w:r>
      <w:r>
        <w:t xml:space="preserve">seven zero trust</w:t>
      </w:r>
      <w:r>
        <w:t xml:space="preserve"> </w:t>
      </w:r>
      <w:r>
        <w:t xml:space="preserve">tenets require exactly this: all communication secured regardless of network</w:t>
      </w:r>
      <w:r>
        <w:t xml:space="preserve"> </w:t>
      </w:r>
      <w:r>
        <w:t xml:space="preserve">location; access determined per-session with least privilege; integrity and</w:t>
      </w:r>
      <w:r>
        <w:t xml:space="preserve"> </w:t>
      </w:r>
      <w:r>
        <w:t xml:space="preserve">behavior monitored continuously.</w:t>
      </w:r>
      <w:r>
        <w:t xml:space="preserve"> </w:t>
      </w:r>
      <w:r>
        <w:rPr>
          <w:b/>
          <w:bCs/>
        </w:rPr>
        <w:t xml:space="preserve">OMB M-22-09</w:t>
      </w:r>
      <w:r>
        <w:t xml:space="preserve"> </w:t>
      </w:r>
      <w:r>
        <w:t xml:space="preserve">§4 requires agencies to</w:t>
      </w:r>
      <w:r>
        <w:t xml:space="preserve"> </w:t>
      </w:r>
      <w:r>
        <w:t xml:space="preserve">implement network visibility and traffic inspection that operates at the</w:t>
      </w:r>
      <w:r>
        <w:t xml:space="preserve"> </w:t>
      </w:r>
      <w:r>
        <w:t xml:space="preserve">application layer, not the IP/port layer.</w:t>
      </w:r>
      <w:r>
        <w:t xml:space="preserve"> </w:t>
      </w:r>
      <w:r>
        <w:rPr>
          <w:b/>
          <w:bCs/>
        </w:rPr>
        <w:t xml:space="preserve">TIC 3.0</w:t>
      </w:r>
      <w:r>
        <w:t xml:space="preserve"> </w:t>
      </w:r>
      <w:r>
        <w:t xml:space="preserve">publishes four use cases — Traditional TIC,</w:t>
      </w:r>
      <w:r>
        <w:t xml:space="preserve"> </w:t>
      </w:r>
      <w:r>
        <w:t xml:space="preserve">Branch Office (v1.0, April 2021), Remote User (v2.2, July 2025) and Cloud</w:t>
      </w:r>
      <w:r>
        <w:t xml:space="preserve"> </w:t>
      </w:r>
      <w:r>
        <w:t xml:space="preserve">(v1.2, July 2025). The Branch Office and Remote User cases describe</w:t>
      </w:r>
      <w:r>
        <w:t xml:space="preserve"> </w:t>
      </w:r>
      <w:r>
        <w:t xml:space="preserve">application-layer visibility at the policy enforcement point, but TIC 3.0 is</w:t>
      </w:r>
      <w:r>
        <w:t xml:space="preserve"> </w:t>
      </w:r>
      <w:r>
        <w:t xml:space="preserve">guidance rather than a mandate and prescribes no specific product class.</w:t>
      </w:r>
    </w:p>
    <w:p>
      <w:pPr>
        <w:pStyle w:val="BodyText"/>
      </w:pPr>
      <w:r>
        <w:rPr>
          <w:b/>
          <w:bCs/>
        </w:rPr>
        <w:t xml:space="preserve">Application-Aware Networking framework alignment: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SD-WAN is AAN at the transport layer.</w:t>
      </w:r>
      <w:r>
        <w:t xml:space="preserve"> </w:t>
      </w:r>
      <w:r>
        <w:t xml:space="preserve">SD-WAN achieves application</w:t>
      </w:r>
      <w:r>
        <w:t xml:space="preserve"> </w:t>
      </w:r>
      <w:r>
        <w:t xml:space="preserve">awareness through DPI or FQDN/signature-based identification, then applies</w:t>
      </w:r>
      <w:r>
        <w:t xml:space="preserve"> </w:t>
      </w:r>
      <w:r>
        <w:t xml:space="preserve">per-application path selection dynamically based on real-time path quality</w:t>
      </w:r>
      <w:r>
        <w:t xml:space="preserve"> </w:t>
      </w:r>
      <w:r>
        <w:t xml:space="preserve">measurement. SD-WAN alone does not enforce access control based on user</w:t>
      </w:r>
      <w:r>
        <w:t xml:space="preserve"> </w:t>
      </w:r>
      <w:r>
        <w:t xml:space="preserve">identity or device posture. That requires SASE.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SASE is the delivery architecture that completes AAN.</w:t>
      </w:r>
      <w:r>
        <w:t xml:space="preserve"> </w:t>
      </w:r>
      <w:r>
        <w:t xml:space="preserve">SASE converges</w:t>
      </w:r>
      <w:r>
        <w:t xml:space="preserve"> </w:t>
      </w:r>
      <w:r>
        <w:t xml:space="preserve">SD-WAN with cloud-delivered security services — CASB, FWaaS, ZTNA, SWG —</w:t>
      </w:r>
      <w:r>
        <w:t xml:space="preserve"> </w:t>
      </w:r>
      <w:r>
        <w:t xml:space="preserve">at the network edge. It brings user identity (from the IdP via SAML/OIDC),</w:t>
      </w:r>
      <w:r>
        <w:t xml:space="preserve"> </w:t>
      </w:r>
      <w:r>
        <w:t xml:space="preserve">device posture (from MDM/EDR), application identity (from DPI), and data</w:t>
      </w:r>
      <w:r>
        <w:t xml:space="preserve"> </w:t>
      </w:r>
      <w:r>
        <w:t xml:space="preserve">classification (from CASB) into a single enforcement point distributed</w:t>
      </w:r>
      <w:r>
        <w:t xml:space="preserve"> </w:t>
      </w:r>
      <w:r>
        <w:t xml:space="preserve">geographically near the user.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CISA ZTMM maps AAN to the Networks pillar maturity progression.</w:t>
      </w:r>
      <w:r>
        <w:t xml:space="preserve"> </w:t>
      </w:r>
      <w:r>
        <w:t xml:space="preserve">Traditional: all decisions at IP/port layer, no application visibility.</w:t>
      </w:r>
      <w:r>
        <w:t xml:space="preserve"> </w:t>
      </w:r>
      <w:r>
        <w:t xml:space="preserve">Initial: basic application identification. Advanced: application-aware</w:t>
      </w:r>
      <w:r>
        <w:t xml:space="preserve"> </w:t>
      </w:r>
      <w:r>
        <w:t xml:space="preserve">routing and enforcement — the posture this paper recommends as the</w:t>
      </w:r>
      <w:r>
        <w:t xml:space="preserve"> </w:t>
      </w:r>
      <w:r>
        <w:t xml:space="preserve">production default. Optimal:</w:t>
      </w:r>
      <w:r>
        <w:t xml:space="preserve"> </w:t>
      </w:r>
      <w:r>
        <w:t xml:space="preserve">fully dynamic, identity-driven, application-aware policy with continuous</w:t>
      </w:r>
      <w:r>
        <w:t xml:space="preserve"> </w:t>
      </w:r>
      <w:r>
        <w:t xml:space="preserve">behavioral monitoring.</w:t>
      </w:r>
    </w:p>
    <w:bookmarkEnd w:id="96"/>
    <w:bookmarkStart w:id="102" w:name="X2ee2d00d99ef33eb9ff54cc77a73ec551d5614f"/>
    <w:p>
      <w:pPr>
        <w:pStyle w:val="Heading3"/>
      </w:pPr>
      <w:r>
        <w:t xml:space="preserve">Principle 3 — Move From Session-Based to Token-Based Identity</w:t>
      </w:r>
    </w:p>
    <w:p>
      <w:pPr>
        <w:pStyle w:val="FirstParagraph"/>
      </w:pPr>
      <w:r>
        <w:t xml:space="preserve">Active Directory Kerberos assumes clients and servers are in the same room.</w:t>
      </w:r>
      <w:r>
        <w:t xml:space="preserve"> </w:t>
      </w:r>
      <w:r>
        <w:t xml:space="preserve">Tokens assume they are strangers on the Internet.</w:t>
      </w:r>
    </w:p>
    <w:p>
      <w:pPr>
        <w:pStyle w:val="BodyText"/>
      </w:pPr>
      <w:r>
        <w:t xml:space="preserve">A token is a cryptographically signed assertion:</w:t>
      </w:r>
      <w:r>
        <w:t xml:space="preserve"> </w:t>
      </w:r>
      <w:r>
        <w:rPr>
          <w:i/>
          <w:iCs/>
        </w:rPr>
        <w:t xml:space="preserve">this user is who they</w:t>
      </w:r>
      <w:r>
        <w:rPr>
          <w:i/>
          <w:iCs/>
        </w:rPr>
        <w:t xml:space="preserve"> </w:t>
      </w:r>
      <w:r>
        <w:rPr>
          <w:i/>
          <w:iCs/>
        </w:rPr>
        <w:t xml:space="preserve">claim to be; this device is compliant; this request is authorized; timestamp</w:t>
      </w:r>
      <w:r>
        <w:rPr>
          <w:i/>
          <w:iCs/>
        </w:rPr>
        <w:t xml:space="preserve"> </w:t>
      </w:r>
      <w:r>
        <w:rPr>
          <w:i/>
          <w:iCs/>
        </w:rPr>
        <w:t xml:space="preserve">now; signature here.</w:t>
      </w:r>
      <w:r>
        <w:t xml:space="preserve"> </w:t>
      </w:r>
      <w:r>
        <w:t xml:space="preserve">The server validates it offline, without trusting the</w:t>
      </w:r>
      <w:r>
        <w:t xml:space="preserve"> </w:t>
      </w:r>
      <w:r>
        <w:t xml:space="preserve">network.</w:t>
      </w:r>
    </w:p>
    <w:p>
      <w:pPr>
        <w:pStyle w:val="BodyText"/>
      </w:pPr>
      <w:r>
        <w:t xml:space="preserve">Kerberos service-ticket validation is also offline — the application server</w:t>
      </w:r>
      <w:r>
        <w:t xml:space="preserve"> </w:t>
      </w:r>
      <w:r>
        <w:t xml:space="preserve">decrypts the ticket with its own key and calls no domain controller, as Act 2</w:t>
      </w:r>
      <w:r>
        <w:t xml:space="preserve"> </w:t>
      </w:r>
      <w:r>
        <w:t xml:space="preserve">established.</w:t>
      </w:r>
      <w:r>
        <w:t xml:space="preserve"> </w:t>
      </w:r>
      <w:r>
        <w:rPr>
          <w:b/>
          <w:bCs/>
        </w:rPr>
        <w:t xml:space="preserve">The difference is not validation, it is issuance topology and</w:t>
      </w:r>
      <w:r>
        <w:rPr>
          <w:b/>
          <w:bCs/>
        </w:rPr>
        <w:t xml:space="preserve"> </w:t>
      </w:r>
      <w:r>
        <w:rPr>
          <w:b/>
          <w:bCs/>
        </w:rPr>
        <w:t xml:space="preserve">where policy is evaluated.</w:t>
      </w:r>
      <w:r>
        <w:t xml:space="preserve"> </w:t>
      </w:r>
      <w:r>
        <w:t xml:space="preserve">A Kerberos ticket is issued by a KDC the client</w:t>
      </w:r>
      <w:r>
        <w:t xml:space="preserve"> </w:t>
      </w:r>
      <w:r>
        <w:t xml:space="preserve">must reach at logon, on the agency’s network, and it carries no device or</w:t>
      </w:r>
      <w:r>
        <w:t xml:space="preserve"> </w:t>
      </w:r>
      <w:r>
        <w:t xml:space="preserve">authorization context to evaluate. A token is issued by an identity provider</w:t>
      </w:r>
      <w:r>
        <w:t xml:space="preserve"> </w:t>
      </w:r>
      <w:r>
        <w:t xml:space="preserve">reachable from anywhere over HTTPS, and the policy decision — device</w:t>
      </w:r>
      <w:r>
        <w:t xml:space="preserve"> </w:t>
      </w:r>
      <w:r>
        <w:t xml:space="preserve">compliance, location, risk, scope — is evaluated</w:t>
      </w:r>
      <w:r>
        <w:t xml:space="preserve"> </w:t>
      </w:r>
      <w:r>
        <w:rPr>
          <w:i/>
          <w:iCs/>
        </w:rPr>
        <w:t xml:space="preserve">at issuance</w:t>
      </w:r>
      <w:r>
        <w:t xml:space="preserve"> </w:t>
      </w:r>
      <w:r>
        <w:t xml:space="preserve">and travels</w:t>
      </w:r>
      <w:r>
        <w:t xml:space="preserve"> </w:t>
      </w:r>
      <w:r>
        <w:t xml:space="preserve">inside the assertion.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token-vs-session"/>
          <w:p>
            <w:pPr>
              <w:pStyle w:val="Compact"/>
              <w:jc w:val="center"/>
            </w:pPr>
            <w:r>
              <w:drawing>
                <ns1:inline>
                  <ns1:extent cx="5334000" cy="3000375"/>
                  <ns1:effectExtent b="0" l="0" r="0" t="0"/>
                  <ns1:docPr descr="" title="" id="98" name="Picture"/>
                  <ns2:graphic>
                    <ns2:graphicData uri="http://schemas.openxmlformats.org/drawingml/2006/picture">
                      <ns3:pic>
                        <ns3:nvPicPr>
                          <ns3:cNvPr descr="images/federal-application-aware-networking-architecture-image-12-token-vs-session.png" id="99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97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5334000" cy="3000375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Principle 3 — Session vs. token identity: both models validate offline, and the real difference is issuance topology and where policy is evaluated</w:t>
            </w:r>
          </w:p>
          <w:bookmarkEnd w:id="100"/>
        </w:tc>
      </w:tr>
    </w:tbl>
    <w:p>
      <w:pPr>
        <w:pStyle w:val="BodyText"/>
      </w:pPr>
      <w:r>
        <w:t xml:space="preserve">Entra ID, Conditional Access, and device-compliance policies are the</w:t>
      </w:r>
      <w:r>
        <w:t xml:space="preserve"> </w:t>
      </w:r>
      <w:r>
        <w:t xml:space="preserve">token-based equivalents of what AD used to do.</w:t>
      </w:r>
      <w:r>
        <w:t xml:space="preserve"> </w:t>
      </w:r>
      <w:r>
        <w:rPr>
          <w:b/>
          <w:bCs/>
        </w:rPr>
        <w:t xml:space="preserve">BOD 25-01</w:t>
      </w:r>
      <w:r>
        <w:t xml:space="preserve"> </w:t>
      </w:r>
      <w:r>
        <w:t xml:space="preserve">mandates SCuBA</w:t>
      </w:r>
      <w:r>
        <w:t xml:space="preserve"> </w:t>
      </w:r>
      <w:r>
        <w:t xml:space="preserve">secure configuration baselines for Microsoft 365 that require modern</w:t>
      </w:r>
      <w:r>
        <w:t xml:space="preserve"> </w:t>
      </w:r>
      <w:r>
        <w:t xml:space="preserve">authentication throughout.</w:t>
      </w:r>
      <w:r>
        <w:t xml:space="preserve"> </w:t>
      </w:r>
      <w:r>
        <w:rPr>
          <w:b/>
          <w:bCs/>
        </w:rPr>
        <w:t xml:space="preserve">OMB M-22-09</w:t>
      </w:r>
      <w:r>
        <w:t xml:space="preserve"> </w:t>
      </w:r>
      <w:r>
        <w:t xml:space="preserve">requires phishing-resistant MFA</w:t>
      </w:r>
      <w:r>
        <w:t xml:space="preserve"> </w:t>
      </w:r>
      <w:r>
        <w:t xml:space="preserve">government-wide. The</w:t>
      </w:r>
      <w:r>
        <w:t xml:space="preserve"> </w:t>
      </w:r>
      <w:r>
        <w:rPr>
          <w:b/>
          <w:bCs/>
        </w:rPr>
        <w:t xml:space="preserve">CISA Zero Trust Maturity Model v2.0</w:t>
      </w:r>
      <w:r>
        <w:t xml:space="preserve"> </w:t>
      </w:r>
      <w:r>
        <w:t xml:space="preserve">Identity pillar</w:t>
      </w:r>
      <w:r>
        <w:t xml:space="preserve"> </w:t>
      </w:r>
      <w:r>
        <w:t xml:space="preserve">calls for phishing-resistant MFA at Advanced and Optimal; certificate-based</w:t>
      </w:r>
      <w:r>
        <w:t xml:space="preserve"> </w:t>
      </w:r>
      <w:r>
        <w:t xml:space="preserve">authentication is one way to get there, not a named requirement. NTLM has no</w:t>
      </w:r>
      <w:r>
        <w:t xml:space="preserve"> </w:t>
      </w:r>
      <w:r>
        <w:t xml:space="preserve">zero-trust story — not because it is invisible (events 4776 and 4624 log it</w:t>
      </w:r>
      <w:r>
        <w:t xml:space="preserve"> </w:t>
      </w:r>
      <w:r>
        <w:t xml:space="preserve">perfectly well)</w:t>
      </w:r>
      <w:r>
        <w:rPr>
          <w:rStyle w:val="FootnoteReference"/>
        </w:rPr>
        <w:footnoteReference w:id="101"/>
      </w:r>
      <w:r>
        <w:t xml:space="preserve"> </w:t>
      </w:r>
      <w:r>
        <w:t xml:space="preserve">but because it carries</w:t>
      </w:r>
      <w:r>
        <w:t xml:space="preserve"> </w:t>
      </w:r>
      <w:r>
        <w:rPr>
          <w:b/>
          <w:bCs/>
        </w:rPr>
        <w:t xml:space="preserve">no device or session context</w:t>
      </w:r>
      <w:r>
        <w:t xml:space="preserve">: an</w:t>
      </w:r>
      <w:r>
        <w:t xml:space="preserve"> </w:t>
      </w:r>
      <w:r>
        <w:t xml:space="preserve">NTLM authentication cannot be conditioned on device compliance, location, or</w:t>
      </w:r>
      <w:r>
        <w:t xml:space="preserve"> </w:t>
      </w:r>
      <w:r>
        <w:t xml:space="preserve">risk, so it is unreachable by Conditional Access and cannot participate in a</w:t>
      </w:r>
      <w:r>
        <w:t xml:space="preserve"> </w:t>
      </w:r>
      <w:r>
        <w:t xml:space="preserve">per-transaction access decision at all.</w:t>
      </w:r>
    </w:p>
    <w:p>
      <w:pPr>
        <w:pStyle w:val="BlockText"/>
      </w:pPr>
      <w:r>
        <w:rPr>
          <w:b/>
          <w:bCs/>
        </w:rPr>
        <w:t xml:space="preserve">Tokens only work if the authoritative identity model is correct.</w:t>
      </w:r>
      <w:r>
        <w:t xml:space="preserve"> </w:t>
      </w:r>
      <w:r>
        <w:t xml:space="preserve">If</w:t>
      </w:r>
      <w:r>
        <w:t xml:space="preserve"> </w:t>
      </w:r>
      <w:r>
        <w:t xml:space="preserve">you don’t know what a user is actually authorized to do — if that is still</w:t>
      </w:r>
      <w:r>
        <w:t xml:space="preserve"> </w:t>
      </w:r>
      <w:r>
        <w:t xml:space="preserve">encoded in twelve regional OU trees with no authoritative HR-derived</w:t>
      </w:r>
      <w:r>
        <w:t xml:space="preserve"> </w:t>
      </w:r>
      <w:r>
        <w:t xml:space="preserve">source — tokens won’t save you. You will just be signing broken</w:t>
      </w:r>
      <w:r>
        <w:t xml:space="preserve"> </w:t>
      </w:r>
      <w:r>
        <w:t xml:space="preserve">authorizations very efficiently.</w:t>
      </w:r>
      <w:r>
        <w:t xml:space="preserve"> </w:t>
      </w:r>
      <w:r>
        <w:rPr>
          <w:b/>
          <w:bCs/>
        </w:rPr>
        <w:t xml:space="preserve">That is why Principle 3 depends on</w:t>
      </w:r>
      <w:r>
        <w:rPr>
          <w:b/>
          <w:bCs/>
        </w:rPr>
        <w:t xml:space="preserve"> </w:t>
      </w:r>
      <w:r>
        <w:rPr>
          <w:b/>
          <w:bCs/>
        </w:rPr>
        <w:t xml:space="preserve">Principle 1: the token must assert an authorization that is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true</w:t>
      </w:r>
      <w:r>
        <w:rPr>
          <w:b/>
          <w:bCs/>
        </w:rPr>
        <w:t xml:space="preserve"> </w:t>
      </w:r>
      <w:r>
        <w:rPr>
          <w:b/>
          <w:bCs/>
        </w:rPr>
        <w:t xml:space="preserve">rather</w:t>
      </w:r>
      <w:r>
        <w:rPr>
          <w:b/>
          <w:bCs/>
        </w:rPr>
        <w:t xml:space="preserve"> </w:t>
      </w:r>
      <w:r>
        <w:rPr>
          <w:b/>
          <w:bCs/>
        </w:rPr>
        <w:t xml:space="preserve">than merely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well-formed</w:t>
      </w:r>
      <w:r>
        <w:rPr>
          <w:b/>
          <w:bCs/>
        </w:rPr>
        <w:t xml:space="preserve">.</w:t>
      </w:r>
    </w:p>
    <w:bookmarkEnd w:id="102"/>
    <w:bookmarkEnd w:id="103"/>
    <w:bookmarkStart w:id="126" w:name="X03d6ecc91661b9bf521962542cad901de15ca4e"/>
    <w:p>
      <w:pPr>
        <w:pStyle w:val="Heading2"/>
      </w:pPr>
      <w:r>
        <w:t xml:space="preserve">FedRAMP 20x Consolidated Rules — What Changed, and Who It Binds</w:t>
      </w:r>
    </w:p>
    <w:p>
      <w:pPr>
        <w:pStyle w:val="FirstParagraph"/>
      </w:pPr>
      <w:r>
        <w:t xml:space="preserve">FedRAMP published its</w:t>
      </w:r>
      <w:r>
        <w:t xml:space="preserve"> </w:t>
      </w:r>
      <w:r>
        <w:rPr>
          <w:b/>
          <w:bCs/>
        </w:rPr>
        <w:t xml:space="preserve">Consolidated Rules for 2026</w:t>
      </w:r>
      <w:r>
        <w:t xml:space="preserve"> </w:t>
      </w:r>
      <w:r>
        <w:t xml:space="preserve">on June 25, 2026,</w:t>
      </w:r>
      <w:r>
        <w:t xml:space="preserve"> </w:t>
      </w:r>
      <w:r>
        <w:t xml:space="preserve">establishing the most significant shift in federal cloud authorization since</w:t>
      </w:r>
      <w:r>
        <w:t xml:space="preserve"> </w:t>
      </w:r>
      <w:r>
        <w:t xml:space="preserve">FedRAMP’s inception. The core change:</w:t>
      </w:r>
      <w:r>
        <w:t xml:space="preserve"> </w:t>
      </w:r>
      <w:r>
        <w:rPr>
          <w:b/>
          <w:bCs/>
        </w:rPr>
        <w:t xml:space="preserve">periodic evidence assembly is</w:t>
      </w:r>
      <w:r>
        <w:rPr>
          <w:b/>
          <w:bCs/>
        </w:rPr>
        <w:t xml:space="preserve"> </w:t>
      </w:r>
      <w:r>
        <w:rPr>
          <w:b/>
          <w:bCs/>
        </w:rPr>
        <w:t xml:space="preserve">replaced by continuously-verified, machine-readable Key Security Indicators</w:t>
      </w:r>
      <w:r>
        <w:rPr>
          <w:b/>
          <w:bCs/>
        </w:rPr>
        <w:t xml:space="preserve"> </w:t>
      </w:r>
      <w:r>
        <w:rPr>
          <w:b/>
          <w:bCs/>
        </w:rPr>
        <w:t xml:space="preserve">(KSIs).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ns1:inline>
                  <ns1:extent cx="152400" cy="152400"/>
                  <ns1:effectExtent b="0" l="0" r="0" t="0"/>
                  <ns1:docPr descr="" title="" id="104" name="Picture"/>
                  <ns2:graphic>
                    <ns2:graphicData uri="http://schemas.openxmlformats.org/drawingml/2006/picture">
                      <ns3:pic>
                        <ns3:nvPicPr>
                          <ns3:cNvPr descr="/opt/quarto/share/formats/docx/important.png" id="105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9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152400" cy="1524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Who this actually binds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FedRAMP 20x obligates cloud service providers, not agencies.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Consolidated Rules define a Persistent FedRAMP Assessment (</w:t>
            </w:r>
            <w:r>
              <w:rPr>
                <w:b/>
                <w:bCs/>
              </w:rPr>
              <w:t xml:space="preserve">FRD-PFA</w:t>
            </w:r>
            <w:r>
              <w:t xml:space="preserve">) as</w:t>
            </w:r>
            <w:r>
              <w:t xml:space="preserve"> </w:t>
            </w:r>
            <w:r>
              <w:t xml:space="preserve">“follow-on assessments of a cloud service offering focused on Key Security</w:t>
            </w:r>
            <w:r>
              <w:t xml:space="preserve"> </w:t>
            </w:r>
            <w:r>
              <w:t xml:space="preserve">Indicators, coordinated by the provider”</w:t>
            </w:r>
            <w:r>
              <w:t xml:space="preserve">; a Provider (</w:t>
            </w:r>
            <w:r>
              <w:rPr>
                <w:b/>
                <w:bCs/>
              </w:rPr>
              <w:t xml:space="preserve">FRD-PRV</w:t>
            </w:r>
            <w:r>
              <w:t xml:space="preserve">) is</w:t>
            </w:r>
            <w:r>
              <w:t xml:space="preserve"> </w:t>
            </w:r>
            <w:r>
              <w:t xml:space="preserve">“the</w:t>
            </w:r>
            <w:r>
              <w:t xml:space="preserve"> </w:t>
            </w:r>
            <w:r>
              <w:t xml:space="preserve">cloud service provider responsible for a cloud service offering”</w:t>
            </w:r>
            <w:r>
              <w:t xml:space="preserve">; and All</w:t>
            </w:r>
            <w:r>
              <w:t xml:space="preserve"> </w:t>
            </w:r>
            <w:r>
              <w:t xml:space="preserve">Necessary Parties (</w:t>
            </w:r>
            <w:r>
              <w:rPr>
                <w:b/>
                <w:bCs/>
              </w:rPr>
              <w:t xml:space="preserve">FRD-ANP</w:t>
            </w:r>
            <w:r>
              <w:t xml:space="preserve">) places the agency on the other side of the</w:t>
            </w:r>
            <w:r>
              <w:t xml:space="preserve"> </w:t>
            </w:r>
            <w:r>
              <w:t xml:space="preserve">transaction as</w:t>
            </w:r>
            <w:r>
              <w:t xml:space="preserve"> </w:t>
            </w:r>
            <w:r>
              <w:t xml:space="preserve">“any agency customer who is using the cloud service</w:t>
            </w:r>
            <w:r>
              <w:t xml:space="preserve"> </w:t>
            </w:r>
            <w:r>
              <w:t xml:space="preserve">offering”</w:t>
            </w:r>
            <w:r>
              <w:t xml:space="preserve">.</w:t>
            </w:r>
            <w:r>
              <w:rPr>
                <w:rStyle w:val="FootnoteReference"/>
              </w:rPr>
              <w:footnoteReference w:id="106"/>
            </w:r>
            <w:r>
              <w:t xml:space="preserve"> </w:t>
            </w:r>
            <w:r>
              <w:t xml:space="preserve">An agency’s own AD domains, SD-WAN fabric, DDI grid, and mainframe</w:t>
            </w:r>
            <w:r>
              <w:t xml:space="preserve"> </w:t>
            </w:r>
            <w:r>
              <w:t xml:space="preserve">are not a certified cloud service offering, and nobody will demand JSON KSI</w:t>
            </w:r>
            <w:r>
              <w:t xml:space="preserve"> </w:t>
            </w:r>
            <w:r>
              <w:t xml:space="preserve">evidence for them on January 1, 2027.</w:t>
            </w:r>
          </w:p>
          <w:p>
            <w:pPr>
              <w:pStyle w:val="BodyText"/>
            </w:pPr>
            <w:r>
              <w:t xml:space="preserve">Read the dates below as a</w:t>
            </w:r>
            <w:r>
              <w:t xml:space="preserve"> </w:t>
            </w:r>
            <w:r>
              <w:rPr>
                <w:b/>
                <w:bCs/>
              </w:rPr>
              <w:t xml:space="preserve">procurement and supply-chain clock</w:t>
            </w:r>
            <w:r>
              <w:t xml:space="preserve"> </w:t>
            </w:r>
            <w:r>
              <w:t xml:space="preserve">— they</w:t>
            </w:r>
            <w:r>
              <w:t xml:space="preserve"> </w:t>
            </w:r>
            <w:r>
              <w:t xml:space="preserve">govern the cloud services the agency buys and the evidence those providers</w:t>
            </w:r>
            <w:r>
              <w:t xml:space="preserve"> </w:t>
            </w:r>
            <w:r>
              <w:t xml:space="preserve">will start handing over. Read the</w:t>
            </w:r>
            <w:r>
              <w:t xml:space="preserve"> </w:t>
            </w:r>
            <w:r>
              <w:rPr>
                <w:i/>
                <w:iCs/>
              </w:rPr>
              <w:t xml:space="preserve">architecture</w:t>
            </w:r>
            <w:r>
              <w:t xml:space="preserve"> </w:t>
            </w:r>
            <w:r>
              <w:t xml:space="preserve">argument as direction of</w:t>
            </w:r>
            <w:r>
              <w:t xml:space="preserve"> </w:t>
            </w:r>
            <w:r>
              <w:t xml:space="preserve">travel: FedRAMP has now defined what federal authorization means, and agency</w:t>
            </w:r>
            <w:r>
              <w:t xml:space="preserve"> </w:t>
            </w:r>
            <w:r>
              <w:t xml:space="preserve">ATOs under NIST SP 800-53 CA-7 and OMB Circular A-130 are where that</w:t>
            </w:r>
            <w:r>
              <w:t xml:space="preserve"> </w:t>
            </w:r>
            <w:r>
              <w:t xml:space="preserve">definition lands next. The agency’s own binding deadlines are</w:t>
            </w:r>
            <w:r>
              <w:t xml:space="preserve"> </w:t>
            </w:r>
            <w:r>
              <w:rPr>
                <w:b/>
                <w:bCs/>
              </w:rPr>
              <w:t xml:space="preserve">OMB M-22-09</w:t>
            </w:r>
            <w:r>
              <w:t xml:space="preserve"> </w:t>
            </w:r>
            <w:r>
              <w:t xml:space="preserve">(milestones due FY24, already passed),</w:t>
            </w:r>
            <w:r>
              <w:t xml:space="preserve"> </w:t>
            </w:r>
            <w:r>
              <w:rPr>
                <w:b/>
                <w:bCs/>
              </w:rPr>
              <w:t xml:space="preserve">BOD 25-01</w:t>
            </w:r>
            <w:r>
              <w:t xml:space="preserve"> </w:t>
            </w:r>
            <w:r>
              <w:t xml:space="preserve">for Microsoft 365, and</w:t>
            </w:r>
            <w:r>
              <w:t xml:space="preserve"> </w:t>
            </w:r>
            <w:r>
              <w:t xml:space="preserve">the continuous-monitoring obligations already inside its existing ATOs.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you want to test this before acting on it, ask your FedRAMP/ATO office</w:t>
            </w:r>
            <w:r>
              <w:t xml:space="preserve"> </w:t>
            </w:r>
            <w:r>
              <w:t xml:space="preserve">which systems in this paper carry a 20x obligation. The expected answer is</w:t>
            </w:r>
            <w:r>
              <w:t xml:space="preserve"> </w:t>
            </w:r>
            <w:r>
              <w:t xml:space="preserve">none.</w:t>
            </w:r>
          </w:p>
          <w:p/>
        </w:tc>
      </w:tr>
    </w:tbl>
    <w:p>
      <w:pPr>
        <w:pStyle w:val="BodyText"/>
      </w:pPr>
      <w:r>
        <w:t xml:space="preserve">What the modernization does buy is the capacity to answer a continuous-evidence</w:t>
      </w:r>
      <w:r>
        <w:t xml:space="preserve"> </w:t>
      </w:r>
      <w:r>
        <w:t xml:space="preserve">question at all — whoever ends up asking it: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Continuous-evidence capability</w:t>
            </w:r>
          </w:p>
        </w:tc>
        <w:tc>
          <w:tcPr/>
          <w:p>
            <w:pPr>
              <w:pStyle w:val="Compact"/>
            </w:pPr>
            <w:r>
              <w:t xml:space="preserve">What the modern architecture provides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Continuous, automated verification rather than periodic sampling</w:t>
            </w:r>
          </w:p>
        </w:tc>
        <w:tc>
          <w:tcPr/>
          <w:p>
            <w:pPr>
              <w:pStyle w:val="Compact"/>
            </w:pPr>
            <w:r>
              <w:t xml:space="preserve">SD-WAN probes every transport continuously; SASE logs every session; DDI logs every DNS 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Machine-readable evidence (JSON)</w:t>
            </w:r>
          </w:p>
        </w:tc>
        <w:tc>
          <w:tcPr/>
          <w:p>
            <w:pPr>
              <w:pStyle w:val="Compact"/>
            </w:pPr>
            <w:r>
              <w:t xml:space="preserve">SD-WAN telemetry APIs, SIEM structured exports, DDI platform APIs — all native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Infrastructure-as-code guardrails</w:t>
            </w:r>
          </w:p>
        </w:tc>
        <w:tc>
          <w:tcPr/>
          <w:p>
            <w:pPr>
              <w:pStyle w:val="Compact"/>
            </w:pPr>
            <w:r>
              <w:t xml:space="preserve">Terraform for DDI, IaC for SASE policy, GitOps for network config — guardrails enforced at 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manual evidence assembly for assessments</w:t>
            </w:r>
          </w:p>
        </w:tc>
        <w:tc>
          <w:tcPr/>
          <w:p>
            <w:pPr>
              <w:pStyle w:val="Compact"/>
            </w:pPr>
            <w:r>
              <w:t xml:space="preserve">The control plane’s continuous observation IS the evidence — not a report prepared for an assessor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CM-8 inventory that is current by construction</w:t>
            </w:r>
          </w:p>
        </w:tc>
        <w:tc>
          <w:tcPr/>
          <w:p>
            <w:pPr>
              <w:pStyle w:val="Compact"/>
            </w:pPr>
            <w:r>
              <w:t xml:space="preserve">Address, name, and workload records emitted by the system that allocates them, not re-surveyed annually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AU-2/AU-12 provenance for every transaction</w:t>
            </w:r>
          </w:p>
        </w:tc>
        <w:tc>
          <w:tcPr/>
          <w:p>
            <w:pPr>
              <w:pStyle w:val="Compact"/>
            </w:pPr>
            <w:r>
              <w:t xml:space="preserve">Session and resolution records carry the identity and device context the decision was made on</w:t>
            </w:r>
          </w:p>
        </w:tc>
      </w:tr>
    </w:tbl>
    <w:p>
      <w:pPr>
        <w:pStyle w:val="BodyText"/>
      </w:pPr>
      <w:r>
        <w:t xml:space="preserve">These are</w:t>
      </w:r>
      <w:r>
        <w:t xml:space="preserve"> </w:t>
      </w:r>
      <w:r>
        <w:rPr>
          <w:b/>
          <w:bCs/>
        </w:rPr>
        <w:t xml:space="preserve">CA-7, CM-8 and AU-12 capabilities the agency already owes on its</w:t>
      </w:r>
      <w:r>
        <w:rPr>
          <w:b/>
          <w:bCs/>
        </w:rPr>
        <w:t xml:space="preserve"> </w:t>
      </w:r>
      <w:r>
        <w:rPr>
          <w:b/>
          <w:bCs/>
        </w:rPr>
        <w:t xml:space="preserve">own systems.</w:t>
      </w:r>
      <w:r>
        <w:t xml:space="preserve"> </w:t>
      </w:r>
      <w:r>
        <w:t xml:space="preserve">That they also happen to be the shape FedRAMP now demands of</w:t>
      </w:r>
      <w:r>
        <w:t xml:space="preserve"> </w:t>
      </w:r>
      <w:r>
        <w:t xml:space="preserve">providers is corroboration that the direction is right — not a deadline the</w:t>
      </w:r>
      <w:r>
        <w:t xml:space="preserve"> </w:t>
      </w:r>
      <w:r>
        <w:t xml:space="preserve">agency is under.</w:t>
      </w:r>
    </w:p>
    <w:p>
      <w:pPr>
        <w:pStyle w:val="BodyText"/>
      </w:pPr>
      <w:r>
        <w:rPr>
          <w:b/>
          <w:bCs/>
        </w:rPr>
        <w:t xml:space="preserve">Key dates — the provider clock the agency buys against: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July 28, 2026:</w:t>
      </w:r>
      <w:r>
        <w:t xml:space="preserve"> </w:t>
      </w:r>
      <w:r>
        <w:t xml:space="preserve">FedRAMP Ready submissions cease — no new Ready pathway</w:t>
      </w:r>
      <w:r>
        <w:t xml:space="preserve"> </w:t>
      </w:r>
      <w:r>
        <w:t xml:space="preserve">submissions accepted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August 3, 2026:</w:t>
      </w:r>
      <w:r>
        <w:t xml:space="preserve"> </w:t>
      </w:r>
      <w:r>
        <w:t xml:space="preserve">Class A pipeline opens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August 31, 2026:</w:t>
      </w:r>
      <w:r>
        <w:t xml:space="preserve"> </w:t>
      </w:r>
      <w:r>
        <w:t xml:space="preserve">Class B and C pipelines open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January 1, 2027:</w:t>
      </w:r>
      <w:r>
        <w:t xml:space="preserve"> </w:t>
      </w:r>
      <w:r>
        <w:t xml:space="preserve">Consolidated Rules mandatory for all certified</w:t>
      </w:r>
      <w:r>
        <w:t xml:space="preserve"> </w:t>
      </w:r>
      <w:r>
        <w:t xml:space="preserve">cloud service offerings — provider ConMon evidence must meet the</w:t>
      </w:r>
      <w:r>
        <w:t xml:space="preserve"> </w:t>
      </w:r>
      <w:r>
        <w:t xml:space="preserve">machine-readable KSI format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June 11, 2027:</w:t>
      </w:r>
      <w:r>
        <w:t xml:space="preserve"> </w:t>
      </w:r>
      <w:r>
        <w:t xml:space="preserve">No new Rev5 certifications accepted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ns1:inline>
                  <ns1:extent cx="152400" cy="152400"/>
                  <ns1:effectExtent b="0" l="0" r="0" t="0"/>
                  <ns1:docPr descr="" title="" id="108" name="Picture"/>
                  <ns2:graphic>
                    <ns2:graphicData uri="http://schemas.openxmlformats.org/drawingml/2006/picture">
                      <ns3:pic>
                        <ns3:nvPicPr>
                          <ns3:cNvPr descr="/opt/quarto/share/formats/docx/important.png" id="109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9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152400" cy="1524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The alignment, stated precisely:</w:t>
            </w:r>
            <w:r>
              <w:t xml:space="preserve"> </w:t>
            </w:r>
            <w:r>
              <w:t xml:space="preserve">a control plane that holds desired</w:t>
            </w:r>
            <w:r>
              <w:t xml:space="preserve"> </w:t>
            </w:r>
            <w:r>
              <w:t xml:space="preserve">state, observes actual state, classifies drift, and reconciles toward intent —</w:t>
            </w:r>
            <w:r>
              <w:t xml:space="preserve"> </w:t>
            </w:r>
            <w:r>
              <w:t xml:space="preserve">generating structured JSON records of every observation and action — produces</w:t>
            </w:r>
            <w:r>
              <w:t xml:space="preserve"> </w:t>
            </w:r>
            <w:r>
              <w:t xml:space="preserve">exactly the kind of evidence FedRAMP now requires of providers, and exactly</w:t>
            </w:r>
            <w:r>
              <w:t xml:space="preserve"> </w:t>
            </w:r>
            <w:r>
              <w:t xml:space="preserve">what CA-7 continuous monitoring asks of the agency for its own systems. It</w:t>
            </w:r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make the agency’s infrastructure</w:t>
            </w:r>
            <w:r>
              <w:t xml:space="preserve"> </w:t>
            </w:r>
            <w:r>
              <w:t xml:space="preserve">“FedRAMP 20x compliant”</w:t>
            </w:r>
            <w:r>
              <w:t xml:space="preserve">: that</w:t>
            </w:r>
            <w:r>
              <w:t xml:space="preserve"> </w:t>
            </w:r>
            <w:r>
              <w:t xml:space="preserve">status belongs to certified cloud service offerings. It makes the agency able</w:t>
            </w:r>
            <w:r>
              <w:t xml:space="preserve"> </w:t>
            </w:r>
            <w:r>
              <w:t xml:space="preserve">to answer the continuous-evidence question on its own estate, which is the</w:t>
            </w:r>
            <w:r>
              <w:t xml:space="preserve"> </w:t>
            </w:r>
            <w:r>
              <w:t xml:space="preserve">obligation it actually carries.</w:t>
            </w:r>
          </w:p>
          <w:p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fedramp-20x"/>
          <w:p>
            <w:pPr>
              <w:pStyle w:val="Compact"/>
              <w:jc w:val="center"/>
            </w:pPr>
            <w:r>
              <w:drawing>
                <ns1:inline>
                  <ns1:extent cx="5334000" cy="3000375"/>
                  <ns1:effectExtent b="0" l="0" r="0" t="0"/>
                  <ns1:docPr descr="" title="" id="111" name="Picture"/>
                  <ns2:graphic>
                    <ns2:graphicData uri="http://schemas.openxmlformats.org/drawingml/2006/picture">
                      <ns3:pic>
                        <ns3:nvPicPr>
                          <ns3:cNvPr descr="images/federal-application-aware-networking-architecture-image-13-fedramp-20x.png" id="112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110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5334000" cy="3000375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FedRAMP 20x provider clock — Consolidated Rules publication, the Class A/B/C pipeline openings, and the January 2027 date on which the rules become mandatory for certified cloud service offerings — set against the agency’s own, already-passed obligations</w:t>
            </w:r>
          </w:p>
          <w:bookmarkEnd w:id="113"/>
        </w:tc>
      </w:tr>
    </w:tbl>
    <w:bookmarkStart w:id="120" w:name="X83e0d573bebbfeb4b5a4df8ed0603d864d64519"/>
    <w:p>
      <w:pPr>
        <w:pStyle w:val="Heading3"/>
      </w:pPr>
      <w:r>
        <w:t xml:space="preserve">Principle 4 — Govern Actively: The Control Plane Over the Data Plane</w:t>
      </w:r>
    </w:p>
    <w:p>
      <w:pPr>
        <w:pStyle w:val="FirstParagraph"/>
      </w:pPr>
      <w:r>
        <w:t xml:space="preserve">A governance substrate that embodies these principles is not a passive</w:t>
      </w:r>
      <w:r>
        <w:t xml:space="preserve"> </w:t>
      </w:r>
      <w:r>
        <w:t xml:space="preserve">registry that records desired state and reports divergence. It is an</w:t>
      </w:r>
      <w:r>
        <w:t xml:space="preserve"> </w:t>
      </w:r>
      <w:r>
        <w:rPr>
          <w:b/>
          <w:bCs/>
        </w:rPr>
        <w:t xml:space="preserve">active reconciliation control plane</w:t>
      </w:r>
      <w:r>
        <w:t xml:space="preserve">: it holds desired state, observes</w:t>
      </w:r>
      <w:r>
        <w:t xml:space="preserve"> </w:t>
      </w:r>
      <w:r>
        <w:t xml:space="preserve">actual state, classifies drift, and reconciles toward intent — while</w:t>
      </w:r>
      <w:r>
        <w:t xml:space="preserve"> </w:t>
      </w:r>
      <w:r>
        <w:t xml:space="preserve">identity providers, network fabrics, endpoint management platforms, DDI</w:t>
      </w:r>
      <w:r>
        <w:t xml:space="preserve"> </w:t>
      </w:r>
      <w:r>
        <w:t xml:space="preserve">systems, and SIEM platforms remain the</w:t>
      </w:r>
      <w:r>
        <w:t xml:space="preserve"> </w:t>
      </w:r>
      <w:r>
        <w:rPr>
          <w:b/>
          <w:bCs/>
        </w:rPr>
        <w:t xml:space="preserve">data planes</w:t>
      </w:r>
      <w:r>
        <w:t xml:space="preserve"> </w:t>
      </w:r>
      <w:r>
        <w:t xml:space="preserve">that authenticate,</w:t>
      </w:r>
      <w:r>
        <w:t xml:space="preserve"> </w:t>
      </w:r>
      <w:r>
        <w:t xml:space="preserve">route, resolve, and store at runtime.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CISA ZT Stage</w:t>
            </w:r>
          </w:p>
        </w:tc>
        <w:tc>
          <w:tcPr/>
          <w:p>
            <w:pPr>
              <w:pStyle w:val="Compact"/>
            </w:pPr>
            <w:r>
              <w:t xml:space="preserve">Governance Posture</w:t>
            </w:r>
          </w:p>
        </w:tc>
        <w:tc>
          <w:tcPr/>
          <w:p>
            <w:pPr>
              <w:pStyle w:val="Compact"/>
            </w:pPr>
            <w:r>
              <w:t xml:space="preserve">What This Means in Practice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Traditional</w:t>
            </w:r>
          </w:p>
        </w:tc>
        <w:tc>
          <w:tcPr/>
          <w:p>
            <w:pPr>
              <w:pStyle w:val="Compact"/>
            </w:pPr>
            <w:r>
              <w:t xml:space="preserve">Record and observe only</w:t>
            </w:r>
          </w:p>
        </w:tc>
        <w:tc>
          <w:tcPr/>
          <w:p>
            <w:pPr>
              <w:pStyle w:val="Compact"/>
            </w:pPr>
            <w:r>
              <w:t xml:space="preserve">Desired state documented; actual state collected manually. No automated detection or correction.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</w:t>
            </w:r>
          </w:p>
        </w:tc>
        <w:tc>
          <w:tcPr/>
          <w:p>
            <w:pPr>
              <w:pStyle w:val="Compact"/>
            </w:pPr>
            <w:r>
              <w:t xml:space="preserve">Observe and advise</w:t>
            </w:r>
          </w:p>
        </w:tc>
        <w:tc>
          <w:tcPr/>
          <w:p>
            <w:pPr>
              <w:pStyle w:val="Compact"/>
            </w:pPr>
            <w:r>
              <w:t xml:space="preserve">Automated detection of drift from policy. Corrective actions generated and surfaced to operators. No automated writes.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Advanced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Gated actuation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Governance framework generates a corrective action; a human approves before it executes. Dry-run required before production. The posture this paper recommends as the production default — see the note below on why.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Optimal</w:t>
            </w:r>
          </w:p>
        </w:tc>
        <w:tc>
          <w:tcPr/>
          <w:p>
            <w:pPr>
              <w:pStyle w:val="Compact"/>
            </w:pPr>
            <w:r>
              <w:t xml:space="preserve">Autonomous within guardrails</w:t>
            </w:r>
          </w:p>
        </w:tc>
        <w:tc>
          <w:tcPr/>
          <w:p>
            <w:pPr>
              <w:pStyle w:val="Compact"/>
            </w:pPr>
            <w:r>
              <w:t xml:space="preserve">Governance framework closes the loop without human intervention for enumerated low-blast-radius operation classes. High-blast-radius operations remain gated permanently.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active-governance"/>
          <w:p>
            <w:pPr>
              <w:pStyle w:val="Compact"/>
              <w:jc w:val="center"/>
            </w:pPr>
            <w:r>
              <w:drawing>
                <ns1:inline>
                  <ns1:extent cx="5334000" cy="2844800"/>
                  <ns1:effectExtent b="0" l="0" r="0" t="0"/>
                  <ns1:docPr descr="" title="" id="115" name="Picture"/>
                  <ns2:graphic>
                    <ns2:graphicData uri="http://schemas.openxmlformats.org/drawingml/2006/picture">
                      <ns3:pic>
                        <ns3:nvPicPr>
                          <ns3:cNvPr descr="images/federal-application-aware-networking-architecture-image-14-active-governance.png" id="116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114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5334000" cy="28448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Active Governance: control plane and actuation ladder — a governance control plane over five data planes (Entra ID, SD-WAN/SASE, InfoBlox DDI, MDM/EDR, SIEM), plus the CISA ZT maturity progression from Traditional through Optimal with the federal L3 gated-actuation ceiling marked as the target now</w:t>
            </w:r>
          </w:p>
          <w:bookmarkEnd w:id="117"/>
        </w:tc>
      </w:tr>
    </w:tbl>
    <w:p>
      <w:pPr>
        <w:pStyle w:val="BlockText"/>
      </w:pPr>
      <w:r>
        <w:rPr>
          <w:b/>
          <w:bCs/>
        </w:rPr>
        <w:t xml:space="preserve">What this means for authorizing officials:</w:t>
      </w:r>
      <w:r>
        <w:t xml:space="preserve"> </w:t>
      </w:r>
      <w:r>
        <w:t xml:space="preserve">no federal mandate names a</w:t>
      </w:r>
      <w:r>
        <w:t xml:space="preserve"> </w:t>
      </w:r>
      <w:r>
        <w:t xml:space="preserve">CISA ZTMM stage as a production requirement</w:t>
      </w:r>
      <w:r>
        <w:rPr>
          <w:rStyle w:val="FootnoteReference"/>
        </w:rPr>
        <w:footnoteReference w:id="118"/>
      </w:r>
      <w:r>
        <w:t xml:space="preserve"> </w:t>
      </w:r>
      <w:r>
        <w:t xml:space="preserve">— ZTMM is a maturity model, and</w:t>
      </w:r>
      <w:r>
        <w:t xml:space="preserve"> </w:t>
      </w:r>
      <w:r>
        <w:t xml:space="preserve">M-22-09 sets outcomes (phishing-resistant MFA, encrypted DNS and HTTP,</w:t>
      </w:r>
      <w:r>
        <w:t xml:space="preserve"> </w:t>
      </w:r>
      <w:r>
        <w:t xml:space="preserve">application inventory) rather than a stage.</w:t>
      </w:r>
      <w:r>
        <w:t xml:space="preserve"> </w:t>
      </w:r>
      <w:r>
        <w:rPr>
          <w:b/>
          <w:bCs/>
        </w:rPr>
        <w:t xml:space="preserve">Advanced is this paper’s</w:t>
      </w:r>
      <w:r>
        <w:rPr>
          <w:b/>
          <w:bCs/>
        </w:rPr>
        <w:t xml:space="preserve"> </w:t>
      </w:r>
      <w:r>
        <w:rPr>
          <w:b/>
          <w:bCs/>
        </w:rPr>
        <w:t xml:space="preserve">recommendation, and the reason is signability:</w:t>
      </w:r>
      <w:r>
        <w:t xml:space="preserve"> </w:t>
      </w:r>
      <w:r>
        <w:t xml:space="preserve">gated actuation, where the</w:t>
      </w:r>
      <w:r>
        <w:t xml:space="preserve"> </w:t>
      </w:r>
      <w:r>
        <w:t xml:space="preserve">governance framework generates a corrective action and a human approves</w:t>
      </w:r>
      <w:r>
        <w:t xml:space="preserve"> </w:t>
      </w:r>
      <w:r>
        <w:t xml:space="preserve">before it executes, keeps a named human in the accountability chain for</w:t>
      </w:r>
      <w:r>
        <w:t xml:space="preserve"> </w:t>
      </w:r>
      <w:r>
        <w:t xml:space="preserve">every change to an authorized system. That is a posture an Authorizing</w:t>
      </w:r>
      <w:r>
        <w:t xml:space="preserve"> </w:t>
      </w:r>
      <w:r>
        <w:t xml:space="preserve">Official can sign; fully autonomous reconciliation over a Moderate estate</w:t>
      </w:r>
      <w:r>
        <w:t xml:space="preserve"> </w:t>
      </w:r>
      <w:r>
        <w:t xml:space="preserve">generally is not.</w:t>
      </w:r>
      <w:r>
        <w:t xml:space="preserve"> </w:t>
      </w:r>
      <w:r>
        <w:t xml:space="preserve">High-blast-radius operations — tenant-wide role changes, network policy</w:t>
      </w:r>
      <w:r>
        <w:t xml:space="preserve"> </w:t>
      </w:r>
      <w:r>
        <w:t xml:space="preserve">updates that touch thousands of endpoints — remain gated permanently</w:t>
      </w:r>
      <w:r>
        <w:t xml:space="preserve"> </w:t>
      </w:r>
      <w:r>
        <w:t xml:space="preserve">regardless of overall maturity level.</w:t>
      </w:r>
    </w:p>
    <w:bookmarkEnd w:id="120"/>
    <w:bookmarkStart w:id="125" w:name="X35b77da09e22f9864656497cda1befc29861d5a"/>
    <w:p>
      <w:pPr>
        <w:pStyle w:val="Heading3"/>
      </w:pPr>
      <w:r>
        <w:t xml:space="preserve">Principle 5 — Reduce Synchronous Round-Trip Count at the Application Layer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ns1:inline>
                  <ns1:extent cx="152400" cy="152400"/>
                  <ns1:effectExtent b="0" l="0" r="0" t="0"/>
                  <ns1:docPr descr="" title="" id="121" name="Picture"/>
                  <ns2:graphic>
                    <ns2:graphicData uri="http://schemas.openxmlformats.org/drawingml/2006/picture">
                      <ns3:pic>
                        <ns3:nvPicPr>
                          <ns3:cNvPr descr="/opt/quarto/share/formats/docx/note.png" id="122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12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152400" cy="1524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principle’s core argument — bandwidth does not reduce latency, and an</w:t>
            </w:r>
            <w:r>
              <w:t xml:space="preserve"> </w:t>
            </w:r>
            <w:r>
              <w:t xml:space="preserve">application’s compute should remain co-located with its authoritative data</w:t>
            </w:r>
            <w:r>
              <w:t xml:space="preserve"> </w:t>
            </w:r>
            <w:r>
              <w:t xml:space="preserve">until modernization demonstrates distributed readiness — draws directly on an</w:t>
            </w:r>
            <w:r>
              <w:t xml:space="preserve"> </w:t>
            </w:r>
            <w:r>
              <w:t xml:space="preserve">internal architecture position paper on application–data separation and</w:t>
            </w:r>
            <w:r>
              <w:t xml:space="preserve"> </w:t>
            </w:r>
            <w:r>
              <w:t xml:space="preserve">cloud-migration readiness in hybrid environments (July 2026).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ns1:inline>
                  <ns1:extent cx="152400" cy="152400"/>
                  <ns1:effectExtent b="0" l="0" r="0" t="0"/>
                  <ns1:docPr descr="" title="" id="123" name="Picture"/>
                  <ns2:graphic>
                    <ns2:graphicData uri="http://schemas.openxmlformats.org/drawingml/2006/picture">
                      <ns3:pic>
                        <ns3:nvPicPr>
                          <ns3:cNvPr descr="/opt/quarto/share/formats/docx/note.png" id="124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12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152400" cy="1524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Key insight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SD-WAN multipath and token-based identity make a fixed number of round trips</w:t>
            </w:r>
            <w:r>
              <w:t xml:space="preserve"> </w:t>
            </w:r>
            <w:r>
              <w:t xml:space="preserve">faster and more resilient; they do not reduce the number of round trips a</w:t>
            </w:r>
            <w:r>
              <w:t xml:space="preserve"> </w:t>
            </w:r>
            <w:r>
              <w:t xml:space="preserve">chatty, synchronous application makes. A legacy transaction that issues 200</w:t>
            </w:r>
            <w:r>
              <w:t xml:space="preserve"> </w:t>
            </w:r>
            <w:r>
              <w:t xml:space="preserve">sequential calls to a mainframe 5,400 km away still pays the propagation</w:t>
            </w:r>
            <w:r>
              <w:t xml:space="preserve"> </w:t>
            </w:r>
            <w:r>
              <w:t xml:space="preserve">floor 200 times, regardless of how well the transport and identity layers</w:t>
            </w:r>
            <w:r>
              <w:t xml:space="preserve"> </w:t>
            </w:r>
            <w:r>
              <w:t xml:space="preserve">are engineered.</w:t>
            </w:r>
          </w:p>
          <w:p/>
        </w:tc>
      </w:tr>
    </w:tbl>
    <w:p>
      <w:pPr>
        <w:pStyle w:val="BodyText"/>
      </w:pPr>
      <w:r>
        <w:t xml:space="preserve">Every application that depends on frequent synchronous communication with an</w:t>
      </w:r>
      <w:r>
        <w:t xml:space="preserve"> </w:t>
      </w:r>
      <w:r>
        <w:t xml:space="preserve">authoritative data store must reduce the number of network round trips a</w:t>
      </w:r>
      <w:r>
        <w:t xml:space="preserve"> </w:t>
      </w:r>
      <w:r>
        <w:t xml:space="preserve">single business transaction requires, before that application is separated</w:t>
      </w:r>
      <w:r>
        <w:t xml:space="preserve"> </w:t>
      </w:r>
      <w:r>
        <w:t xml:space="preserve">from its data across a distance that imposes a meaningful propagation floor.</w:t>
      </w:r>
      <w:r>
        <w:t xml:space="preserve"> </w:t>
      </w:r>
      <w:r>
        <w:t xml:space="preserve">Where round-trip reduction has not been demonstrated through transaction</w:t>
      </w:r>
      <w:r>
        <w:t xml:space="preserve"> </w:t>
      </w:r>
      <w:r>
        <w:t xml:space="preserve">profiling and performance validation, the application’s compute should</w:t>
      </w:r>
      <w:r>
        <w:t xml:space="preserve"> </w:t>
      </w:r>
      <w:r>
        <w:t xml:space="preserve">remain co-located with its authoritative data.</w:t>
      </w:r>
    </w:p>
    <w:p>
      <w:pPr>
        <w:pStyle w:val="BodyText"/>
      </w:pPr>
      <w:r>
        <w:t xml:space="preserve">Principles 1 through 4 govern truth, transport, session survival, and</w:t>
      </w:r>
      <w:r>
        <w:t xml:space="preserve"> </w:t>
      </w:r>
      <w:r>
        <w:t xml:space="preserve">identity. None of them touch application design. A well-architected SD-WAN</w:t>
      </w:r>
      <w:r>
        <w:t xml:space="preserve"> </w:t>
      </w:r>
      <w:r>
        <w:t xml:space="preserve">overlay carrying token-authenticated traffic over active-active multipath</w:t>
      </w:r>
      <w:r>
        <w:t xml:space="preserve"> </w:t>
      </w:r>
      <w:r>
        <w:t xml:space="preserve">still incurs the physics floor once per synchronous call. Only reducing the</w:t>
      </w:r>
      <w:r>
        <w:t xml:space="preserve"> </w:t>
      </w:r>
      <w:r>
        <w:t xml:space="preserve">number of calls — or converting them to a pattern that tolerates distance —</w:t>
      </w:r>
      <w:r>
        <w:t xml:space="preserve"> </w:t>
      </w:r>
      <w:r>
        <w:t xml:space="preserve">actually shrinks the latency budget a transaction consumes.</w:t>
      </w:r>
    </w:p>
    <w:p>
      <w:pPr>
        <w:pStyle w:val="BodyText"/>
      </w:pPr>
      <w:r>
        <w:t xml:space="preserve">Round-trip reduction is an application and integration-architecture</w:t>
      </w:r>
      <w:r>
        <w:t xml:space="preserve"> </w:t>
      </w:r>
      <w:r>
        <w:t xml:space="preserve">discipline, not a network purchase: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Technique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Effect on Latency Exposure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 consolidation (BFF)</w:t>
            </w:r>
          </w:p>
        </w:tc>
        <w:tc>
          <w:tcPr/>
          <w:p>
            <w:pPr>
              <w:pStyle w:val="Compact"/>
            </w:pPr>
            <w:r>
              <w:t xml:space="preserve">One aggregated call replaces N fine-grained calls</w:t>
            </w:r>
          </w:p>
        </w:tc>
        <w:tc>
          <w:tcPr/>
          <w:p>
            <w:pPr>
              <w:pStyle w:val="Compact"/>
            </w:pPr>
            <w:r>
              <w:t xml:space="preserve">Reduces round-trip count from N× floor to 1× floor per transaction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Async / event-driven processing</w:t>
            </w:r>
          </w:p>
        </w:tc>
        <w:tc>
          <w:tcPr/>
          <w:p>
            <w:pPr>
              <w:pStyle w:val="Compact"/>
            </w:pPr>
            <w:r>
              <w:t xml:space="preserve">Producer does not block on a synchronous reply</w:t>
            </w:r>
          </w:p>
        </w:tc>
        <w:tc>
          <w:tcPr/>
          <w:p>
            <w:pPr>
              <w:pStyle w:val="Compact"/>
            </w:pPr>
            <w:r>
              <w:t xml:space="preserve">Removes floor exposure from the user-facing critical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caching (read-through)</w:t>
            </w:r>
          </w:p>
        </w:tc>
        <w:tc>
          <w:tcPr/>
          <w:p>
            <w:pPr>
              <w:pStyle w:val="Compact"/>
            </w:pPr>
            <w:r>
              <w:t xml:space="preserve">Serve repeat reads from a local cache</w:t>
            </w:r>
          </w:p>
        </w:tc>
        <w:tc>
          <w:tcPr/>
          <w:p>
            <w:pPr>
              <w:pStyle w:val="Compact"/>
            </w:pPr>
            <w:r>
              <w:t xml:space="preserve">Eliminates the round trip entirely for cache hits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Batching</w:t>
            </w:r>
          </w:p>
        </w:tc>
        <w:tc>
          <w:tcPr/>
          <w:p>
            <w:pPr>
              <w:pStyle w:val="Compact"/>
            </w:pPr>
            <w:r>
              <w:t xml:space="preserve">Multiple operations travel in one exchange</w:t>
            </w:r>
          </w:p>
        </w:tc>
        <w:tc>
          <w:tcPr/>
          <w:p>
            <w:pPr>
              <w:pStyle w:val="Compact"/>
            </w:pPr>
            <w:r>
              <w:t xml:space="preserve">Amortizes the floor across many logical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 pooling</w:t>
            </w:r>
          </w:p>
        </w:tc>
        <w:tc>
          <w:tcPr/>
          <w:p>
            <w:pPr>
              <w:pStyle w:val="Compact"/>
            </w:pPr>
            <w:r>
              <w:t xml:space="preserve">Handshake cost paid once, reused many times</w:t>
            </w:r>
          </w:p>
        </w:tc>
        <w:tc>
          <w:tcPr/>
          <w:p>
            <w:pPr>
              <w:pStyle w:val="Compact"/>
            </w:pPr>
            <w:r>
              <w:t xml:space="preserve">Removes repeated setup latency, not the data round trip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Stateless transaction conversion</w:t>
            </w:r>
          </w:p>
        </w:tc>
        <w:tc>
          <w:tcPr/>
          <w:p>
            <w:pPr>
              <w:pStyle w:val="Compact"/>
            </w:pPr>
            <w:r>
              <w:t xml:space="preserve">Pseudo-conversational sessions become atomic calls</w:t>
            </w:r>
          </w:p>
        </w:tc>
        <w:tc>
          <w:tcPr/>
          <w:p>
            <w:pPr>
              <w:pStyle w:val="Compact"/>
            </w:pPr>
            <w:r>
              <w:t xml:space="preserve">Removes multi-step server affinity that forces sequential round trips</w:t>
            </w:r>
          </w:p>
        </w:tc>
      </w:tr>
    </w:tbl>
    <w:p>
      <w:pPr>
        <w:pStyle w:val="BodyText"/>
      </w:pPr>
      <w:r>
        <w:t xml:space="preserve">Principle 5 depends on Principle 1 the same way Principle 3 does: a cache or</w:t>
      </w:r>
      <w:r>
        <w:t xml:space="preserve"> </w:t>
      </w:r>
      <w:r>
        <w:t xml:space="preserve">aggregation layer is only safe to build once there is one authoritative</w:t>
      </w:r>
      <w:r>
        <w:t xml:space="preserve"> </w:t>
      </w:r>
      <w:r>
        <w:t xml:space="preserve">source to cache from and reconcile against. Principle 2’s application-layer</w:t>
      </w:r>
      <w:r>
        <w:t xml:space="preserve"> </w:t>
      </w:r>
      <w:r>
        <w:t xml:space="preserve">visibility (DPI, SASE telemetry) is the natural place to measure round-trip</w:t>
      </w:r>
      <w:r>
        <w:t xml:space="preserve"> </w:t>
      </w:r>
      <w:r>
        <w:t xml:space="preserve">count and transaction chattiness in production, giving Principle 5 an</w:t>
      </w:r>
      <w:r>
        <w:t xml:space="preserve"> </w:t>
      </w:r>
      <w:r>
        <w:t xml:space="preserve">evidence base rather than a guess. Principle 4’s gated actuation should treat</w:t>
      </w:r>
      <w:r>
        <w:t xml:space="preserve"> </w:t>
      </w:r>
      <w:r>
        <w:t xml:space="preserve">“has this workload’s round-trip count been profiled and reduced”</w:t>
      </w:r>
      <w:r>
        <w:t xml:space="preserve"> </w:t>
      </w:r>
      <w:r>
        <w:t xml:space="preserve">as a</w:t>
      </w:r>
      <w:r>
        <w:t xml:space="preserve"> </w:t>
      </w:r>
      <w:r>
        <w:t xml:space="preserve">required check before approving separation of an application from its</w:t>
      </w:r>
      <w:r>
        <w:t xml:space="preserve"> </w:t>
      </w:r>
      <w:r>
        <w:t xml:space="preserve">authoritative data store.</w:t>
      </w:r>
    </w:p>
    <w:p>
      <w:r>
        <w:pict>
          <ns5:rect style="width:0;height:1.5pt" ns6:hralign="center" ns6:hrstd="t" ns6:hr="t"/>
        </w:pict>
      </w:r>
    </w:p>
    <w:bookmarkEnd w:id="125"/>
    <w:bookmarkEnd w:id="126"/>
    <w:bookmarkStart w:id="135" w:name="X4955a8a0577912d02a901cf9ade6d1e809b3c7c"/>
    <w:p>
      <w:pPr>
        <w:pStyle w:val="Heading2"/>
      </w:pPr>
      <w:r>
        <w:t xml:space="preserve">Mainframe Access Modernization: A Token-Based Implementation Path</w:t>
      </w:r>
    </w:p>
    <w:p>
      <w:pPr>
        <w:pStyle w:val="FirstParagraph"/>
      </w:pPr>
      <w:r>
        <w:t xml:space="preserve">This section describes an implementation pattern that is already mature and</w:t>
      </w:r>
      <w:r>
        <w:t xml:space="preserve"> </w:t>
      </w:r>
      <w:r>
        <w:t xml:space="preserve">productized — not an open feasibility question. It does not assume knowledge</w:t>
      </w:r>
      <w:r>
        <w:t xml:space="preserve"> </w:t>
      </w:r>
      <w:r>
        <w:t xml:space="preserve">of a specific z/OS estate’s current subsystem versions or RACF configuration;</w:t>
      </w:r>
      <w:r>
        <w:t xml:space="preserve"> </w:t>
      </w:r>
      <w:r>
        <w:t xml:space="preserve">validating configuration against the actual environment is the first</w:t>
      </w:r>
      <w:r>
        <w:t xml:space="preserve"> </w:t>
      </w:r>
      <w:r>
        <w:t xml:space="preserve">implementation step, not an afterthought.</w:t>
      </w:r>
    </w:p>
    <w:bookmarkStart w:id="127" w:name="current-state"/>
    <w:p>
      <w:pPr>
        <w:pStyle w:val="Heading3"/>
      </w:pPr>
      <w:r>
        <w:t xml:space="preserve">Current state</w:t>
      </w:r>
    </w:p>
    <w:p>
      <w:pPr>
        <w:pStyle w:val="FirstParagraph"/>
      </w:pPr>
      <w:r>
        <w:t xml:space="preserve">Mainframe access is natively governed by RACF (Resource Access Control</w:t>
      </w:r>
      <w:r>
        <w:t xml:space="preserve"> </w:t>
      </w:r>
      <w:r>
        <w:t xml:space="preserve">Facility) through the System Authorization Facility (SAF) interface.</w:t>
      </w:r>
      <w:r>
        <w:t xml:space="preserve"> </w:t>
      </w:r>
      <w:r>
        <w:t xml:space="preserve">Interactive access is typically session-bound — 3270 terminal emulation, or</w:t>
      </w:r>
      <w:r>
        <w:t xml:space="preserve"> </w:t>
      </w:r>
      <w:r>
        <w:t xml:space="preserve">z/OS’s own Kerberos implementation (Network Authentication Service) — and</w:t>
      </w:r>
      <w:r>
        <w:t xml:space="preserve"> </w:t>
      </w:r>
      <w:r>
        <w:t xml:space="preserve">CICS/IMS transactions execute within a region that expects a resolved RACF</w:t>
      </w:r>
      <w:r>
        <w:t xml:space="preserve"> </w:t>
      </w:r>
      <w:r>
        <w:t xml:space="preserve">identity for the duration of the unit of work. None of this is token-based in</w:t>
      </w:r>
      <w:r>
        <w:t xml:space="preserve"> </w:t>
      </w:r>
      <w:r>
        <w:t xml:space="preserve">the OAuth/OIDC sense: it is credential- or ticket-based, and tied to an</w:t>
      </w:r>
      <w:r>
        <w:t xml:space="preserve"> </w:t>
      </w:r>
      <w:r>
        <w:t xml:space="preserve">active session in the same way Kerberos in Principle 3 is tied to a domain</w:t>
      </w:r>
      <w:r>
        <w:t xml:space="preserve"> </w:t>
      </w:r>
      <w:r>
        <w:t xml:space="preserve">controller.</w:t>
      </w:r>
    </w:p>
    <w:bookmarkEnd w:id="127"/>
    <w:bookmarkStart w:id="132" w:name="how-the-gateway-bridges-to-racf"/>
    <w:p>
      <w:pPr>
        <w:pStyle w:val="Heading3"/>
      </w:pPr>
      <w:r>
        <w:t xml:space="preserve">How the gateway bridges to RACF</w:t>
      </w:r>
    </w:p>
    <w:p>
      <w:pPr>
        <w:pStyle w:val="FirstParagraph"/>
      </w:pPr>
      <w:r>
        <w:t xml:space="preserve">Token-based access to mainframe transactions is not a hypothetical — IBM has</w:t>
      </w:r>
      <w:r>
        <w:t xml:space="preserve"> </w:t>
      </w:r>
      <w:r>
        <w:t xml:space="preserve">shipped it for a decade. z/OS Connect (Enterprise Edition) has validated</w:t>
      </w:r>
      <w:r>
        <w:t xml:space="preserve"> </w:t>
      </w:r>
      <w:r>
        <w:t xml:space="preserve">OAuth 2.0 / OIDC tokens against CICS, IMS, and batch assets since the</w:t>
      </w:r>
      <w:r>
        <w:t xml:space="preserve"> </w:t>
      </w:r>
      <w:r>
        <w:t xml:space="preserve">mid-2010s, and RACF PassTicket itself dates to the 1990s. Commercial banks —</w:t>
      </w:r>
      <w:r>
        <w:t xml:space="preserve"> </w:t>
      </w:r>
      <w:r>
        <w:t xml:space="preserve">exactly the customer base with the least tolerance for standing still —</w:t>
      </w:r>
      <w:r>
        <w:t xml:space="preserve"> </w:t>
      </w:r>
      <w:r>
        <w:t xml:space="preserve">adopted this pattern years ago under PSD2 and open-banking mandates that</w:t>
      </w:r>
      <w:r>
        <w:t xml:space="preserve"> </w:t>
      </w:r>
      <w:r>
        <w:t xml:space="preserve">required OAuth-fronted core banking APIs. The federal gap here is not a</w:t>
      </w:r>
      <w:r>
        <w:t xml:space="preserve"> </w:t>
      </w:r>
      <w:r>
        <w:t xml:space="preserve">technology gap; it is the same adoption lag documented throughout this</w:t>
      </w:r>
      <w:r>
        <w:t xml:space="preserve"> </w:t>
      </w:r>
      <w:r>
        <w:t xml:space="preserve">whitepaper.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mainframe-token-bridge"/>
          <w:p>
            <w:pPr>
              <w:pStyle w:val="Compact"/>
              <w:jc w:val="center"/>
            </w:pPr>
            <w:r>
              <w:drawing>
                <ns1:inline>
                  <ns1:extent cx="5334000" cy="2844800"/>
                  <ns1:effectExtent b="0" l="0" r="0" t="0"/>
                  <ns1:docPr descr="" title="" id="129" name="Picture"/>
                  <ns2:graphic>
                    <ns2:graphicData uri="http://schemas.openxmlformats.org/drawingml/2006/picture">
                      <ns3:pic>
                        <ns3:nvPicPr>
                          <ns3:cNvPr descr="images/federal-application-aware-networking-architecture-image-15-mainframe-token-bridge.png" id="130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128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5334000" cy="28448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Mainframe access modernization: native 3270/RACF/SAF access on the left versus token-fronted access through an API gateway/z/OS Connect on the right, bridging to RACF via PassTicket and Identity Propagation</w:t>
            </w:r>
          </w:p>
          <w:bookmarkEnd w:id="131"/>
        </w:tc>
      </w:tr>
    </w:tbl>
    <w:p>
      <w:pPr>
        <w:pStyle w:val="BodyText"/>
      </w:pPr>
      <w:r>
        <w:t xml:space="preserve">The established pattern: an API gateway or z/OS Connect (EE) layer exposes</w:t>
      </w:r>
      <w:r>
        <w:t xml:space="preserve"> </w:t>
      </w:r>
      <w:r>
        <w:t xml:space="preserve">CICS, IMS, or batch assets as REST/JSON services and terminates an OAuth 2.0 /</w:t>
      </w:r>
      <w:r>
        <w:t xml:space="preserve"> </w:t>
      </w:r>
      <w:r>
        <w:t xml:space="preserve">OIDC token issued by the enterprise identity provider (e.g., Entra ID). The</w:t>
      </w:r>
      <w:r>
        <w:t xml:space="preserve"> </w:t>
      </w:r>
      <w:r>
        <w:t xml:space="preserve">gateway validates the token’s signature and claims, then derives a RACF</w:t>
      </w:r>
      <w:r>
        <w:t xml:space="preserve"> </w:t>
      </w:r>
      <w:r>
        <w:t xml:space="preserve">PassTicket — a one-time, algorithmically generated credential (from a shared</w:t>
      </w:r>
      <w:r>
        <w:t xml:space="preserve"> </w:t>
      </w:r>
      <w:r>
        <w:t xml:space="preserve">secret, user ID, application ID, and timestamp) — to authenticate to RACF</w:t>
      </w:r>
      <w:r>
        <w:t xml:space="preserve"> </w:t>
      </w:r>
      <w:r>
        <w:t xml:space="preserve">without storing or transmitting a static password. z/OS Identity Propagation</w:t>
      </w:r>
      <w:r>
        <w:t xml:space="preserve"> </w:t>
      </w:r>
      <w:r>
        <w:t xml:space="preserve">(RACF distributed identity filters / ICRX) maps the external token’s subject</w:t>
      </w:r>
      <w:r>
        <w:t xml:space="preserve"> </w:t>
      </w:r>
      <w:r>
        <w:t xml:space="preserve">into the RACF audit and authorization context, so the transaction is</w:t>
      </w:r>
      <w:r>
        <w:t xml:space="preserve"> </w:t>
      </w:r>
      <w:r>
        <w:t xml:space="preserve">authorized and logged against the real end user rather than a shared</w:t>
      </w:r>
      <w:r>
        <w:t xml:space="preserve"> </w:t>
      </w:r>
      <w:r>
        <w:t xml:space="preserve">technical service ID. This is architecturally the same move as Principle 3 —</w:t>
      </w:r>
      <w:r>
        <w:t xml:space="preserve"> </w:t>
      </w:r>
      <w:r>
        <w:t xml:space="preserve">a signed, verifiable assertion replaces a session-bound handshake — applied</w:t>
      </w:r>
      <w:r>
        <w:t xml:space="preserve"> </w:t>
      </w:r>
      <w:r>
        <w:t xml:space="preserve">one layer further back, at the mainframe boundary instead of the network</w:t>
      </w:r>
      <w:r>
        <w:t xml:space="preserve"> </w:t>
      </w:r>
      <w:r>
        <w:t xml:space="preserve">edge.</w:t>
      </w:r>
    </w:p>
    <w:bookmarkEnd w:id="132"/>
    <w:bookmarkStart w:id="133" w:name="what-does-not-change-internally"/>
    <w:p>
      <w:pPr>
        <w:pStyle w:val="Heading3"/>
      </w:pPr>
      <w:r>
        <w:t xml:space="preserve">What does not change internally</w:t>
      </w:r>
    </w:p>
    <w:p>
      <w:pPr>
        <w:pStyle w:val="FirstParagraph"/>
      </w:pPr>
      <w:r>
        <w:t xml:space="preserve">CICS and IMS do not natively understand OAuth tokens, and the underlying</w:t>
      </w:r>
      <w:r>
        <w:t xml:space="preserve"> </w:t>
      </w:r>
      <w:r>
        <w:t xml:space="preserve">transaction engine remains region- and session-bound. Token-based access is</w:t>
      </w:r>
      <w:r>
        <w:t xml:space="preserve"> </w:t>
      </w:r>
      <w:r>
        <w:t xml:space="preserve">a translation at the boundary, not a replacement of the mainframe’s internal</w:t>
      </w:r>
      <w:r>
        <w:t xml:space="preserve"> </w:t>
      </w:r>
      <w:r>
        <w:t xml:space="preserve">security model. Pseudo-conversational transactions that hold state across</w:t>
      </w:r>
      <w:r>
        <w:t xml:space="preserve"> </w:t>
      </w:r>
      <w:r>
        <w:t xml:space="preserve">multiple screen interactions are the harder case: they were designed around</w:t>
      </w:r>
      <w:r>
        <w:t xml:space="preserve"> </w:t>
      </w:r>
      <w:r>
        <w:t xml:space="preserve">a persistent session, and converting them to a stateless, per-request token</w:t>
      </w:r>
      <w:r>
        <w:t xml:space="preserve"> </w:t>
      </w:r>
      <w:r>
        <w:t xml:space="preserve">model is itself a round-trip-reduction and refactoring exercise — the same</w:t>
      </w:r>
      <w:r>
        <w:t xml:space="preserve"> </w:t>
      </w:r>
      <w:r>
        <w:t xml:space="preserve">work Principle 5 already calls for. In practice, token-based mainframe</w:t>
      </w:r>
      <w:r>
        <w:t xml:space="preserve"> </w:t>
      </w:r>
      <w:r>
        <w:t xml:space="preserve">access and round-trip reduction are not two separate modernization tracks;</w:t>
      </w:r>
      <w:r>
        <w:t xml:space="preserve"> </w:t>
      </w:r>
      <w:r>
        <w:t xml:space="preserve">they are the same gateway and the same refactoring effort viewed from two</w:t>
      </w:r>
      <w:r>
        <w:t xml:space="preserve"> </w:t>
      </w:r>
      <w:r>
        <w:t xml:space="preserve">angles.</w:t>
      </w:r>
    </w:p>
    <w:bookmarkEnd w:id="133"/>
    <w:bookmarkStart w:id="134" w:name="recommendation"/>
    <w:p>
      <w:pPr>
        <w:pStyle w:val="Heading3"/>
      </w:pPr>
      <w:r>
        <w:t xml:space="preserve">Recommendation</w:t>
      </w:r>
    </w:p>
    <w:p>
      <w:pPr>
        <w:pStyle w:val="FirstParagraph"/>
      </w:pPr>
      <w:r>
        <w:t xml:space="preserve">Treat mainframe token-based access as a byproduct of Principle 5’s</w:t>
      </w:r>
      <w:r>
        <w:t xml:space="preserve"> </w:t>
      </w:r>
      <w:r>
        <w:t xml:space="preserve">interface-consolidation work, not a separate initiative. The same</w:t>
      </w:r>
      <w:r>
        <w:t xml:space="preserve"> </w:t>
      </w:r>
      <w:r>
        <w:t xml:space="preserve">API/gateway layer built to aggregate chatty synchronous calls is the natural</w:t>
      </w:r>
      <w:r>
        <w:t xml:space="preserve"> </w:t>
      </w:r>
      <w:r>
        <w:t xml:space="preserve">point to terminate tokens and bridge to RACF via PassTicket and Identity</w:t>
      </w:r>
      <w:r>
        <w:t xml:space="preserve"> </w:t>
      </w:r>
      <w:r>
        <w:t xml:space="preserve">Propagation. Sequence the work by transaction type: discrete, atomic,</w:t>
      </w:r>
      <w:r>
        <w:t xml:space="preserve"> </w:t>
      </w:r>
      <w:r>
        <w:t xml:space="preserve">read-mostly transactions are the near-term candidates for token-fronted</w:t>
      </w:r>
      <w:r>
        <w:t xml:space="preserve"> </w:t>
      </w:r>
      <w:r>
        <w:t xml:space="preserve">access; pseudo-conversational, multi-step transactions should be refactored</w:t>
      </w:r>
      <w:r>
        <w:t xml:space="preserve"> </w:t>
      </w:r>
      <w:r>
        <w:t xml:space="preserve">toward statelessness first, which is exactly the round-trip reduction</w:t>
      </w:r>
      <w:r>
        <w:t xml:space="preserve"> </w:t>
      </w:r>
      <w:r>
        <w:t xml:space="preserve">Principle 5 already requires. Validate PassTicket and Identity Propagation</w:t>
      </w:r>
      <w:r>
        <w:t xml:space="preserve"> </w:t>
      </w:r>
      <w:r>
        <w:t xml:space="preserve">configuration against the specific z/OS estate before committing a</w:t>
      </w:r>
      <w:r>
        <w:t xml:space="preserve"> </w:t>
      </w:r>
      <w:r>
        <w:t xml:space="preserve">modernization timeline — this assessment is general; the environment’s</w:t>
      </w:r>
      <w:r>
        <w:t xml:space="preserve"> </w:t>
      </w:r>
      <w:r>
        <w:t xml:space="preserve">current CICS/IMS versions, RACF class configuration, and API gateway posture</w:t>
      </w:r>
      <w:r>
        <w:t xml:space="preserve"> </w:t>
      </w:r>
      <w:r>
        <w:t xml:space="preserve">will determine the actual sequencing.</w:t>
      </w:r>
    </w:p>
    <w:p>
      <w:r>
        <w:pict>
          <ns5:rect style="width:0;height:1.5pt" ns6:hralign="center" ns6:hrstd="t" ns6:hr="t"/>
        </w:pict>
      </w:r>
    </w:p>
    <w:bookmarkEnd w:id="134"/>
    <w:bookmarkEnd w:id="135"/>
    <w:bookmarkStart w:id="137" w:name="federal-framework-alignment"/>
    <w:p>
      <w:pPr>
        <w:pStyle w:val="Heading2"/>
      </w:pPr>
      <w:r>
        <w:t xml:space="preserve">Federal Framework Alignment</w:t>
      </w:r>
    </w:p>
    <w:p>
      <w:pPr>
        <w:pStyle w:val="FirstParagraph"/>
      </w:pPr>
      <w:r>
        <w:t xml:space="preserve">The following table maps each concept in this narrative to the federal</w:t>
      </w:r>
      <w:r>
        <w:t xml:space="preserve"> </w:t>
      </w:r>
      <w:r>
        <w:t xml:space="preserve">mandate, standard, or policy that requires or validates 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 / Narrative Claim</w:t>
            </w:r>
          </w:p>
        </w:tc>
        <w:tc>
          <w:tcPr/>
          <w:p>
            <w:pPr>
              <w:pStyle w:val="Compact"/>
            </w:pPr>
            <w:r>
              <w:t xml:space="preserve">Federal Mandate</w:t>
            </w:r>
          </w:p>
        </w:tc>
        <w:tc>
          <w:tcPr/>
          <w:p>
            <w:pPr>
              <w:pStyle w:val="Compact"/>
            </w:pPr>
            <w:r>
              <w:t xml:space="preserve">Standard /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Separate truth from runtime enforcement</w:t>
            </w:r>
          </w:p>
        </w:tc>
        <w:tc>
          <w:tcPr/>
          <w:p>
            <w:pPr>
              <w:pStyle w:val="Compact"/>
            </w:pPr>
            <w:r>
              <w:t xml:space="preserve">EO 14028 (May 2021), OMB M-22-09</w:t>
            </w:r>
          </w:p>
        </w:tc>
        <w:tc>
          <w:tcPr/>
          <w:p>
            <w:pPr>
              <w:pStyle w:val="Compact"/>
            </w:pPr>
            <w:r>
              <w:t xml:space="preserve">NIST SP 800-207 §2 (Zero Trust tenets)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 source of truth for identity and data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direct mandate</w:t>
            </w:r>
            <w:r>
              <w:t xml:space="preserve"> </w:t>
            </w:r>
            <w:r>
              <w:t xml:space="preserve">— inferred from the Evidence Act (2018) and Federal Data Strategy, which are directional, not prescriptive here</w:t>
            </w:r>
          </w:p>
        </w:tc>
        <w:tc>
          <w:tcPr/>
          <w:p>
            <w:pPr>
              <w:pStyle w:val="Compact"/>
            </w:pPr>
            <w:r>
              <w:t xml:space="preserve">NIST SP 800-53 Rev 5 CM-8, SI-12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Authoritative identity attributes from HR / authoritative sources</w:t>
            </w:r>
          </w:p>
        </w:tc>
        <w:tc>
          <w:tcPr/>
          <w:p>
            <w:pPr>
              <w:pStyle w:val="Compact"/>
            </w:pPr>
            <w:r>
              <w:t xml:space="preserve">FICAM Architecture, OMB M-22-09</w:t>
            </w:r>
          </w:p>
        </w:tc>
        <w:tc>
          <w:tcPr/>
          <w:p>
            <w:pPr>
              <w:pStyle w:val="Compact"/>
            </w:pPr>
            <w:r>
              <w:t xml:space="preserve">NIST SP 800-63 Rev 4 Digital Identity Guidelines (31 Jul 2025)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Application-aware networking; per-transaction policy enforcement</w:t>
            </w:r>
          </w:p>
        </w:tc>
        <w:tc>
          <w:tcPr/>
          <w:p>
            <w:pPr>
              <w:pStyle w:val="Compact"/>
            </w:pPr>
            <w:r>
              <w:t xml:space="preserve">OMB M-22-09 §4, EO 14028</w:t>
            </w:r>
          </w:p>
        </w:tc>
        <w:tc>
          <w:tcPr/>
          <w:p>
            <w:pPr>
              <w:pStyle w:val="Compact"/>
            </w:pPr>
            <w:r>
              <w:t xml:space="preserve">NIST SP 800-207, TIC 3.0 Branch Office and Remote User use cases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Phishing-resistant MFA / Certificate-Based Authentication</w:t>
            </w:r>
          </w:p>
        </w:tc>
        <w:tc>
          <w:tcPr/>
          <w:p>
            <w:pPr>
              <w:pStyle w:val="Compact"/>
            </w:pPr>
            <w:r>
              <w:t xml:space="preserve">BOD 25-01, OMB M-22-09</w:t>
            </w:r>
          </w:p>
        </w:tc>
        <w:tc>
          <w:tcPr/>
          <w:p>
            <w:pPr>
              <w:pStyle w:val="Compact"/>
            </w:pPr>
            <w:r>
              <w:t xml:space="preserve">CISA ZTMM v2.0 Identity pillar (Advanced/Optimal)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Eliminate NTLM; move to token-based identity</w:t>
            </w:r>
          </w:p>
        </w:tc>
        <w:tc>
          <w:tcPr/>
          <w:p>
            <w:pPr>
              <w:pStyle w:val="Compact"/>
            </w:pPr>
            <w:r>
              <w:t xml:space="preserve">BOD 25-01 (M365 SCuBA baselines)</w:t>
            </w:r>
          </w:p>
        </w:tc>
        <w:tc>
          <w:tcPr/>
          <w:p>
            <w:pPr>
              <w:pStyle w:val="Compact"/>
            </w:pPr>
            <w:r>
              <w:t xml:space="preserve">CISA ZTMM v2.0 Identity pillar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 compliance as input to access decisions</w:t>
            </w:r>
          </w:p>
        </w:tc>
        <w:tc>
          <w:tcPr/>
          <w:p>
            <w:pPr>
              <w:pStyle w:val="Compact"/>
            </w:pPr>
            <w:r>
              <w:t xml:space="preserve">OMB M-22-09 §3</w:t>
            </w:r>
          </w:p>
        </w:tc>
        <w:tc>
          <w:tcPr/>
          <w:p>
            <w:pPr>
              <w:pStyle w:val="Compact"/>
            </w:pPr>
            <w:r>
              <w:t xml:space="preserve">CISA ZTMM v2.0 Devices pillar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SD-WAN local internet breakout; eliminate MPLS hairpin</w:t>
            </w:r>
          </w:p>
        </w:tc>
        <w:tc>
          <w:tcPr/>
          <w:p>
            <w:pPr>
              <w:pStyle w:val="Compact"/>
            </w:pPr>
            <w:r>
              <w:t xml:space="preserve">TIC 3.0 (Trusted Internet Connections)</w:t>
            </w:r>
          </w:p>
        </w:tc>
        <w:tc>
          <w:tcPr/>
          <w:p>
            <w:pPr>
              <w:pStyle w:val="Compact"/>
            </w:pPr>
            <w:r>
              <w:t xml:space="preserve">CISA ZTMM v2.0 Networks pillar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SASE / ZTNA as access model replacing VPN</w:t>
            </w:r>
          </w:p>
        </w:tc>
        <w:tc>
          <w:tcPr/>
          <w:p>
            <w:pPr>
              <w:pStyle w:val="Compact"/>
            </w:pPr>
            <w:r>
              <w:t xml:space="preserve">OMB M-22-09 §4, TIC 3.0</w:t>
            </w:r>
          </w:p>
        </w:tc>
        <w:tc>
          <w:tcPr/>
          <w:p>
            <w:pPr>
              <w:pStyle w:val="Compact"/>
            </w:pPr>
            <w:r>
              <w:t xml:space="preserve">NIST SP 800-207, CISA ZTMM Networks pillar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DNS resolution integrity (DNSSEC validation, authoritative and recursive)</w:t>
            </w:r>
          </w:p>
        </w:tc>
        <w:tc>
          <w:tcPr/>
          <w:p>
            <w:pPr>
              <w:pStyle w:val="Compact"/>
            </w:pPr>
            <w:r>
              <w:t xml:space="preserve">FedRAMP Moderate SC-20/21</w:t>
            </w:r>
          </w:p>
        </w:tc>
        <w:tc>
          <w:tcPr/>
          <w:p>
            <w:pPr>
              <w:pStyle w:val="Compact"/>
            </w:pPr>
            <w:r>
              <w:t xml:space="preserve">NIST SP 800-53 Rev 5 SC-20, SC-21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DNS as a threat-blocking control (RPZ, reputation feeds)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covered by SC-20/21</w:t>
            </w:r>
            <w:r>
              <w:t xml:space="preserve"> </w:t>
            </w:r>
            <w:r>
              <w:t xml:space="preserve">— supports SI-4 monitoring and the CISA ZTMM Networks pillar</w:t>
            </w:r>
          </w:p>
        </w:tc>
        <w:tc>
          <w:tcPr/>
          <w:p>
            <w:pPr>
              <w:pStyle w:val="Compact"/>
            </w:pPr>
            <w:r>
              <w:t xml:space="preserve">NIST SP 800-53 Rev 5 SI-4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 address inventory as compliance evidence (CM-8)</w:t>
            </w:r>
          </w:p>
        </w:tc>
        <w:tc>
          <w:tcPr/>
          <w:p>
            <w:pPr>
              <w:pStyle w:val="Compact"/>
            </w:pPr>
            <w:r>
              <w:t xml:space="preserve">FedRAMP Moderate</w:t>
            </w:r>
          </w:p>
        </w:tc>
        <w:tc>
          <w:tcPr/>
          <w:p>
            <w:pPr>
              <w:pStyle w:val="Compact"/>
            </w:pPr>
            <w:r>
              <w:t xml:space="preserve">NIST SP 800-53 Rev 5 CM-8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provenance: every transaction traceable to authorized source</w:t>
            </w:r>
          </w:p>
        </w:tc>
        <w:tc>
          <w:tcPr/>
          <w:p>
            <w:pPr>
              <w:pStyle w:val="Compact"/>
            </w:pPr>
            <w:r>
              <w:t xml:space="preserve">FedRAMP Moderate AU-2/12</w:t>
            </w:r>
          </w:p>
        </w:tc>
        <w:tc>
          <w:tcPr/>
          <w:p>
            <w:pPr>
              <w:pStyle w:val="Compact"/>
            </w:pPr>
            <w:r>
              <w:t xml:space="preserve">NIST SP 800-53 Rev 5 AU-2, AU-12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Continuous monitoring of the agency’s own authorized systems</w:t>
            </w:r>
          </w:p>
        </w:tc>
        <w:tc>
          <w:tcPr/>
          <w:p>
            <w:pPr>
              <w:pStyle w:val="Compact"/>
            </w:pPr>
            <w:r>
              <w:t xml:space="preserve">OMB Circular A-130; the agency’s existing ATOs</w:t>
            </w:r>
          </w:p>
        </w:tc>
        <w:tc>
          <w:tcPr/>
          <w:p>
            <w:pPr>
              <w:pStyle w:val="Compact"/>
            </w:pPr>
            <w:r>
              <w:t xml:space="preserve">NIST SP 800-53 Rev 5 CA-7; NIST SP 800-37 Rev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Gated actuation as recommended governance posture (Advanced maturity)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mandate — this paper’s recommendation</w:t>
            </w:r>
            <w:r>
              <w:t xml:space="preserve">; supports CA-7 and AU-12 accountability</w:t>
            </w:r>
          </w:p>
        </w:tc>
        <w:tc>
          <w:tcPr/>
          <w:p>
            <w:pPr>
              <w:pStyle w:val="Compact"/>
            </w:pPr>
            <w:r>
              <w:t xml:space="preserve">CISA ZTMM v2.0 Automation and Orchestration pillar (a maturity model, not a requirement)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Machine-readable KSI evidence; no manual evidence assembly</w:t>
            </w:r>
          </w:p>
        </w:tc>
        <w:tc>
          <w:tcPr/>
          <w:p>
            <w:pPr>
              <w:pStyle w:val="Compact"/>
            </w:pPr>
            <w:r>
              <w:t xml:space="preserve">FedRAMP 20x Consolidated Rules —</w:t>
            </w:r>
            <w:r>
              <w:t xml:space="preserve"> </w:t>
            </w:r>
            <w:r>
              <w:rPr>
                <w:b/>
                <w:bCs/>
              </w:rPr>
              <w:t xml:space="preserve">binds cloud service providers, not agencies</w:t>
            </w:r>
            <w:r>
              <w:t xml:space="preserve">; relevant to the agency as a purchaser and as direction of travel</w:t>
            </w:r>
          </w:p>
        </w:tc>
        <w:tc>
          <w:tcPr/>
          <w:p>
            <w:pPr>
              <w:pStyle w:val="Compact"/>
            </w:pPr>
            <w:r>
              <w:t xml:space="preserve">FedRAMP 20x JSON evidence format; 46 indicators across 10 KSI themes in the 2026 Consolidated Rules</w:t>
            </w:r>
            <w:r>
              <w:rPr>
                <w:rStyle w:val="FootnoteReference"/>
              </w:rPr>
              <w:footnoteReference w:id="136"/>
            </w:r>
          </w:p>
        </w:tc>
      </w:tr>
      <w:tr>
        <w:tc>
          <w:tcPr/>
          <w:p>
            <w:pPr>
              <w:pStyle w:val="Compact"/>
            </w:pPr>
            <w:r>
              <w:t xml:space="preserve">Reduce synchronous round-trip count before separating an application from authoritative data</w:t>
            </w:r>
          </w:p>
        </w:tc>
        <w:tc>
          <w:tcPr/>
          <w:p>
            <w:pPr>
              <w:pStyle w:val="Compact"/>
            </w:pPr>
            <w:r>
              <w:t xml:space="preserve">OMB Circular A-130 (sound engineering practice); EO 14028</w:t>
            </w:r>
          </w:p>
        </w:tc>
        <w:tc>
          <w:tcPr/>
          <w:p>
            <w:pPr>
              <w:pStyle w:val="Compact"/>
            </w:pPr>
            <w:r>
              <w:t xml:space="preserve">NIST SP 800-53 Rev 5 SA-8 (Security and Privacy Engineering Principles)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Bridge mainframe RACF/SAF access to token-based identity via API gateway and PassTicket</w:t>
            </w:r>
          </w:p>
        </w:tc>
        <w:tc>
          <w:tcPr/>
          <w:p>
            <w:pPr>
              <w:pStyle w:val="Compact"/>
            </w:pPr>
            <w:r>
              <w:t xml:space="preserve">OMB M-22-09 (modern authentication); BOD 25-01</w:t>
            </w:r>
          </w:p>
        </w:tc>
        <w:tc>
          <w:tcPr/>
          <w:p>
            <w:pPr>
              <w:pStyle w:val="Compact"/>
            </w:pPr>
            <w:r>
              <w:t xml:space="preserve">NIST SP 800-207; CISA ZTMM v2.0 Identity pillar</w:t>
            </w:r>
          </w:p>
        </w:tc>
      </w:tr>
    </w:tbl>
    <w:p>
      <w:r>
        <w:pict>
          <ns5:rect style="width:0;height:1.5pt" ns6:hralign="center" ns6:hrstd="t" ns6:hr="t"/>
        </w:pict>
      </w:r>
    </w:p>
    <w:bookmarkEnd w:id="137"/>
    <w:bookmarkStart w:id="148" w:name="call-to-action"/>
    <w:p>
      <w:pPr>
        <w:pStyle w:val="Heading2"/>
      </w:pPr>
      <w:r>
        <w:t xml:space="preserve">Call to Action</w:t>
      </w:r>
    </w:p>
    <w:p>
      <w:pPr>
        <w:pStyle w:val="FirstParagraph"/>
      </w:pPr>
      <w:r>
        <w:t xml:space="preserve">This whitepaper describes a well-worn commercial transition your agency has</w:t>
      </w:r>
      <w:r>
        <w:t xml:space="preserve"> </w:t>
      </w:r>
      <w:r>
        <w:t xml:space="preserve">not yet completed, under a federal compliance deadline that is no longer</w:t>
      </w:r>
      <w:r>
        <w:t xml:space="preserve"> </w:t>
      </w:r>
      <w:r>
        <w:t xml:space="preserve">negotiable. The following steps convert the five principles into an</w:t>
      </w:r>
      <w:r>
        <w:t xml:space="preserve"> </w:t>
      </w:r>
      <w:r>
        <w:t xml:space="preserve">execution plan.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ns1:inline>
                  <ns1:extent cx="152400" cy="152400"/>
                  <ns1:effectExtent b="0" l="0" r="0" t="0"/>
                  <ns1:docPr descr="" title="" id="138" name="Picture"/>
                  <ns2:graphic>
                    <ns2:graphicData uri="http://schemas.openxmlformats.org/drawingml/2006/picture">
                      <ns3:pic>
                        <ns3:nvPicPr>
                          <ns3:cNvPr descr="/opt/quarto/share/formats/docx/important.png" id="139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9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152400" cy="1524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Six steps to start this quarter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Inventory the actual architecture, not the assumed one.</w:t>
            </w:r>
            <w:r>
              <w:t xml:space="preserve"> </w:t>
            </w:r>
            <w:r>
              <w:t xml:space="preserve">Document</w:t>
            </w:r>
            <w:r>
              <w:t xml:space="preserve"> </w:t>
            </w:r>
            <w:r>
              <w:t xml:space="preserve">every regional AD domain, every MPLS circuit, every location where DIA</w:t>
            </w:r>
            <w:r>
              <w:t xml:space="preserve"> </w:t>
            </w:r>
            <w:r>
              <w:t xml:space="preserve">has been installed without a SASE/SD-WAN control stack behind it, and</w:t>
            </w:r>
            <w:r>
              <w:t xml:space="preserve"> </w:t>
            </w:r>
            <w:r>
              <w:t xml:space="preserve">every application that makes synchronous calls across a WAN boundary to</w:t>
            </w:r>
            <w:r>
              <w:t xml:space="preserve"> </w:t>
            </w:r>
            <w:r>
              <w:t xml:space="preserve">a mainframe or legacy data store. Most agencies cannot answer this today</w:t>
            </w:r>
            <w:r>
              <w:t xml:space="preserve"> </w:t>
            </w:r>
            <w:r>
              <w:t xml:space="preserve">— that is the first gap to close.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Run a physics-based latency audit before the next migration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decision.</w:t>
            </w:r>
            <w:r>
              <w:t xml:space="preserve"> </w:t>
            </w:r>
            <w:r>
              <w:t xml:space="preserve">For every workload being considered for cloud migration,</w:t>
            </w:r>
            <w:r>
              <w:t xml:space="preserve"> </w:t>
            </w:r>
            <w:r>
              <w:t xml:space="preserve">measure — do not assume — its round-trip count and the fixed</w:t>
            </w:r>
            <w:r>
              <w:t xml:space="preserve"> </w:t>
            </w:r>
            <w:r>
              <w:t xml:space="preserve">propagation floor of the distance involved. Do not approve a migration</w:t>
            </w:r>
            <w:r>
              <w:t xml:space="preserve"> </w:t>
            </w:r>
            <w:r>
              <w:t xml:space="preserve">until the answer is known.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Assign an owner to each of the five principles.</w:t>
            </w:r>
            <w:r>
              <w:t xml:space="preserve"> </w:t>
            </w:r>
            <w:r>
              <w:t xml:space="preserve">Single source of</w:t>
            </w:r>
            <w:r>
              <w:t xml:space="preserve"> </w:t>
            </w:r>
            <w:r>
              <w:t xml:space="preserve">truth, application-aware networking, token-based identity, active</w:t>
            </w:r>
            <w:r>
              <w:t xml:space="preserve"> </w:t>
            </w:r>
            <w:r>
              <w:t xml:space="preserve">governance, and round-trip reduction are five separate engineering</w:t>
            </w:r>
            <w:r>
              <w:t xml:space="preserve"> </w:t>
            </w:r>
            <w:r>
              <w:t xml:space="preserve">disciplines with five different natural owners — data governance,</w:t>
            </w:r>
            <w:r>
              <w:t xml:space="preserve"> </w:t>
            </w:r>
            <w:r>
              <w:t xml:space="preserve">network engineering, identity engineering, compliance/ConMon, and</w:t>
            </w:r>
            <w:r>
              <w:t xml:space="preserve"> </w:t>
            </w:r>
            <w:r>
              <w:t xml:space="preserve">application architecture, respectively. None of them will move if</w:t>
            </w:r>
            <w:r>
              <w:t xml:space="preserve"> </w:t>
            </w:r>
            <w:r>
              <w:t xml:space="preserve">nobody owns them.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Put the agency’s own clocks on the calendar — they are the late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ones.</w:t>
            </w:r>
            <w:r>
              <w:t xml:space="preserve"> </w:t>
            </w:r>
            <w:r>
              <w:rPr>
                <w:b/>
                <w:bCs/>
              </w:rPr>
              <w:t xml:space="preserve">OMB M-22-09</w:t>
            </w:r>
            <w:r>
              <w:t xml:space="preserve">’s zero-trust milestones came due at the end of</w:t>
            </w:r>
            <w:r>
              <w:t xml:space="preserve"> </w:t>
            </w:r>
            <w:r>
              <w:t xml:space="preserve">FY24 and have passed;</w:t>
            </w:r>
            <w:r>
              <w:rPr>
                <w:rStyle w:val="FootnoteReference"/>
              </w:rPr>
              <w:footnoteReference w:id="140"/>
            </w:r>
            <w:r>
              <w:t xml:space="preserve"> </w:t>
            </w:r>
            <w:r>
              <w:rPr>
                <w:b/>
                <w:bCs/>
              </w:rPr>
              <w:t xml:space="preserve">CISA BOD 25-01</w:t>
            </w:r>
            <w:r>
              <w:t xml:space="preserve"> </w:t>
            </w:r>
            <w:r>
              <w:t xml:space="preserve">is in force and</w:t>
            </w:r>
            <w:r>
              <w:t xml:space="preserve"> </w:t>
            </w:r>
            <w:r>
              <w:t xml:space="preserve">continuous for Microsoft 365 secure configuration;</w:t>
            </w:r>
            <w:r>
              <w:rPr>
                <w:rStyle w:val="FootnoteReference"/>
              </w:rPr>
              <w:footnoteReference w:id="141"/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NIST SP 800-53 CA-7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OMB Circular A-130</w:t>
            </w:r>
            <w:r>
              <w:t xml:space="preserve"> </w:t>
            </w:r>
            <w:r>
              <w:t xml:space="preserve">already requires</w:t>
            </w:r>
            <w:r>
              <w:t xml:space="preserve"> </w:t>
            </w:r>
            <w:r>
              <w:t xml:space="preserve">continuous monitoring of every system the agency has authorized.</w:t>
            </w:r>
            <w:r>
              <w:rPr>
                <w:rStyle w:val="FootnoteReference"/>
              </w:rPr>
              <w:footnoteReference w:id="142"/>
            </w:r>
            <w:r>
              <w:t xml:space="preserve"> </w:t>
            </w:r>
            <w:r>
              <w:t xml:space="preserve">Continuous monitoring built after those obligations came due is a</w:t>
            </w:r>
            <w:r>
              <w:t xml:space="preserve"> </w:t>
            </w:r>
            <w:r>
              <w:t xml:space="preserve">remediation project, not a modernization project. Separately, track the</w:t>
            </w:r>
            <w:r>
              <w:t xml:space="preserve"> </w:t>
            </w:r>
            <w:r>
              <w:rPr>
                <w:b/>
                <w:bCs/>
              </w:rPr>
              <w:t xml:space="preserve">provider</w:t>
            </w:r>
            <w:r>
              <w:t xml:space="preserve"> </w:t>
            </w:r>
            <w:r>
              <w:t xml:space="preserve">clock so you know when your vendors’ evidence changes</w:t>
            </w:r>
            <w:r>
              <w:t xml:space="preserve"> </w:t>
            </w:r>
            <w:r>
              <w:t xml:space="preserve">format: FedRAMP Ready ceases 28 July 2026, the Class A/B/C pipelines</w:t>
            </w:r>
            <w:r>
              <w:t xml:space="preserve"> </w:t>
            </w:r>
            <w:r>
              <w:t xml:space="preserve">open 3 and 31 August 2026, the Consolidated Rules become mandatory for</w:t>
            </w:r>
            <w:r>
              <w:t xml:space="preserve"> </w:t>
            </w:r>
            <w:r>
              <w:t xml:space="preserve">certified cloud service offerings on 1 January 2027, and no new Rev5</w:t>
            </w:r>
            <w:r>
              <w:t xml:space="preserve"> </w:t>
            </w:r>
            <w:r>
              <w:t xml:space="preserve">certifications are accepted after 11 June 2027.</w:t>
            </w:r>
            <w:r>
              <w:rPr>
                <w:rStyle w:val="FootnoteReference"/>
              </w:rPr>
              <w:footnoteReference w:id="145"/>
            </w:r>
            <w:r>
              <w:t xml:space="preserve"> </w:t>
            </w:r>
            <w:r>
              <w:t xml:space="preserve">Those are</w:t>
            </w:r>
            <w:r>
              <w:t xml:space="preserve"> </w:t>
            </w:r>
            <w:r>
              <w:t xml:space="preserve">procurement dates, not agency deadlines.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Pilot the mainframe token-bridge pattern on one low-risk transaction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class before committing to a timeline.</w:t>
            </w:r>
            <w:r>
              <w:t xml:space="preserve"> </w:t>
            </w:r>
            <w:r>
              <w:t xml:space="preserve">Discrete, atomic, read-mostly</w:t>
            </w:r>
            <w:r>
              <w:t xml:space="preserve"> </w:t>
            </w:r>
            <w:r>
              <w:t xml:space="preserve">transactions are the correct first candidates — not the highest-value</w:t>
            </w:r>
            <w:r>
              <w:t xml:space="preserve"> </w:t>
            </w:r>
            <w:r>
              <w:t xml:space="preserve">or highest-visibility ones. Prove the PassTicket/Identity Propagation</w:t>
            </w:r>
            <w:r>
              <w:t xml:space="preserve"> </w:t>
            </w:r>
            <w:r>
              <w:t xml:space="preserve">pattern against your specific z/OS estate before scheduling the harder,</w:t>
            </w:r>
            <w:r>
              <w:t xml:space="preserve"> </w:t>
            </w:r>
            <w:r>
              <w:t xml:space="preserve">pseudo-conversational transactions.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Bring this document to the people who can act on it.</w:t>
            </w:r>
            <w:r>
              <w:t xml:space="preserve"> </w:t>
            </w:r>
            <w:r>
              <w:t xml:space="preserve">The CIO/CISO</w:t>
            </w:r>
            <w:r>
              <w:t xml:space="preserve"> </w:t>
            </w:r>
            <w:r>
              <w:t xml:space="preserve">office owns the ATO and continuous-monitoring posture — the CA-7</w:t>
            </w:r>
            <w:r>
              <w:t xml:space="preserve"> </w:t>
            </w:r>
            <w:r>
              <w:t xml:space="preserve">obligation inside each existing authorization, and the M-22-09 and</w:t>
            </w:r>
            <w:r>
              <w:t xml:space="preserve"> </w:t>
            </w:r>
            <w:r>
              <w:t xml:space="preserve">BOD 25-01 positions; the network team owns Principles 2 and 5; the</w:t>
            </w:r>
            <w:r>
              <w:t xml:space="preserve"> </w:t>
            </w:r>
            <w:r>
              <w:t xml:space="preserve">identity team owns Principle 3; the mainframe and application teams own</w:t>
            </w:r>
            <w:r>
              <w:t xml:space="preserve"> </w:t>
            </w:r>
            <w:r>
              <w:t xml:space="preserve">the token-bridge chapter. This document is</w:t>
            </w:r>
            <w:r>
              <w:t xml:space="preserve"> </w:t>
            </w:r>
            <w:r>
              <w:t xml:space="preserve">written to be handed to all four without modification.</w:t>
            </w:r>
          </w:p>
          <w:p/>
        </w:tc>
      </w:tr>
    </w:tbl>
    <w:p>
      <w:pPr>
        <w:pStyle w:val="FirstParagraph"/>
      </w:pPr>
      <w:r>
        <w:t xml:space="preserve">None of this requires a specific vendor decision on day one. It requires an</w:t>
      </w:r>
      <w:r>
        <w:t xml:space="preserve"> </w:t>
      </w:r>
      <w:r>
        <w:t xml:space="preserve">inventory, an owner, and a date. The architecture described in this</w:t>
      </w:r>
      <w:r>
        <w:t xml:space="preserve"> </w:t>
      </w:r>
      <w:r>
        <w:t xml:space="preserve">whitepaper is not aspirational — it is what the commercial sector already</w:t>
      </w:r>
      <w:r>
        <w:t xml:space="preserve"> </w:t>
      </w:r>
      <w:r>
        <w:t xml:space="preserve">runs, and what the agency’s existing authorizations already oblige it to be</w:t>
      </w:r>
      <w:r>
        <w:t xml:space="preserve"> </w:t>
      </w:r>
      <w:r>
        <w:t xml:space="preserve">able to evidence.</w:t>
      </w:r>
    </w:p>
    <w:bookmarkEnd w:id="148"/>
    <w:bookmarkStart w:id="149" w:name="sources"/>
    <w:p>
      <w:pPr>
        <w:pStyle w:val="Heading2"/>
      </w:pPr>
      <w:r>
        <w:t xml:space="preserve">Sources</w:t>
      </w:r>
    </w:p>
    <w:p>
      <w:pPr>
        <w:pStyle w:val="FirstParagraph"/>
      </w:pPr>
      <w:r>
        <w:t xml:space="preserve">Federal requirements in this paper are cited to the issuing authority below.</w:t>
      </w:r>
      <w:r>
        <w:t xml:space="preserve"> </w:t>
      </w:r>
      <w:r>
        <w:t xml:space="preserve">Dates for FedRAMP and CISA events are the ones carried in this repository’s</w:t>
      </w:r>
      <w:r>
        <w:t xml:space="preserve"> </w:t>
      </w:r>
      <w:r>
        <w:t xml:space="preserve">authority-deadline register, which records the issuing source and the date each</w:t>
      </w:r>
      <w:r>
        <w:t xml:space="preserve"> </w:t>
      </w:r>
      <w:r>
        <w:t xml:space="preserve">was last verified against it; a date in the corpus that disagrees with that</w:t>
      </w:r>
      <w:r>
        <w:t xml:space="preserve"> </w:t>
      </w:r>
      <w:r>
        <w:t xml:space="preserve">register fails a build gate, so the citations here and the dates elsewhere in</w:t>
      </w:r>
      <w:r>
        <w:t xml:space="preserve"> </w:t>
      </w:r>
      <w:r>
        <w:t xml:space="preserve">the corpus cannot drift apart.</w:t>
      </w:r>
    </w:p>
    <w:p>
      <w:pPr>
        <w:pStyle w:val="BodyText"/>
      </w:pPr>
      <w:r>
        <w:t xml:space="preserve">Two claims in this paper are deliberately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attributed to a mandate, and</w:t>
      </w:r>
      <w:r>
        <w:t xml:space="preserve"> </w:t>
      </w:r>
      <w:r>
        <w:t xml:space="preserve">say so where they appear: the single-source-of-truth requirement is this</w:t>
      </w:r>
      <w:r>
        <w:t xml:space="preserve"> </w:t>
      </w:r>
      <w:r>
        <w:t xml:space="preserve">paper’s inference from the Evidence Act and the Federal Data Strategy, and</w:t>
      </w:r>
      <w:r>
        <w:t xml:space="preserve"> </w:t>
      </w:r>
      <w:r>
        <w:t xml:space="preserve">Advanced-maturity gated actuation is this paper’s recommendation rather than a</w:t>
      </w:r>
      <w:r>
        <w:t xml:space="preserve"> </w:t>
      </w:r>
      <w:r>
        <w:t xml:space="preserve">posture any federal document requires.</w:t>
      </w:r>
    </w:p>
    <w:bookmarkEnd w:id="149"/>
    <w:bookmarkStart w:id="162" w:name="X8d4bb7b76cb01f2c464c72a0ba536f19827c4af"/>
    <w:p>
      <w:pPr>
        <w:pStyle w:val="Heading2"/>
      </w:pPr>
      <w:r>
        <w:t xml:space="preserve">Appendix — Narrative provenance: this arc mapped to UIAO canon</w:t>
      </w:r>
    </w:p>
    <w:p>
      <w:pPr>
        <w:pStyle w:val="FirstParagraph"/>
      </w:pPr>
      <w:r>
        <w:rPr>
          <w:b/>
          <w:bCs/>
        </w:rPr>
        <w:t xml:space="preserve">Everything above this appendix stands on its own</w:t>
      </w:r>
      <w:r>
        <w:t xml:space="preserve"> </w:t>
      </w:r>
      <w:r>
        <w:t xml:space="preserve">— federal requirements</w:t>
      </w:r>
      <w:r>
        <w:t xml:space="preserve"> </w:t>
      </w:r>
      <w:r>
        <w:t xml:space="preserve">cited to NIST, OMB, CISA and FedRAMP, and no dependency on anything below.</w:t>
      </w:r>
      <w:r>
        <w:t xml:space="preserve"> </w:t>
      </w:r>
      <w:r>
        <w:t xml:space="preserve">This appendix is separable: it exists for readers who want to know where Act</w:t>
      </w:r>
      <w:r>
        <w:t xml:space="preserve"> </w:t>
      </w:r>
      <w:r>
        <w:t xml:space="preserve">4’s claims come from in the UIAO substrate, and it can be dropped when the</w:t>
      </w:r>
      <w:r>
        <w:t xml:space="preserve"> </w:t>
      </w:r>
      <w:r>
        <w:t xml:space="preserve">paper is handed to an audience that is not evaluating a platform.</w:t>
      </w:r>
    </w:p>
    <w:p>
      <w:pPr>
        <w:pStyle w:val="BodyText"/>
      </w:pPr>
      <w:r>
        <w:t xml:space="preserve">The same arc also circulates as</w:t>
      </w:r>
      <w:r>
        <w:t xml:space="preserve"> </w:t>
      </w:r>
      <w:hyperlink r:id="rId150">
        <w:r>
          <w:rPr>
            <w:rStyle w:val="Hyperlink"/>
          </w:rPr>
          <w:t xml:space="preserve">OrgComp Vol I Book 05</w:t>
        </w:r>
      </w:hyperlink>
      <w:r>
        <w:t xml:space="preserve">,</w:t>
      </w:r>
      <w:r>
        <w:t xml:space="preserve"> </w:t>
      </w:r>
      <w:r>
        <w:t xml:space="preserve">which carries the federal control-closure framing (NIST 800-53, FedRAMP 20x</w:t>
      </w:r>
      <w:r>
        <w:t xml:space="preserve"> </w:t>
      </w:r>
      <w:r>
        <w:t xml:space="preserve">KSI, TIC 3.0) and the SD-WAN / INR implementation appendix. That book names no</w:t>
      </w:r>
      <w:r>
        <w:t xml:space="preserve"> </w:t>
      </w:r>
      <w:r>
        <w:t xml:space="preserve">automation engine at all — the OrgComp series is adoptable on its own — so</w:t>
      </w:r>
      <w:r>
        <w:t xml:space="preserve"> </w:t>
      </w:r>
      <w:r>
        <w:rPr>
          <w:b/>
          <w:bCs/>
        </w:rPr>
        <w:t xml:space="preserve">this appendix is the canonical home of the mapping below.</w:t>
      </w:r>
      <w:r>
        <w:t xml:space="preserve"> </w:t>
      </w:r>
      <w:r>
        <w:t xml:space="preserve">The modernization</w:t>
      </w:r>
      <w:r>
        <w:t xml:space="preserve"> </w:t>
      </w:r>
      <w:r>
        <w:t xml:space="preserve">pillar’s curated entry points for the arc are collected at the</w:t>
      </w:r>
      <w:r>
        <w:t xml:space="preserve"> </w:t>
      </w:r>
      <w:hyperlink r:id="rId151">
        <w:r>
          <w:rPr>
            <w:rStyle w:val="Hyperlink"/>
          </w:rPr>
          <w:t xml:space="preserve">OrgMod hub</w:t>
        </w:r>
      </w:hyperlink>
      <w:r>
        <w:t xml:space="preserve">.</w:t>
      </w:r>
    </w:p>
    <w:p>
      <w:pPr>
        <w:pStyle w:val="BodyText"/>
      </w:pPr>
      <w:r>
        <w:t xml:space="preserve">Acts 1–3 are the agency’s lived history and are not canon claims. Act 4 is</w:t>
      </w:r>
      <w:r>
        <w:t xml:space="preserve"> </w:t>
      </w:r>
      <w:r>
        <w:t xml:space="preserve">anchored — here is the line-by-line provenance, including where earlier</w:t>
      </w:r>
      <w:r>
        <w:t xml:space="preserve"> </w:t>
      </w:r>
      <w:r>
        <w:t xml:space="preserve">framings were corrected to match canon.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Narrative claim</w:t>
            </w:r>
          </w:p>
        </w:tc>
        <w:tc>
          <w:tcPr/>
          <w:p>
            <w:pPr>
              <w:pStyle w:val="Compact"/>
            </w:pPr>
            <w:r>
              <w:t xml:space="preserve">Canon anchor</w:t>
            </w:r>
          </w:p>
        </w:tc>
        <w:tc>
          <w:tcPr/>
          <w:p>
            <w:pPr>
              <w:pStyle w:val="Compact"/>
            </w:pPr>
            <w:r>
              <w:t xml:space="preserve">Reconciliation 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Separate truth from runtime enforcement; AD conflated directory + DC</w:t>
            </w:r>
          </w:p>
        </w:tc>
        <w:tc>
          <w:tcPr/>
          <w:p>
            <w:pPr>
              <w:pStyle w:val="Compact"/>
            </w:pPr>
            <w:hyperlink r:id="rId152">
              <w:r>
                <w:rPr>
                  <w:rStyle w:val="Hyperlink"/>
                </w:rPr>
                <w:t xml:space="preserve">ADR-092 §1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Verbatim doctrine; the spine of Act 4.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OrgPath restores addressable truth</w:t>
            </w:r>
          </w:p>
        </w:tc>
        <w:tc>
          <w:tcPr/>
          <w:p>
            <w:pPr>
              <w:pStyle w:val="Compact"/>
            </w:pPr>
            <w:hyperlink r:id="rId153">
              <w:r>
                <w:rPr>
                  <w:rStyle w:val="Hyperlink"/>
                </w:rPr>
                <w:t xml:space="preserve">UIAO_151</w:t>
              </w:r>
            </w:hyperlink>
            <w:r>
              <w:t xml:space="preserve">,</w:t>
            </w:r>
            <w:r>
              <w:t xml:space="preserve"> </w:t>
            </w:r>
            <w:hyperlink r:id="rId152">
              <w:r>
                <w:rPr>
                  <w:rStyle w:val="Hyperlink"/>
                </w:rPr>
                <w:t xml:space="preserve">ADR-092 §2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Corrected:</w:t>
            </w:r>
            <w:r>
              <w:t xml:space="preserve"> </w:t>
            </w:r>
            <w:r>
              <w:t xml:space="preserve">OrgPath is an</w:t>
            </w:r>
            <w:r>
              <w:t xml:space="preserve"> </w:t>
            </w:r>
            <w:r>
              <w:rPr>
                <w:i/>
                <w:iCs/>
              </w:rPr>
              <w:t xml:space="preserve">addressing attribute every object carries</w:t>
            </w:r>
            <w:r>
              <w:t xml:space="preserve">, not a</w:t>
            </w:r>
            <w:r>
              <w:t xml:space="preserve"> </w:t>
            </w:r>
            <w:r>
              <w:t xml:space="preserve">“governance primitive,”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“every token includes an OrgPath.”</w:t>
            </w:r>
            <w:r>
              <w:t xml:space="preserve"> </w:t>
            </w:r>
            <w:r>
              <w:t xml:space="preserve">Decisions</w:t>
            </w:r>
            <w:r>
              <w:t xml:space="preserve"> </w:t>
            </w:r>
            <w:r>
              <w:rPr>
                <w:i/>
                <w:iCs/>
              </w:rPr>
              <w:t xml:space="preserve">compose against</w:t>
            </w:r>
            <w:r>
              <w:t xml:space="preserve"> </w:t>
            </w:r>
            <w:r>
              <w:t xml:space="preserve">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Application-aware networking; token-bound per-call transport</w:t>
            </w:r>
          </w:p>
        </w:tc>
        <w:tc>
          <w:tcPr/>
          <w:p>
            <w:pPr>
              <w:pStyle w:val="Compact"/>
            </w:pPr>
            <w:hyperlink r:id="rId154">
              <w:r>
                <w:rPr>
                  <w:rStyle w:val="Hyperlink"/>
                </w:rPr>
                <w:t xml:space="preserve">ADR-066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Proposed (amended by ADR-123); generalized by accepted ADR-092.</w:t>
            </w:r>
            <w:r>
              <w:t xml:space="preserve"> </w:t>
            </w:r>
            <w:r>
              <w:t xml:space="preserve">“Session is no longer a canonical concept.”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 products (SD-WAN platform, cloud on-ramp)</w:t>
            </w:r>
          </w:p>
        </w:tc>
        <w:tc>
          <w:tcPr/>
          <w:p>
            <w:pPr>
              <w:pStyle w:val="Compact"/>
            </w:pPr>
            <w:hyperlink r:id="rId152">
              <w:r>
                <w:rPr>
                  <w:rStyle w:val="Hyperlink"/>
                </w:rPr>
                <w:t xml:space="preserve">ADR-092 §2</w:t>
              </w:r>
            </w:hyperlink>
            <w:r>
              <w:t xml:space="preserve">,</w:t>
            </w:r>
            <w:r>
              <w:t xml:space="preserve"> </w:t>
            </w:r>
            <w:hyperlink r:id="rId155">
              <w:r>
                <w:rPr>
                  <w:rStyle w:val="Hyperlink"/>
                </w:rPr>
                <w:t xml:space="preserve">Book_17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Softened:</w:t>
            </w:r>
            <w:r>
              <w:t xml:space="preserve"> </w:t>
            </w:r>
            <w:r>
              <w:t xml:space="preserve">canon names a neutral</w:t>
            </w:r>
            <w:r>
              <w:t xml:space="preserve"> </w:t>
            </w:r>
            <w:r>
              <w:rPr>
                <w:rStyle w:val="VerbatimChar"/>
              </w:rPr>
              <w:t xml:space="preserve">sdwan-fabric</w:t>
            </w:r>
            <w:r>
              <w:t xml:space="preserve"> </w:t>
            </w:r>
            <w:r>
              <w:t xml:space="preserve">slot, Azure Policy, ISE/ClearPass/Entra RADIUS. Specific platforms are illustrative, incorporated as providers.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Session→token identity; CBA replaces Kerberos</w:t>
            </w:r>
          </w:p>
        </w:tc>
        <w:tc>
          <w:tcPr/>
          <w:p>
            <w:pPr>
              <w:pStyle w:val="Compact"/>
            </w:pPr>
            <w:hyperlink r:id="rId156">
              <w:r>
                <w:rPr>
                  <w:rStyle w:val="Hyperlink"/>
                </w:rPr>
                <w:t xml:space="preserve">ADR-068</w:t>
              </w:r>
            </w:hyperlink>
            <w:r>
              <w:t xml:space="preserve">,</w:t>
            </w:r>
            <w:r>
              <w:t xml:space="preserve"> </w:t>
            </w:r>
            <w:hyperlink r:id="rId157">
              <w:r>
                <w:rPr>
                  <w:rStyle w:val="Hyperlink"/>
                </w:rPr>
                <w:t xml:space="preserve">ADR-004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Canonical. NTLM elimination + CBA + Cloud Kerberos trust.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Governance; L0–L4 ladder; federal L3 ceiling</w:t>
            </w:r>
          </w:p>
        </w:tc>
        <w:tc>
          <w:tcPr/>
          <w:p>
            <w:pPr>
              <w:pStyle w:val="Compact"/>
            </w:pPr>
            <w:hyperlink r:id="rId152">
              <w:r>
                <w:rPr>
                  <w:rStyle w:val="Hyperlink"/>
                </w:rPr>
                <w:t xml:space="preserve">ADR-092 §3–4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Verbatim; the keystone of the way forward.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Restore single source of truth / provenance</w:t>
            </w:r>
          </w:p>
        </w:tc>
        <w:tc>
          <w:tcPr/>
          <w:p>
            <w:pPr>
              <w:pStyle w:val="Compact"/>
            </w:pPr>
            <w:hyperlink r:id="rId158">
              <w:r>
                <w:rPr>
                  <w:rStyle w:val="Hyperlink"/>
                </w:rPr>
                <w:t xml:space="preserve">ADR-074</w:t>
              </w:r>
            </w:hyperlink>
            <w:r>
              <w:t xml:space="preserve">,</w:t>
            </w:r>
            <w:r>
              <w:t xml:space="preserve"> </w:t>
            </w:r>
            <w:hyperlink r:id="rId159">
              <w:r>
                <w:rPr>
                  <w:rStyle w:val="Hyperlink"/>
                </w:rPr>
                <w:t xml:space="preserve">ADR-040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Canonical, framed as</w:t>
            </w:r>
            <w:r>
              <w:t xml:space="preserve"> </w:t>
            </w:r>
            <w:r>
              <w:rPr>
                <w:b/>
                <w:bCs/>
              </w:rPr>
              <w:t xml:space="preserve">governance / accountability / integrity</w:t>
            </w:r>
            <w:r>
              <w:t xml:space="preserve">. Program-integrity stakes are the agency’s real-world motivation, not a UIAO canon claim.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ns1:inline>
                  <ns1:extent cx="152400" cy="152400"/>
                  <ns1:effectExtent b="0" l="0" r="0" t="0"/>
                  <ns1:docPr descr="" title="" id="160" name="Picture"/>
                  <ns2:graphic>
                    <ns2:graphicData uri="http://schemas.openxmlformats.org/drawingml/2006/picture">
                      <ns3:pic>
                        <ns3:nvPicPr>
                          <ns3:cNvPr descr="/opt/quarto/share/formats/docx/note.png" id="161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12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152400" cy="1524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Provenance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Acts 1–3 are a narrative synthesis of an agency modernization arc (mainframe →</w:t>
            </w:r>
            <w:r>
              <w:t xml:space="preserve"> </w:t>
            </w:r>
            <w:r>
              <w:t xml:space="preserve">regional decentralization → security-layer accretion → multi-cloud breaking</w:t>
            </w:r>
            <w:r>
              <w:t xml:space="preserve"> </w:t>
            </w:r>
            <w:r>
              <w:t xml:space="preserve">point); the specific institutional details (twelve regional domains, the named</w:t>
            </w:r>
            <w:r>
              <w:t xml:space="preserve"> </w:t>
            </w:r>
            <w:r>
              <w:t xml:space="preserve">data-center anchors) are the agency’s own and are not asserted as UIAO canon.</w:t>
            </w:r>
            <w:r>
              <w:t xml:space="preserve"> </w:t>
            </w:r>
            <w:r>
              <w:t xml:space="preserve">Act 4 is reconciled to canon as tabulated above. Mapping first staged</w:t>
            </w:r>
            <w:r>
              <w:t xml:space="preserve"> </w:t>
            </w:r>
            <w:r>
              <w:t xml:space="preserve">2026-06-04; retained here through the 2026-09-09 consolidation of this paper’s</w:t>
            </w:r>
            <w:r>
              <w:t xml:space="preserve"> </w:t>
            </w:r>
            <w:r>
              <w:t xml:space="preserve">two editions.</w:t>
            </w:r>
          </w:p>
          <w:p/>
        </w:tc>
      </w:tr>
    </w:tbl>
    <w:bookmarkEnd w:id="162"/>
    <w:bookmarkEnd w:id="163"/>
    <w:sectPr>
      <w:headerReference w:type="first" r:id="rIdHdr1"/>
      <w:footnotePr>
        <w:numRestart w:val="eachSect"/>
      </w:footnotePr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NIST SP 800-53 Rev. 5, controls CM-8 (System Component Inventory) and</w:t>
      </w:r>
      <w:r>
        <w:t xml:space="preserve"> </w:t>
      </w:r>
      <w:r>
        <w:t xml:space="preserve">SI-12 (Information Management and Retention).</w:t>
      </w:r>
      <w:r>
        <w:t xml:space="preserve"> </w:t>
      </w:r>
      <w:hyperlink r:id="rId20">
        <w:r>
          <w:rPr>
            <w:rStyle w:val="Hyperlink"/>
          </w:rPr>
          <w:t xml:space="preserve">https://csrc.nist.gov/pubs/sp/800/53/r5/upd1/final</w:t>
        </w:r>
      </w:hyperlink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Microsoft,</w:t>
      </w:r>
      <w:r>
        <w:t xml:space="preserve"> </w:t>
      </w:r>
      <w:r>
        <w:rPr>
          <w:i/>
          <w:iCs/>
        </w:rPr>
        <w:t xml:space="preserve">[MS-KILE]: Kerberos Protocol Extensions</w:t>
      </w:r>
      <w:r>
        <w:t xml:space="preserve">. Windows sets</w:t>
      </w:r>
      <w:r>
        <w:t xml:space="preserve"> </w:t>
      </w:r>
      <w:r>
        <w:rPr>
          <w:rStyle w:val="VerbatimChar"/>
        </w:rPr>
        <w:t xml:space="preserve">ClientIpAddresses</w:t>
      </w:r>
      <w:r>
        <w:t xml:space="preserve"> </w:t>
      </w:r>
      <w:r>
        <w:t xml:space="preserve">to zero so client addresses are not written into</w:t>
      </w:r>
      <w:r>
        <w:t xml:space="preserve"> </w:t>
      </w:r>
      <w:r>
        <w:t xml:space="preserve">tickets, stated to be</w:t>
      </w:r>
      <w:r>
        <w:t xml:space="preserve"> </w:t>
      </w:r>
      <w:r>
        <w:t xml:space="preserve">“because of Dynamic Host Configuration Protocol and</w:t>
      </w:r>
      <w:r>
        <w:t xml:space="preserve"> </w:t>
      </w:r>
      <w:r>
        <w:t xml:space="preserve">network address translation issues”</w:t>
      </w:r>
      <w:r>
        <w:t xml:space="preserve"> </w:t>
      </w:r>
      <w:r>
        <w:t xml:space="preserve">— which is why source-address</w:t>
      </w:r>
      <w:r>
        <w:t xml:space="preserve"> </w:t>
      </w:r>
      <w:r>
        <w:t xml:space="preserve">translation on a network path does not invalidate a ticket.</w:t>
      </w:r>
      <w:r>
        <w:t xml:space="preserve"> </w:t>
      </w:r>
      <w:hyperlink r:id="rId44">
        <w:r>
          <w:rPr>
            <w:rStyle w:val="Hyperlink"/>
          </w:rPr>
          <w:t xml:space="preserve">https://learn.microsoft.com/openspecs/windows_protocols/ms-kile/</w:t>
        </w:r>
      </w:hyperlink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R. Neuman et al.,</w:t>
      </w:r>
      <w:r>
        <w:t xml:space="preserve"> </w:t>
      </w:r>
      <w:r>
        <w:rPr>
          <w:i/>
          <w:iCs/>
        </w:rPr>
        <w:t xml:space="preserve">The Kerberos Network Authentication Service</w:t>
      </w:r>
      <w:r>
        <w:rPr>
          <w:i/>
          <w:iCs/>
        </w:rPr>
        <w:t xml:space="preserve"> </w:t>
      </w:r>
      <w:r>
        <w:rPr>
          <w:i/>
          <w:iCs/>
        </w:rPr>
        <w:t xml:space="preserve">(V5)</w:t>
      </w:r>
      <w:r>
        <w:t xml:space="preserve">, RFC 4120 (July 2005). The five-minute figure commonly quoted at</w:t>
      </w:r>
      <w:r>
        <w:t xml:space="preserve"> </w:t>
      </w:r>
      <w:r>
        <w:t xml:space="preserve">Kerberos is the maximum tolerable clock skew; the protocol defines no</w:t>
      </w:r>
      <w:r>
        <w:t xml:space="preserve"> </w:t>
      </w:r>
      <w:r>
        <w:t xml:space="preserve">latency bound. Optional address checking uses the</w:t>
      </w:r>
      <w:r>
        <w:t xml:space="preserve"> </w:t>
      </w:r>
      <w:r>
        <w:rPr>
          <w:rStyle w:val="VerbatimChar"/>
        </w:rPr>
        <w:t xml:space="preserve">caddr</w:t>
      </w:r>
      <w:r>
        <w:t xml:space="preserve"> </w:t>
      </w:r>
      <w:r>
        <w:t xml:space="preserve">field the client</w:t>
      </w:r>
      <w:r>
        <w:t xml:space="preserve"> </w:t>
      </w:r>
      <w:r>
        <w:t xml:space="preserve">supplies, and is enforced by the application server</w:t>
      </w:r>
      <w:r>
        <w:t xml:space="preserve"> </w:t>
      </w:r>
      <w:r>
        <w:t xml:space="preserve">(</w:t>
      </w:r>
      <w:r>
        <w:rPr>
          <w:rStyle w:val="VerbatimChar"/>
        </w:rPr>
        <w:t xml:space="preserve">KRB_AP_ERR_BADADDR</w:t>
      </w:r>
      <w:r>
        <w:t xml:space="preserve">), not by the KDC.</w:t>
      </w:r>
      <w:r>
        <w:t xml:space="preserve"> </w:t>
      </w:r>
      <w:hyperlink r:id="rId46">
        <w:r>
          <w:rPr>
            <w:rStyle w:val="Hyperlink"/>
          </w:rPr>
          <w:t xml:space="preserve">https://www.rfc-editor.org/rfc/rfc4120</w:t>
        </w:r>
      </w:hyperlink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3GPP 5G NR scales slot duration with subcarrier spacing: 1 ms at 15 kHz,</w:t>
      </w:r>
      <w:r>
        <w:t xml:space="preserve"> </w:t>
      </w:r>
      <w:r>
        <w:t xml:space="preserve">0.5 ms at the 30 kHz spacing typical of mid-band sub-6 GHz deployments, and</w:t>
      </w:r>
      <w:r>
        <w:t xml:space="preserve"> </w:t>
      </w:r>
      <w:r>
        <w:t xml:space="preserve">0.125 ms at the 120 kHz spacing used in millimetre wave. The 0.125 ms</w:t>
      </w:r>
      <w:r>
        <w:t xml:space="preserve"> </w:t>
      </w:r>
      <w:r>
        <w:t xml:space="preserve">figure is therefore an mmWave number and should not be quoted for a</w:t>
      </w:r>
      <w:r>
        <w:t xml:space="preserve"> </w:t>
      </w:r>
      <w:r>
        <w:t xml:space="preserve">mid-band deployment.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Executive Order 14028,</w:t>
      </w:r>
      <w:r>
        <w:t xml:space="preserve"> </w:t>
      </w:r>
      <w:r>
        <w:rPr>
          <w:i/>
          <w:iCs/>
        </w:rPr>
        <w:t xml:space="preserve">Improving the Nation’s Cybersecurity</w:t>
      </w:r>
      <w:r>
        <w:t xml:space="preserve">,</w:t>
      </w:r>
      <w:r>
        <w:t xml:space="preserve"> </w:t>
      </w:r>
      <w:r>
        <w:t xml:space="preserve">86 FR 26633 (17 May 2021).</w:t>
      </w:r>
      <w:r>
        <w:t xml:space="preserve"> </w:t>
      </w:r>
      <w:hyperlink r:id="rId76">
        <w:r>
          <w:rPr>
            <w:rStyle w:val="Hyperlink"/>
          </w:rPr>
          <w:t xml:space="preserve">https://www.federalregister.gov/documents/2021/05/17/2021-10460/improving-the-nations-cybersecurity</w:t>
        </w:r>
      </w:hyperlink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OMB Memorandum M-22-09,</w:t>
      </w:r>
      <w:r>
        <w:t xml:space="preserve"> </w:t>
      </w:r>
      <w:r>
        <w:rPr>
          <w:i/>
          <w:iCs/>
        </w:rPr>
        <w:t xml:space="preserve">Moving the U.S. Government Toward Zero Trust</w:t>
      </w:r>
      <w:r>
        <w:rPr>
          <w:i/>
          <w:iCs/>
        </w:rPr>
        <w:t xml:space="preserve"> </w:t>
      </w:r>
      <w:r>
        <w:rPr>
          <w:i/>
          <w:iCs/>
        </w:rPr>
        <w:t xml:space="preserve">Cybersecurity Principles</w:t>
      </w:r>
      <w:r>
        <w:t xml:space="preserve"> </w:t>
      </w:r>
      <w:r>
        <w:t xml:space="preserve">(26 January 2022). The memorandum sets specific</w:t>
      </w:r>
      <w:r>
        <w:t xml:space="preserve"> </w:t>
      </w:r>
      <w:r>
        <w:t xml:space="preserve">outcomes — phishing-resistant MFA, encrypted DNS and HTTP traffic, an</w:t>
      </w:r>
      <w:r>
        <w:t xml:space="preserve"> </w:t>
      </w:r>
      <w:r>
        <w:t xml:space="preserve">application inventory — against milestones due by the end of FY2024. It</w:t>
      </w:r>
      <w:r>
        <w:t xml:space="preserve"> </w:t>
      </w:r>
      <w:r>
        <w:t xml:space="preserve">does not name a CISA Zero Trust Maturity Model stage as a requirement.</w:t>
      </w:r>
      <w:r>
        <w:t xml:space="preserve"> </w:t>
      </w:r>
      <w:hyperlink r:id="rId78">
        <w:r>
          <w:rPr>
            <w:rStyle w:val="Hyperlink"/>
          </w:rPr>
          <w:t xml:space="preserve">https://www.whitehouse.gov/wp-content/uploads/2022/01/M-22-09.pdf</w:t>
        </w:r>
      </w:hyperlink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CISA Binding Operational Directive 25-01,</w:t>
      </w:r>
      <w:r>
        <w:t xml:space="preserve"> </w:t>
      </w:r>
      <w:r>
        <w:rPr>
          <w:i/>
          <w:iCs/>
        </w:rPr>
        <w:t xml:space="preserve">Implementing Secure</w:t>
      </w:r>
      <w:r>
        <w:rPr>
          <w:i/>
          <w:iCs/>
        </w:rPr>
        <w:t xml:space="preserve"> </w:t>
      </w:r>
      <w:r>
        <w:rPr>
          <w:i/>
          <w:iCs/>
        </w:rPr>
        <w:t xml:space="preserve">Practices for Cloud Services</w:t>
      </w:r>
      <w:r>
        <w:t xml:space="preserve">. The directive is in force and its obligation</w:t>
      </w:r>
      <w:r>
        <w:t xml:space="preserve"> </w:t>
      </w:r>
      <w:r>
        <w:t xml:space="preserve">is continuous; the finalized-baseline set and the mandatory policy list are</w:t>
      </w:r>
      <w:r>
        <w:t xml:space="preserve"> </w:t>
      </w:r>
      <w:r>
        <w:t xml:space="preserve">revised by CISA, so confirm the current set at the source rather than from</w:t>
      </w:r>
      <w:r>
        <w:t xml:space="preserve"> </w:t>
      </w:r>
      <w:r>
        <w:t xml:space="preserve">any static snapshot.</w:t>
      </w:r>
      <w:r>
        <w:t xml:space="preserve"> </w:t>
      </w:r>
      <w:hyperlink r:id="rId80">
        <w:r>
          <w:rPr>
            <w:rStyle w:val="Hyperlink"/>
          </w:rPr>
          <w:t xml:space="preserve">https://www.cisa.gov/resources-tools/services/bod-25-01-implementing-secure-practices-cloud-services-required-configurations</w:t>
        </w:r>
      </w:hyperlink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NIST SP 800-207,</w:t>
      </w:r>
      <w:r>
        <w:t xml:space="preserve"> </w:t>
      </w:r>
      <w:r>
        <w:rPr>
          <w:i/>
          <w:iCs/>
        </w:rPr>
        <w:t xml:space="preserve">Zero Trust Architecture</w:t>
      </w:r>
      <w:r>
        <w:t xml:space="preserve"> </w:t>
      </w:r>
      <w:r>
        <w:t xml:space="preserve">(August 2020).</w:t>
      </w:r>
      <w:r>
        <w:t xml:space="preserve"> </w:t>
      </w:r>
      <w:hyperlink r:id="rId85">
        <w:r>
          <w:rPr>
            <w:rStyle w:val="Hyperlink"/>
          </w:rPr>
          <w:t xml:space="preserve">https://csrc.nist.gov/pubs/sp/800/207/final</w:t>
        </w:r>
      </w:hyperlink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OMB Memorandum M-22-09,</w:t>
      </w:r>
      <w:r>
        <w:t xml:space="preserve"> </w:t>
      </w:r>
      <w:r>
        <w:rPr>
          <w:i/>
          <w:iCs/>
        </w:rPr>
        <w:t xml:space="preserve">Moving the U.S. Government Toward Zero Trust</w:t>
      </w:r>
      <w:r>
        <w:rPr>
          <w:i/>
          <w:iCs/>
        </w:rPr>
        <w:t xml:space="preserve"> </w:t>
      </w:r>
      <w:r>
        <w:rPr>
          <w:i/>
          <w:iCs/>
        </w:rPr>
        <w:t xml:space="preserve">Cybersecurity Principles</w:t>
      </w:r>
      <w:r>
        <w:t xml:space="preserve"> </w:t>
      </w:r>
      <w:r>
        <w:t xml:space="preserve">(26 January 2022). The memorandum sets specific</w:t>
      </w:r>
      <w:r>
        <w:t xml:space="preserve"> </w:t>
      </w:r>
      <w:r>
        <w:t xml:space="preserve">outcomes — phishing-resistant MFA, encrypted DNS and HTTP traffic, an</w:t>
      </w:r>
      <w:r>
        <w:t xml:space="preserve"> </w:t>
      </w:r>
      <w:r>
        <w:t xml:space="preserve">application inventory — against milestones due by the end of FY2024. It</w:t>
      </w:r>
      <w:r>
        <w:t xml:space="preserve"> </w:t>
      </w:r>
      <w:r>
        <w:t xml:space="preserve">does not name a CISA Zero Trust Maturity Model stage as a requirement.</w:t>
      </w:r>
      <w:r>
        <w:t xml:space="preserve"> </w:t>
      </w:r>
      <w:hyperlink r:id="rId78">
        <w:r>
          <w:rPr>
            <w:rStyle w:val="Hyperlink"/>
          </w:rPr>
          <w:t xml:space="preserve">https://www.whitehouse.gov/wp-content/uploads/2022/01/M-22-09.pdf</w:t>
        </w:r>
      </w:hyperlink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NTLM authentication is recorded by Windows Security events 4776</w:t>
      </w:r>
      <w:r>
        <w:t xml:space="preserve"> </w:t>
      </w:r>
      <w:r>
        <w:t xml:space="preserve">(credential validation) and 4624 (logon). The objection to NTLM here is not</w:t>
      </w:r>
      <w:r>
        <w:t xml:space="preserve"> </w:t>
      </w:r>
      <w:r>
        <w:t xml:space="preserve">visibility but the absence of device, location and risk context in the</w:t>
      </w:r>
      <w:r>
        <w:t xml:space="preserve"> </w:t>
      </w:r>
      <w:r>
        <w:t xml:space="preserve">exchange, which is what places it outside a per-transaction access decision.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FedRAMP,</w:t>
      </w:r>
      <w:r>
        <w:t xml:space="preserve"> </w:t>
      </w:r>
      <w:r>
        <w:rPr>
          <w:i/>
          <w:iCs/>
        </w:rPr>
        <w:t xml:space="preserve">Consolidated Rules for 2026</w:t>
      </w:r>
      <w:r>
        <w:t xml:space="preserve">, machine-readable ruleset</w:t>
      </w:r>
      <w:r>
        <w:t xml:space="preserve"> </w:t>
      </w:r>
      <w:r>
        <w:t xml:space="preserve">version</w:t>
      </w:r>
      <w:r>
        <w:t xml:space="preserve"> </w:t>
      </w:r>
      <w:r>
        <w:rPr>
          <w:rStyle w:val="VerbatimChar"/>
        </w:rPr>
        <w:t xml:space="preserve">2026.06.24.01</w:t>
      </w:r>
      <w:r>
        <w:t xml:space="preserve"> </w:t>
      </w:r>
      <w:r>
        <w:t xml:space="preserve">(published 24 June 2026). Definitions cited by their</w:t>
      </w:r>
      <w:r>
        <w:t xml:space="preserve"> </w:t>
      </w:r>
      <w:r>
        <w:t xml:space="preserve">FedRAMP Definition identifiers: FRD-PFA (Persistent FedRAMP Assessment),</w:t>
      </w:r>
      <w:r>
        <w:t xml:space="preserve"> </w:t>
      </w:r>
      <w:r>
        <w:t xml:space="preserve">FRD-PRV (Provider), FRD-CSO (Cloud Service Offering), FRD-ANP (All Necessary</w:t>
      </w:r>
      <w:r>
        <w:t xml:space="preserve"> </w:t>
      </w:r>
      <w:r>
        <w:t xml:space="preserve">Parties). A SHA-256-pinned copy is vendored in this repository at</w:t>
      </w:r>
      <w:r>
        <w:t xml:space="preserve"> </w:t>
      </w:r>
      <w:r>
        <w:rPr>
          <w:rStyle w:val="VerbatimChar"/>
        </w:rPr>
        <w:t xml:space="preserve">src/uiao/canon/compliance/reference/fedramp-cr26/official/</w:t>
      </w:r>
      <w:r>
        <w:t xml:space="preserve">.</w:t>
      </w:r>
      <w:r>
        <w:t xml:space="preserve"> </w:t>
      </w:r>
      <w:hyperlink r:id="rId107">
        <w:r>
          <w:rPr>
            <w:rStyle w:val="Hyperlink"/>
          </w:rPr>
          <w:t xml:space="preserve">https://github.com/FedRAMP/rules</w:t>
        </w:r>
      </w:hyperlink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CISA,</w:t>
      </w:r>
      <w:r>
        <w:t xml:space="preserve"> </w:t>
      </w:r>
      <w:r>
        <w:rPr>
          <w:i/>
          <w:iCs/>
        </w:rPr>
        <w:t xml:space="preserve">Zero Trust Maturity Model</w:t>
      </w:r>
      <w:r>
        <w:t xml:space="preserve">, version 2.0 (April 2023). A</w:t>
      </w:r>
      <w:r>
        <w:t xml:space="preserve"> </w:t>
      </w:r>
      <w:r>
        <w:t xml:space="preserve">maturity model describing Traditional, Initial, Advanced and Optimal</w:t>
      </w:r>
      <w:r>
        <w:t xml:space="preserve"> </w:t>
      </w:r>
      <w:r>
        <w:t xml:space="preserve">stages; it does not designate a stage as a federal production requirement.</w:t>
      </w:r>
      <w:r>
        <w:t xml:space="preserve"> </w:t>
      </w:r>
      <w:hyperlink r:id="rId119">
        <w:r>
          <w:rPr>
            <w:rStyle w:val="Hyperlink"/>
          </w:rPr>
          <w:t xml:space="preserve">https://www.cisa.gov/zero-trust-maturity-model</w:t>
        </w:r>
      </w:hyperlink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Counted from the ruleset in [^cr26]: ten KSI themes (CED, CMT, CNA,</w:t>
      </w:r>
      <w:r>
        <w:t xml:space="preserve"> </w:t>
      </w:r>
      <w:r>
        <w:t xml:space="preserve">IAM, INR, MLA, PIY, RPL, SCR, SVC) carrying forty-six indicators in total.</w:t>
      </w:r>
      <w:r>
        <w:t xml:space="preserve"> </w:t>
      </w:r>
      <w:r>
        <w:t xml:space="preserve">Note that material predating the 2026 Consolidated Rules describes a larger</w:t>
      </w:r>
      <w:r>
        <w:t xml:space="preserve"> </w:t>
      </w:r>
      <w:r>
        <w:t xml:space="preserve">KSI set across more themes; the figures here are the restructured CR26</w:t>
      </w:r>
      <w:r>
        <w:t xml:space="preserve"> </w:t>
      </w:r>
      <w:r>
        <w:t xml:space="preserve">counts, which is why they differ.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OMB Memorandum M-22-09,</w:t>
      </w:r>
      <w:r>
        <w:t xml:space="preserve"> </w:t>
      </w:r>
      <w:r>
        <w:rPr>
          <w:i/>
          <w:iCs/>
        </w:rPr>
        <w:t xml:space="preserve">Moving the U.S. Government Toward Zero Trust</w:t>
      </w:r>
      <w:r>
        <w:rPr>
          <w:i/>
          <w:iCs/>
        </w:rPr>
        <w:t xml:space="preserve"> </w:t>
      </w:r>
      <w:r>
        <w:rPr>
          <w:i/>
          <w:iCs/>
        </w:rPr>
        <w:t xml:space="preserve">Cybersecurity Principles</w:t>
      </w:r>
      <w:r>
        <w:t xml:space="preserve"> </w:t>
      </w:r>
      <w:r>
        <w:t xml:space="preserve">(26 January 2022). The memorandum sets specific</w:t>
      </w:r>
      <w:r>
        <w:t xml:space="preserve"> </w:t>
      </w:r>
      <w:r>
        <w:t xml:space="preserve">outcomes — phishing-resistant MFA, encrypted DNS and HTTP traffic, an</w:t>
      </w:r>
      <w:r>
        <w:t xml:space="preserve"> </w:t>
      </w:r>
      <w:r>
        <w:t xml:space="preserve">application inventory — against milestones due by the end of FY2024. It</w:t>
      </w:r>
      <w:r>
        <w:t xml:space="preserve"> </w:t>
      </w:r>
      <w:r>
        <w:t xml:space="preserve">does not name a CISA Zero Trust Maturity Model stage as a requirement.</w:t>
      </w:r>
      <w:r>
        <w:t xml:space="preserve"> </w:t>
      </w:r>
      <w:hyperlink r:id="rId78">
        <w:r>
          <w:rPr>
            <w:rStyle w:val="Hyperlink"/>
          </w:rPr>
          <w:t xml:space="preserve">https://www.whitehouse.gov/wp-content/uploads/2022/01/M-22-09.pdf</w:t>
        </w:r>
      </w:hyperlink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CISA Binding Operational Directive 25-01,</w:t>
      </w:r>
      <w:r>
        <w:t xml:space="preserve"> </w:t>
      </w:r>
      <w:r>
        <w:rPr>
          <w:i/>
          <w:iCs/>
        </w:rPr>
        <w:t xml:space="preserve">Implementing Secure</w:t>
      </w:r>
      <w:r>
        <w:rPr>
          <w:i/>
          <w:iCs/>
        </w:rPr>
        <w:t xml:space="preserve"> </w:t>
      </w:r>
      <w:r>
        <w:rPr>
          <w:i/>
          <w:iCs/>
        </w:rPr>
        <w:t xml:space="preserve">Practices for Cloud Services</w:t>
      </w:r>
      <w:r>
        <w:t xml:space="preserve">. The directive is in force and its obligation</w:t>
      </w:r>
      <w:r>
        <w:t xml:space="preserve"> </w:t>
      </w:r>
      <w:r>
        <w:t xml:space="preserve">is continuous; the finalized-baseline set and the mandatory policy list are</w:t>
      </w:r>
      <w:r>
        <w:t xml:space="preserve"> </w:t>
      </w:r>
      <w:r>
        <w:t xml:space="preserve">revised by CISA, so confirm the current set at the source rather than from</w:t>
      </w:r>
      <w:r>
        <w:t xml:space="preserve"> </w:t>
      </w:r>
      <w:r>
        <w:t xml:space="preserve">any static snapshot.</w:t>
      </w:r>
      <w:r>
        <w:t xml:space="preserve"> </w:t>
      </w:r>
      <w:hyperlink r:id="rId80">
        <w:r>
          <w:rPr>
            <w:rStyle w:val="Hyperlink"/>
          </w:rPr>
          <w:t xml:space="preserve">https://www.cisa.gov/resources-tools/services/bod-25-01-implementing-secure-practices-cloud-services-required-configurations</w:t>
        </w:r>
      </w:hyperlink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NIST SP 800-53 Rev. 5, control CA-7 (Continuous Monitoring), applied</w:t>
      </w:r>
      <w:r>
        <w:t xml:space="preserve"> </w:t>
      </w:r>
      <w:r>
        <w:t xml:space="preserve">through the authorization process in NIST SP 800-37 Rev. 2 and required of</w:t>
      </w:r>
      <w:r>
        <w:t xml:space="preserve"> </w:t>
      </w:r>
      <w:r>
        <w:t xml:space="preserve">agency systems by OMB Circular A-130.</w:t>
      </w:r>
      <w:r>
        <w:t xml:space="preserve"> </w:t>
      </w:r>
      <w:hyperlink r:id="rId20">
        <w:r>
          <w:rPr>
            <w:rStyle w:val="Hyperlink"/>
          </w:rPr>
          <w:t xml:space="preserve">https://csrc.nist.gov/pubs/sp/800/53/r5/upd1/final</w:t>
        </w:r>
      </w:hyperlink>
      <w:r>
        <w:t xml:space="preserve"> </w:t>
      </w:r>
      <w:r>
        <w:t xml:space="preserve">·</w:t>
      </w:r>
      <w:r>
        <w:t xml:space="preserve"> </w:t>
      </w:r>
      <w:hyperlink r:id="rId143">
        <w:r>
          <w:rPr>
            <w:rStyle w:val="Hyperlink"/>
          </w:rPr>
          <w:t xml:space="preserve">https://csrc.nist.gov/pubs/sp/800/37/r2/final</w:t>
        </w:r>
      </w:hyperlink>
      <w:r>
        <w:t xml:space="preserve"> </w:t>
      </w:r>
      <w:r>
        <w:t xml:space="preserve">·</w:t>
      </w:r>
      <w:r>
        <w:t xml:space="preserve"> </w:t>
      </w:r>
      <w:hyperlink r:id="rId144">
        <w:r>
          <w:rPr>
            <w:rStyle w:val="Hyperlink"/>
          </w:rPr>
          <w:t xml:space="preserve">https://www.whitehouse.gov/wp-content/uploads/legacy_drupal_files/omb/circulars/A130/a130revised.pdf</w:t>
        </w:r>
      </w:hyperlink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FedRAMP,</w:t>
      </w:r>
      <w:r>
        <w:t xml:space="preserve"> </w:t>
      </w:r>
      <w:r>
        <w:rPr>
          <w:i/>
          <w:iCs/>
        </w:rPr>
        <w:t xml:space="preserve">Propelling change: FedRAMP launches Consolidated Rules</w:t>
      </w:r>
      <w:r>
        <w:rPr>
          <w:i/>
          <w:iCs/>
        </w:rPr>
        <w:t xml:space="preserve"> </w:t>
      </w:r>
      <w:r>
        <w:rPr>
          <w:i/>
          <w:iCs/>
        </w:rPr>
        <w:t xml:space="preserve">for 2026</w:t>
      </w:r>
      <w:r>
        <w:t xml:space="preserve"> </w:t>
      </w:r>
      <w:r>
        <w:t xml:space="preserve">(25 June 2026), for the Ready, Class A/B/C and 1 January 2027</w:t>
      </w:r>
      <w:r>
        <w:t xml:space="preserve"> </w:t>
      </w:r>
      <w:r>
        <w:t xml:space="preserve">dates; and FedRAMP’s provider-transition guidance for the 11 June 2027 Rev5</w:t>
      </w:r>
      <w:r>
        <w:t xml:space="preserve"> </w:t>
      </w:r>
      <w:r>
        <w:t xml:space="preserve">cutoff.</w:t>
      </w:r>
      <w:r>
        <w:t xml:space="preserve"> </w:t>
      </w:r>
      <w:hyperlink r:id="rId146">
        <w:r>
          <w:rPr>
            <w:rStyle w:val="Hyperlink"/>
          </w:rPr>
          <w:t xml:space="preserve">https://www.fedramp.gov/2026-06-25-propelling-change-fedramp-launches-consolidated-rules-for-2026/</w:t>
        </w:r>
      </w:hyperlink>
      <w:r>
        <w:t xml:space="preserve"> </w:t>
      </w:r>
      <w:r>
        <w:t xml:space="preserve">·</w:t>
      </w:r>
      <w:r>
        <w:t xml:space="preserve"> </w:t>
      </w:r>
      <w:hyperlink r:id="rId147">
        <w:r>
          <w:rPr>
            <w:rStyle w:val="Hyperlink"/>
          </w:rPr>
          <w:t xml:space="preserve">https://www.fedramp.gov/2026/providers/updating/</w:t>
        </w:r>
      </w:hyperlink>
    </w:p>
  </w:footnote>
</w:footnotes>
</file>

<file path=word/header1.xml><?xml version="1.0" encoding="utf-8"?>
<!-- uiao-docx-header-stamp -->
<w:hdr xmlns:w="http://schemas.openxmlformats.org/wordprocessingml/2006/main">
  <w:p>
    <w:pPr>
      <w:jc w:val="right"/>
      <w:spacing w:after="0"/>
      <w:rPr>
        <w:sz w:val="16"/>
        <w:szCs w:val="16"/>
        <w:color w:val="6E7781"/>
      </w:rPr>
    </w:pPr>
    <w:r>
      <w:rPr>
        <w:sz w:val="16"/>
        <w:szCs w:val="16"/>
        <w:color w:val="6E7781"/>
      </w:rPr>
      <w:t xml:space="preserve">Rendered 2026-09-16 14:55 UTC  ·  Rev e1a72fa8 (2026-09-16)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keepLines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iPriority w:val="59"/>
    <w:qFormat/>
    <w:tblPr>
      <w:tblInd w:type="dxa" w:w="0"/>
      <w:tblBorders>
        <w:top w:color="0078D4" w:space="0" w:sz="12" w:val="single"/>
        <w:bottom w:color="0078D4" w:space="0" w:sz="12" w:val="single"/>
        <w:left w:val="nil"/>
        <w:right w:val="nil"/>
        <w:insideH w:color="D1D5DA" w:space="0" w:sz="4" w:val="single"/>
        <w:insideV w:val="nil"/>
      </w:tblBorders>
      <w:tblCellMar>
        <w:top w:type="dxa" w:w="80"/>
        <w:left w:type="dxa" w:w="108"/>
        <w:bottom w:type="dxa" w:w="80"/>
        <w:right w:type="dxa" w:w="108"/>
      </w:tblCellMar>
    </w:tblPr>
    <w:tblStylePr w:type="firstRow">
      <w:rPr>
        <w:b/>
      </w:rPr>
      <w:tcPr>
        <w:tcBorders>
          <w:bottom w:color="0078D4" w:space="0" w:sz="8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pPr>
      <w:pBdr>
        <w:top w:color="D1D5DA" w:space="6" w:sz="6" w:val="single"/>
        <w:left w:color="D1D5DA" w:space="6" w:sz="6" w:val="single"/>
        <w:bottom w:color="D1D5DA" w:space="6" w:sz="6" w:val="single"/>
        <w:right w:color="D1D5DA" w:space="6" w:sz="6" w:val="single"/>
      </w:pBdr>
      <w:shd w:fill="F6F8FA" w:val="clear"/>
      <w:wordWrap w:val="off"/>
      <w:spacing w:after="0" w:before="0" w:line="240" w:lineRule="auto"/>
      <w:ind w:left="144" w:right="144"/>
      <w:contextualSpacing/>
    </w:pPr>
    <w:rPr>
      <w:rFonts w:ascii="Consolas" w:hAnsi="Consolas"/>
      <w:color w:val="24292E"/>
      <w:sz w:val="18"/>
    </w:r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9" Target="media/rId49.png" /><Relationship Type="http://schemas.openxmlformats.org/officeDocument/2006/relationships/image" Id="rId54" Target="media/rId54.png" /><Relationship Type="http://schemas.openxmlformats.org/officeDocument/2006/relationships/image" Id="rId62" Target="media/rId62.png" /><Relationship Type="http://schemas.openxmlformats.org/officeDocument/2006/relationships/image" Id="rId68" Target="media/rId68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7" Target="media/rId97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28" Target="media/rId128.png" /><Relationship Type="http://schemas.openxmlformats.org/officeDocument/2006/relationships/hyperlink" Id="rId85" Target="https://csrc.nist.gov/pubs/sp/800/207/final" TargetMode="External" /><Relationship Type="http://schemas.openxmlformats.org/officeDocument/2006/relationships/hyperlink" Id="rId143" Target="https://csrc.nist.gov/pubs/sp/800/37/r2/final" TargetMode="External" /><Relationship Type="http://schemas.openxmlformats.org/officeDocument/2006/relationships/hyperlink" Id="rId20" Target="https://csrc.nist.gov/pubs/sp/800/53/r5/upd1/final" TargetMode="External" /><Relationship Type="http://schemas.openxmlformats.org/officeDocument/2006/relationships/hyperlink" Id="rId107" Target="https://github.com/FedRAMP/rules" TargetMode="External" /><Relationship Type="http://schemas.openxmlformats.org/officeDocument/2006/relationships/hyperlink" Id="rId153" Target="https://github.com/WhalerMike/uiao/blob/main/src/uiao/canon/UIAO_151_OrgPath_Codebook.md" TargetMode="External" /><Relationship Type="http://schemas.openxmlformats.org/officeDocument/2006/relationships/hyperlink" Id="rId44" Target="https://learn.microsoft.com/openspecs/windows_protocols/ms-kile/" TargetMode="External" /><Relationship Type="http://schemas.openxmlformats.org/officeDocument/2006/relationships/hyperlink" Id="rId157" Target="https://whalermike.github.io/uiao/adr/adr-004-workload-identity-federation-default.html" TargetMode="External" /><Relationship Type="http://schemas.openxmlformats.org/officeDocument/2006/relationships/hyperlink" Id="rId159" Target="https://whalermike.github.io/uiao/adr/adr-040-drift-engine.html" TargetMode="External" /><Relationship Type="http://schemas.openxmlformats.org/officeDocument/2006/relationships/hyperlink" Id="rId154" Target="https://whalermike.github.io/uiao/adr/adr-066-application-aware-networking-and-token-bound-transport.html" TargetMode="External" /><Relationship Type="http://schemas.openxmlformats.org/officeDocument/2006/relationships/hyperlink" Id="rId156" Target="https://whalermike.github.io/uiao/adr/adr-068-kerberos-ntlm-elimination.html" TargetMode="External" /><Relationship Type="http://schemas.openxmlformats.org/officeDocument/2006/relationships/hyperlink" Id="rId158" Target="https://whalermike.github.io/uiao/adr/adr-074-drift-ssot-contention.html" TargetMode="External" /><Relationship Type="http://schemas.openxmlformats.org/officeDocument/2006/relationships/hyperlink" Id="rId152" Target="https://whalermike.github.io/uiao/adr/adr-092-active-governance.html" TargetMode="External" /><Relationship Type="http://schemas.openxmlformats.org/officeDocument/2006/relationships/hyperlink" Id="rId150" Target="https://whalermike.github.io/uiao/customer-documents/orgcomp-series/Vol_I_Book_05_OrgComp_Network_Modernization.html" TargetMode="External" /><Relationship Type="http://schemas.openxmlformats.org/officeDocument/2006/relationships/hyperlink" Id="rId155" Target="https://whalermike.github.io/uiao/customer-documents/orgpath-narrative/Book_17.html" TargetMode="External" /><Relationship Type="http://schemas.openxmlformats.org/officeDocument/2006/relationships/hyperlink" Id="rId151" Target="https://whalermike.github.io/uiao/orgmod/index.html" TargetMode="External" /><Relationship Type="http://schemas.openxmlformats.org/officeDocument/2006/relationships/hyperlink" Id="rId80" Target="https://www.cisa.gov/resources-tools/services/bod-25-01-implementing-secure-practices-cloud-services-required-configurations" TargetMode="External" /><Relationship Type="http://schemas.openxmlformats.org/officeDocument/2006/relationships/hyperlink" Id="rId119" Target="https://www.cisa.gov/zero-trust-maturity-model" TargetMode="External" /><Relationship Type="http://schemas.openxmlformats.org/officeDocument/2006/relationships/hyperlink" Id="rId76" Target="https://www.federalregister.gov/documents/2021/05/17/2021-10460/improving-the-nations-cybersecurity" TargetMode="External" /><Relationship Type="http://schemas.openxmlformats.org/officeDocument/2006/relationships/hyperlink" Id="rId146" Target="https://www.fedramp.gov/2026-06-25-propelling-change-fedramp-launches-consolidated-rules-for-2026/" TargetMode="External" /><Relationship Type="http://schemas.openxmlformats.org/officeDocument/2006/relationships/hyperlink" Id="rId147" Target="https://www.fedramp.gov/2026/providers/updating/" TargetMode="External" /><Relationship Type="http://schemas.openxmlformats.org/officeDocument/2006/relationships/hyperlink" Id="rId46" Target="https://www.rfc-editor.org/rfc/rfc4120" TargetMode="External" /><Relationship Type="http://schemas.openxmlformats.org/officeDocument/2006/relationships/hyperlink" Id="rId78" Target="https://www.whitehouse.gov/wp-content/uploads/2022/01/M-22-09.pdf" TargetMode="External" /><Relationship Type="http://schemas.openxmlformats.org/officeDocument/2006/relationships/hyperlink" Id="rId144" Target="https://www.whitehouse.gov/wp-content/uploads/legacy_drupal_files/omb/circulars/A130/a130revised.pdf" TargetMode="External" /><Relationship Id="rIdHdr1" Type="http://schemas.openxmlformats.org/officeDocument/2006/relationships/header" Target="header1.xm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5" Target="https://csrc.nist.gov/pubs/sp/800/207/final" TargetMode="External" /><Relationship Type="http://schemas.openxmlformats.org/officeDocument/2006/relationships/hyperlink" Id="rId143" Target="https://csrc.nist.gov/pubs/sp/800/37/r2/final" TargetMode="External" /><Relationship Type="http://schemas.openxmlformats.org/officeDocument/2006/relationships/hyperlink" Id="rId20" Target="https://csrc.nist.gov/pubs/sp/800/53/r5/upd1/final" TargetMode="External" /><Relationship Type="http://schemas.openxmlformats.org/officeDocument/2006/relationships/hyperlink" Id="rId107" Target="https://github.com/FedRAMP/rules" TargetMode="External" /><Relationship Type="http://schemas.openxmlformats.org/officeDocument/2006/relationships/hyperlink" Id="rId153" Target="https://github.com/WhalerMike/uiao/blob/main/src/uiao/canon/UIAO_151_OrgPath_Codebook.md" TargetMode="External" /><Relationship Type="http://schemas.openxmlformats.org/officeDocument/2006/relationships/hyperlink" Id="rId44" Target="https://learn.microsoft.com/openspecs/windows_protocols/ms-kile/" TargetMode="External" /><Relationship Type="http://schemas.openxmlformats.org/officeDocument/2006/relationships/hyperlink" Id="rId157" Target="https://whalermike.github.io/uiao/adr/adr-004-workload-identity-federation-default.html" TargetMode="External" /><Relationship Type="http://schemas.openxmlformats.org/officeDocument/2006/relationships/hyperlink" Id="rId159" Target="https://whalermike.github.io/uiao/adr/adr-040-drift-engine.html" TargetMode="External" /><Relationship Type="http://schemas.openxmlformats.org/officeDocument/2006/relationships/hyperlink" Id="rId154" Target="https://whalermike.github.io/uiao/adr/adr-066-application-aware-networking-and-token-bound-transport.html" TargetMode="External" /><Relationship Type="http://schemas.openxmlformats.org/officeDocument/2006/relationships/hyperlink" Id="rId156" Target="https://whalermike.github.io/uiao/adr/adr-068-kerberos-ntlm-elimination.html" TargetMode="External" /><Relationship Type="http://schemas.openxmlformats.org/officeDocument/2006/relationships/hyperlink" Id="rId158" Target="https://whalermike.github.io/uiao/adr/adr-074-drift-ssot-contention.html" TargetMode="External" /><Relationship Type="http://schemas.openxmlformats.org/officeDocument/2006/relationships/hyperlink" Id="rId152" Target="https://whalermike.github.io/uiao/adr/adr-092-active-governance.html" TargetMode="External" /><Relationship Type="http://schemas.openxmlformats.org/officeDocument/2006/relationships/hyperlink" Id="rId150" Target="https://whalermike.github.io/uiao/customer-documents/orgcomp-series/Vol_I_Book_05_OrgComp_Network_Modernization.html" TargetMode="External" /><Relationship Type="http://schemas.openxmlformats.org/officeDocument/2006/relationships/hyperlink" Id="rId155" Target="https://whalermike.github.io/uiao/customer-documents/orgpath-narrative/Book_17.html" TargetMode="External" /><Relationship Type="http://schemas.openxmlformats.org/officeDocument/2006/relationships/hyperlink" Id="rId151" Target="https://whalermike.github.io/uiao/orgmod/index.html" TargetMode="External" /><Relationship Type="http://schemas.openxmlformats.org/officeDocument/2006/relationships/hyperlink" Id="rId80" Target="https://www.cisa.gov/resources-tools/services/bod-25-01-implementing-secure-practices-cloud-services-required-configurations" TargetMode="External" /><Relationship Type="http://schemas.openxmlformats.org/officeDocument/2006/relationships/hyperlink" Id="rId119" Target="https://www.cisa.gov/zero-trust-maturity-model" TargetMode="External" /><Relationship Type="http://schemas.openxmlformats.org/officeDocument/2006/relationships/hyperlink" Id="rId76" Target="https://www.federalregister.gov/documents/2021/05/17/2021-10460/improving-the-nations-cybersecurity" TargetMode="External" /><Relationship Type="http://schemas.openxmlformats.org/officeDocument/2006/relationships/hyperlink" Id="rId146" Target="https://www.fedramp.gov/2026-06-25-propelling-change-fedramp-launches-consolidated-rules-for-2026/" TargetMode="External" /><Relationship Type="http://schemas.openxmlformats.org/officeDocument/2006/relationships/hyperlink" Id="rId147" Target="https://www.fedramp.gov/2026/providers/updating/" TargetMode="External" /><Relationship Type="http://schemas.openxmlformats.org/officeDocument/2006/relationships/hyperlink" Id="rId46" Target="https://www.rfc-editor.org/rfc/rfc4120" TargetMode="External" /><Relationship Type="http://schemas.openxmlformats.org/officeDocument/2006/relationships/hyperlink" Id="rId78" Target="https://www.whitehouse.gov/wp-content/uploads/2022/01/M-22-09.pdf" TargetMode="External" /><Relationship Type="http://schemas.openxmlformats.org/officeDocument/2006/relationships/hyperlink" Id="rId144" Target="https://www.whitehouse.gov/wp-content/uploads/legacy_drupal_files/omb/circulars/A130/a130revised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Modernization Journey</dc:title>
  <dc:creator>Michael Stratton</dc:creator>
  <cp:keywords/>
  <dcterms:created xsi:type="dcterms:W3CDTF">2026-09-16T14:55:23Z</dcterms:created>
  <dcterms:modified xsi:type="dcterms:W3CDTF">2026-09-16T14:55:23Z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dience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uthor">
    <vt:lpwstr/>
  </property>
  <property fmtid="{D5CDD505-2E9C-101B-9397-08002B2CF9AE}" pid="6" name="created-at">
    <vt:lpwstr>2026-06-04</vt:lpwstr>
  </property>
  <property fmtid="{D5CDD505-2E9C-101B-9397-08002B2CF9AE}" pid="7" name="date">
    <vt:lpwstr>2026-09-09</vt:lpwstr>
  </property>
  <property fmtid="{D5CDD505-2E9C-101B-9397-08002B2CF9AE}" pid="8" name="derived-from">
    <vt:lpwstr>Narrative synthesis of a federal agency modernization arc. Principle 5 and the mainframe-access section draw on an internal architecture position paper on application-data separation and cloud-migration readiness (July 2026), together with mature IBM z/OS Connect / RACF PassTicket product capability. Federal requirements are cited to NIST, OMB, CISA, and FedRAMP; named products (Entra ID, SD-WAN/SASE platforms, DDI platforms, Terraform) appear as concrete illustrations of role, not as recommendations. The closing appendix maps Act 4 to the UIAO ADRs it derives from.</vt:lpwstr>
  </property>
  <property fmtid="{D5CDD505-2E9C-101B-9397-08002B2CF9AE}" pid="9" name="doc-type">
    <vt:lpwstr>whitepaper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fecycle">
    <vt:lpwstr>adopted</vt:lpwstr>
  </property>
  <property fmtid="{D5CDD505-2E9C-101B-9397-08002B2CF9AE}" pid="15" name="lifecycle_review">
    <vt:lpwstr>2026-12-31</vt:lpwstr>
  </property>
  <property fmtid="{D5CDD505-2E9C-101B-9397-08002B2CF9AE}" pid="16" name="mermaid">
    <vt:lpwstr/>
  </property>
  <property fmtid="{D5CDD505-2E9C-101B-9397-08002B2CF9AE}" pid="17" name="repo-path">
    <vt:lpwstr>docs/customer-documents/whitepapers/modernization-journey.qmd</vt:lpwstr>
  </property>
  <property fmtid="{D5CDD505-2E9C-101B-9397-08002B2CF9AE}" pid="18" name="status">
    <vt:lpwstr>Draft</vt:lpwstr>
  </property>
  <property fmtid="{D5CDD505-2E9C-101B-9397-08002B2CF9AE}" pid="19" name="subtitle">
    <vt:lpwstr>From Mainframe to FedRAMP 20x — what forty years of federal architecture cost, and which mandates actually bind the agency</vt:lpwstr>
  </property>
  <property fmtid="{D5CDD505-2E9C-101B-9397-08002B2CF9AE}" pid="20" name="tiers_adopted">
    <vt:lpwstr/>
  </property>
  <property fmtid="{D5CDD505-2E9C-101B-9397-08002B2CF9AE}" pid="21" name="toc-title">
    <vt:lpwstr>Table of contents</vt:lpwstr>
  </property>
  <property fmtid="{D5CDD505-2E9C-101B-9397-08002B2CF9AE}" pid="22" name="updated-at">
    <vt:lpwstr>2026-09-16</vt:lpwstr>
  </property>
  <property fmtid="{D5CDD505-2E9C-101B-9397-08002B2CF9AE}" pid="23" name="version">
    <vt:lpwstr>2.3</vt:lpwstr>
  </property>
</Properties>
</file>